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附件2-1</w:t>
      </w:r>
    </w:p>
    <w:p>
      <w:pPr>
        <w:spacing w:line="348" w:lineRule="auto"/>
        <w:jc w:val="center"/>
        <w:rPr>
          <w:rFonts w:eastAsia="方正小标宋简体"/>
          <w:bCs/>
          <w:sz w:val="42"/>
          <w:szCs w:val="42"/>
        </w:rPr>
      </w:pPr>
    </w:p>
    <w:p>
      <w:pPr>
        <w:spacing w:line="800" w:lineRule="exact"/>
        <w:jc w:val="center"/>
        <w:rPr>
          <w:rFonts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岳阳市202</w:t>
      </w:r>
      <w:r>
        <w:rPr>
          <w:rFonts w:hint="eastAsia" w:eastAsia="方正小标宋简体"/>
          <w:bCs/>
          <w:sz w:val="46"/>
          <w:szCs w:val="46"/>
          <w:lang w:val="en-US" w:eastAsia="zh-CN"/>
        </w:rPr>
        <w:t>1</w:t>
      </w:r>
      <w:r>
        <w:rPr>
          <w:rFonts w:hint="eastAsia" w:eastAsia="方正小标宋简体"/>
          <w:bCs/>
          <w:sz w:val="46"/>
          <w:szCs w:val="46"/>
        </w:rPr>
        <w:t>年度部门整体支出</w:t>
      </w:r>
    </w:p>
    <w:p>
      <w:pPr>
        <w:spacing w:line="800" w:lineRule="exact"/>
        <w:jc w:val="center"/>
        <w:rPr>
          <w:rFonts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绩效评价自评报告</w:t>
      </w:r>
      <w:bookmarkStart w:id="0" w:name="_GoBack"/>
    </w:p>
    <w:bookmarkEnd w:id="0"/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beforeLines="50" w:line="348" w:lineRule="auto"/>
        <w:ind w:firstLine="476" w:firstLineChars="1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部门(单位)名称：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eastAsia="zh-CN"/>
        </w:rPr>
        <w:t>岳阳市退役军人事务局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</w:t>
      </w:r>
    </w:p>
    <w:p>
      <w:pPr>
        <w:spacing w:beforeLines="50" w:line="348" w:lineRule="auto"/>
        <w:ind w:firstLine="476" w:firstLineChars="150"/>
        <w:rPr>
          <w:rFonts w:eastAsia="仿宋_GB2312"/>
          <w:spacing w:val="2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预</w:t>
      </w:r>
      <w:r>
        <w:rPr>
          <w:rFonts w:hint="eastAsia" w:eastAsia="仿宋_GB2312"/>
          <w:spacing w:val="30"/>
          <w:sz w:val="32"/>
          <w:szCs w:val="32"/>
        </w:rPr>
        <w:t xml:space="preserve"> 算 编 码：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pacing w:val="20"/>
          <w:sz w:val="32"/>
          <w:szCs w:val="32"/>
          <w:u w:val="single"/>
          <w:lang w:val="en-US" w:eastAsia="zh-CN"/>
        </w:rPr>
        <w:t xml:space="preserve">    405001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                    </w:t>
      </w:r>
    </w:p>
    <w:p>
      <w:pPr>
        <w:spacing w:beforeLines="50" w:line="348" w:lineRule="auto"/>
        <w:ind w:firstLine="476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评价方式：部门（单位）绩效自评</w:t>
      </w:r>
    </w:p>
    <w:p>
      <w:pPr>
        <w:spacing w:beforeLines="50" w:line="348" w:lineRule="auto"/>
        <w:ind w:firstLine="476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评价机构：部门（单位）评价组   </w:t>
      </w:r>
    </w:p>
    <w:p>
      <w:pPr>
        <w:spacing w:line="720" w:lineRule="exact"/>
        <w:ind w:firstLine="2188" w:firstLineChars="690"/>
        <w:rPr>
          <w:rFonts w:eastAsia="仿宋_GB2312"/>
          <w:sz w:val="32"/>
        </w:rPr>
      </w:pPr>
    </w:p>
    <w:p>
      <w:pPr>
        <w:spacing w:line="720" w:lineRule="exact"/>
        <w:ind w:firstLine="2188" w:firstLineChars="690"/>
        <w:rPr>
          <w:rFonts w:eastAsia="仿宋_GB2312"/>
          <w:sz w:val="32"/>
        </w:rPr>
      </w:pPr>
    </w:p>
    <w:p>
      <w:pPr>
        <w:spacing w:line="720" w:lineRule="exact"/>
        <w:ind w:firstLine="2188" w:firstLineChars="690"/>
        <w:rPr>
          <w:rFonts w:eastAsia="仿宋_GB2312"/>
          <w:sz w:val="32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   年   月   日</w:t>
      </w:r>
    </w:p>
    <w:p>
      <w:pPr>
        <w:autoSpaceDN w:val="0"/>
        <w:jc w:val="center"/>
        <w:textAlignment w:val="center"/>
        <w:rPr>
          <w:rFonts w:eastAsia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247" w:right="1588" w:bottom="1247" w:left="1588" w:header="851" w:footer="992" w:gutter="0"/>
          <w:pgNumType w:start="1"/>
          <w:cols w:space="720" w:num="1"/>
          <w:docGrid w:type="linesAndChars" w:linePitch="602" w:charSpace="-782"/>
        </w:sectPr>
      </w:pPr>
      <w:r>
        <w:rPr>
          <w:rFonts w:hint="eastAsia" w:eastAsia="仿宋_GB2312"/>
          <w:sz w:val="32"/>
        </w:rPr>
        <w:t>岳阳市财政</w:t>
      </w:r>
      <w:r>
        <w:rPr>
          <w:rFonts w:hint="eastAsia" w:eastAsia="仿宋_GB2312"/>
          <w:sz w:val="32"/>
          <w:szCs w:val="32"/>
        </w:rPr>
        <w:t>局（制）</w:t>
      </w:r>
    </w:p>
    <w:tbl>
      <w:tblPr>
        <w:tblStyle w:val="8"/>
        <w:tblW w:w="9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54"/>
        <w:gridCol w:w="46"/>
        <w:gridCol w:w="94"/>
        <w:gridCol w:w="1062"/>
        <w:gridCol w:w="1088"/>
        <w:gridCol w:w="1384"/>
        <w:gridCol w:w="1335"/>
        <w:gridCol w:w="257"/>
        <w:gridCol w:w="943"/>
        <w:gridCol w:w="306"/>
        <w:gridCol w:w="551"/>
        <w:gridCol w:w="139"/>
        <w:gridCol w:w="39"/>
        <w:gridCol w:w="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一、部门（单位）基本概况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67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吴加勇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联络电话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0730-8878139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人员编制</w:t>
            </w:r>
          </w:p>
        </w:tc>
        <w:tc>
          <w:tcPr>
            <w:tcW w:w="367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68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实有人数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65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职能职责概述</w:t>
            </w:r>
          </w:p>
        </w:tc>
        <w:tc>
          <w:tcPr>
            <w:tcW w:w="814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贯彻执行党和国家、省委和省政府关于退役军人思想政治、管理保障和安置优抚等工作政策法规，组织实施退役军人事务发展规划和政策，褒扬彰显退役军人为党、国家和人民牺牲奉献的精神风范和价值导向。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负责全市退役军队转业干部、离休退休干部、退役士兵和无军籍退休退职职工的移交安置工作和自主择业、就业退役军人服务管理工作。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组织指导全市退役军人教育培训工作，协调扶持退役军人和随军随调家属就业创业。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贯彻落实国家、省关于退役军人的特殊保障政策，会同有关部门制定相关政策，并组织实施。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组织协调落实全市移交地方的离休退休军人、符合条件的其他退役军人和无军籍退休退职职工的住房保障工作，以及退役军人医疗保障工作，社会保险等待遇保障工作。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组织指导全市伤病残退役军人服务管理工作和抚恤工作，贯彻落实退役军人医疗、疗养、养老机构的规划政策并指导实施。承担全市不适宜继续服役的伤病残军人相关工作。组织指导全市军供服务保障工作。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组织和指导全市拥军优属工作。负责全市现役军人、退役军人、军队文职人员和军属优待、抚恤等工作；贯彻执行国家关于国民党抗战老兵等有关人员优待政策并指导实施。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全市烈士及退役军人荣誉奖励、军人公墓管理维护、纪念活动等工作，依法承担英雄烈士保护相关工作，审核拟列入全市重点保护单位的烈士纪念建筑物名录，总结和宣扬退役军人、退役军人工作单位和个人先进典型事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指导并监督检查关于退役军人相关法律和政策实施的落实，开展全市退役军人权益维护和有关人员的帮扶援助工作。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完成市委、市政府交办的其他事项。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64" w:hRule="atLeast"/>
          <w:jc w:val="center"/>
        </w:trPr>
        <w:tc>
          <w:tcPr>
            <w:tcW w:w="165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年度主要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工作内容</w:t>
            </w:r>
          </w:p>
        </w:tc>
        <w:tc>
          <w:tcPr>
            <w:tcW w:w="814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任务1：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以习近平新时代中国特色社会主义思想为指导，全面贯彻党的十九大和十九届二中、三中、四中全会精神，认真落实市和省部有关会议和文件精神。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任务2：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坚持稳中求进工作总基调，以职业使命感、工作紧迫感为驱动，以“四个聚焦”为重点，坚持落实政策与创新方法齐抓，健全机构与发挥作用并重，破解难题与防控风险结合。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任务3：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着力建立健全“三个体系”，深入开展“思想政治工作年”“基层基础基本建设年”“信访攻坚年”活动，融合聚力、综合施策，真抓实干、久久为功，不断提升治理水平，推动全市退役军人工作迈上新台阶。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0" w:hRule="atLeast"/>
          <w:jc w:val="center"/>
        </w:trPr>
        <w:tc>
          <w:tcPr>
            <w:tcW w:w="165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年度部门（单位）总体运行情况及取得的成绩</w:t>
            </w:r>
          </w:p>
        </w:tc>
        <w:tc>
          <w:tcPr>
            <w:tcW w:w="814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服务保障体系建设稳步推进，服务保障能力大幅提升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思想政治引导逐步加强，荣誉激励作用有效发挥；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权益维护精准发力，涉军群体基本稳控；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4.移交安置规范有序，退役军人获得感不断增强；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5.就业创业工作守正创新，扶持效果初步显现；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6.拥军优抚有序开展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政策待遇依规落实。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二、部门（单位）收支情况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年度收入情况（万元）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115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6944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政拨款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3776.42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838.98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2355.61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2058.03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150.23</w:t>
            </w: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1417.57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490.23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军队离休退休干部休养所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942.27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491.41</w:t>
            </w: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439.83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军用供应站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324.19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57</w:t>
            </w: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260.71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6.48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退役军人服务中心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451.93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140.34</w:t>
            </w: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237.5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74.09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800" w:type="dxa"/>
            <w:gridSpan w:val="1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部门（单位）年度支出和结余情况（万元）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5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500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937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27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项目支出</w:t>
            </w:r>
          </w:p>
        </w:tc>
        <w:tc>
          <w:tcPr>
            <w:tcW w:w="10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当年结余</w:t>
            </w:r>
          </w:p>
        </w:tc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120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3341.83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1968.11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1574.8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393.31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1372.01</w:t>
            </w:r>
          </w:p>
        </w:tc>
        <w:tc>
          <w:tcPr>
            <w:tcW w:w="10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-55.11</w:t>
            </w:r>
          </w:p>
        </w:tc>
        <w:tc>
          <w:tcPr>
            <w:tcW w:w="90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1900.79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691.67</w:t>
            </w: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510.49</w:t>
            </w: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181.18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1209.12</w:t>
            </w:r>
          </w:p>
        </w:tc>
        <w:tc>
          <w:tcPr>
            <w:tcW w:w="10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157.24</w:t>
            </w:r>
          </w:p>
        </w:tc>
        <w:tc>
          <w:tcPr>
            <w:tcW w:w="902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军队离休退休干部休养所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725.54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725.54</w:t>
            </w: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623.27</w:t>
            </w: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102.27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-274.68</w:t>
            </w:r>
          </w:p>
        </w:tc>
        <w:tc>
          <w:tcPr>
            <w:tcW w:w="902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753.68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军用供应站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324.19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268.59</w:t>
            </w: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207.65</w:t>
            </w: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60.94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53.89</w:t>
            </w:r>
          </w:p>
        </w:tc>
        <w:tc>
          <w:tcPr>
            <w:tcW w:w="10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1.71</w:t>
            </w:r>
          </w:p>
        </w:tc>
        <w:tc>
          <w:tcPr>
            <w:tcW w:w="902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退役军人服务中心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391.31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282.31</w:t>
            </w: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233.39</w:t>
            </w: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48.92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109</w:t>
            </w:r>
          </w:p>
        </w:tc>
        <w:tc>
          <w:tcPr>
            <w:tcW w:w="10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60.62</w:t>
            </w:r>
          </w:p>
        </w:tc>
        <w:tc>
          <w:tcPr>
            <w:tcW w:w="902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64" w:hRule="atLeast"/>
          <w:jc w:val="center"/>
        </w:trPr>
        <w:tc>
          <w:tcPr>
            <w:tcW w:w="170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5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6944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3137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37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3.06</w:t>
            </w: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2.94</w:t>
            </w: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37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军队离休退休干部休养所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4.76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4.76</w:t>
            </w: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37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军用供应站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470"/>
              </w:tabs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37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退役军人服务中心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0.64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0.64</w:t>
            </w: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37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170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5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600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941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59" w:hRule="atLeast"/>
          <w:jc w:val="center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353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94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645.07</w:t>
            </w:r>
          </w:p>
        </w:tc>
        <w:tc>
          <w:tcPr>
            <w:tcW w:w="24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645.07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40.21</w:t>
            </w:r>
          </w:p>
        </w:tc>
        <w:tc>
          <w:tcPr>
            <w:tcW w:w="24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40.21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军队离休退休干部休养所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259.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87</w:t>
            </w:r>
          </w:p>
        </w:tc>
        <w:tc>
          <w:tcPr>
            <w:tcW w:w="24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259.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87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军用供应站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281.03</w:t>
            </w:r>
          </w:p>
        </w:tc>
        <w:tc>
          <w:tcPr>
            <w:tcW w:w="24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281.03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退役军人服务中心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63.96</w:t>
            </w:r>
          </w:p>
        </w:tc>
        <w:tc>
          <w:tcPr>
            <w:tcW w:w="24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63.96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346"/>
                <w:tab w:val="center" w:pos="4945"/>
              </w:tabs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gridSpan w:val="3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整体支出绩效定性目标及实施计划完成情况</w:t>
            </w:r>
          </w:p>
        </w:tc>
        <w:tc>
          <w:tcPr>
            <w:tcW w:w="3534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4472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实际完成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15" w:hRule="atLeast"/>
          <w:jc w:val="center"/>
        </w:trPr>
        <w:tc>
          <w:tcPr>
            <w:tcW w:w="1794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推进服务保障体系建设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逐步加强思想政治引导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权益维护精准发力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移交安置规范有序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就业创业工作守正创新  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6：拥军优抚有序开展</w:t>
            </w:r>
          </w:p>
        </w:tc>
        <w:tc>
          <w:tcPr>
            <w:tcW w:w="44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1.服务保障体系建设稳步推进，服务保障能力大幅提升;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2.思想政治引导逐步加强，荣誉激励作用有效发挥;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3.权益维护精准发力，涉军群体基本稳控;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4.移交安置规范有序，退役军人获得感不断增强;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5.就业创业工作守正创新，扶持效果初步显现;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6.拥军优抚有序开展，政策待遇依规落实。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1794" w:type="dxa"/>
            <w:gridSpan w:val="3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整体支出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绩效定量目标及实施计划完成情况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评价内容</w:t>
            </w: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4472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80" w:hRule="atLeast"/>
          <w:jc w:val="center"/>
        </w:trPr>
        <w:tc>
          <w:tcPr>
            <w:tcW w:w="1794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产出目标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（部门工作实绩，包含上级部门和市委市政府布置的重点工作、实事任务等，根据部门实际进行调整细化）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社会效益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指标1：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促进就业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有力</w:t>
            </w:r>
          </w:p>
        </w:tc>
        <w:tc>
          <w:tcPr>
            <w:tcW w:w="44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守正创新开展就业创业。建立就业创业动态台账，加大教育培训力度，全面推进就业招聘。共举办招聘会35场，累计参会企业1700余家，700余名退役军人达成就业意向；高标准举办创业创新大赛，3个项目入围省复赛。组建了我市19人的退役军人就业创业导师团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70" w:hRule="atLeast"/>
          <w:jc w:val="center"/>
        </w:trPr>
        <w:tc>
          <w:tcPr>
            <w:tcW w:w="1794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指标2：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移交安置到位</w:t>
            </w:r>
          </w:p>
        </w:tc>
        <w:tc>
          <w:tcPr>
            <w:tcW w:w="44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正规有序推进移交安置。阳光安置退役士兵251人，军队转业干部39人。为跨军地改革集体转制的408名退役军人及其随迁配偶子女办理落户手续。务实推进社保接续。全市累计受理申请资料16396件，养老保险个人完成缴费6898人，个人和单位补缴金额3674万元。人已缴费6525人，缴费率90.8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30" w:hRule="atLeast"/>
          <w:jc w:val="center"/>
        </w:trPr>
        <w:tc>
          <w:tcPr>
            <w:tcW w:w="1794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拥军优属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暖心</w:t>
            </w:r>
          </w:p>
        </w:tc>
        <w:tc>
          <w:tcPr>
            <w:tcW w:w="44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严格落实优抚政策。走访慰问重点优抚对象570人，召开座谈会12次，慰问驻岳官兵1040人，发放39万元慰问物资。慰问海军岳阳舰，赠送16万元慰问物资；为96名六级以上军残优抚对象落实了医保缴费和定额资金；为2678名伤残军人更换了新版的伤残证件。稳慎开展“两参”人员内部核查。截止目前，两参人员总数为11553人，其中仍应享受待遇的有9419人，占已享受待遇人员的81.5%。积极推进双拥工作。出台我市《关于进一步做好新时代拥军优属工作的意见》，积极推进“六个一”的双拥工作亮点。推荐安置军人家属就业15人，移防部队家属7名。86名军人子女享受教育优待。举办欢送新兵入伍和迎接退役军人回乡活动26场次，为327名立功军人家庭送喜报，在《岳阳日报》开设立功军人光荣榜专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5" w:hRule="atLeast"/>
          <w:jc w:val="center"/>
        </w:trPr>
        <w:tc>
          <w:tcPr>
            <w:tcW w:w="1794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权益维护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有效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4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加大信访问题督办力度。持续开展“信访积案化解年”活动，截止目前，市局共接待来访人员500多批次，1100多人。妥善处置公安要情65起、信息预警9起，处理信访件96件、来电270人次，回复12345热线和市长信箱问题25件。高位高效推动矛盾问题“百日攻坚”。咬住“北京不去、省内不聚、跨省不串、网上不吵”的目标，市县两级退役军人事务局领导带头深入一线解决疑难信访案件，带动各级人员进村入户开展大走访，化解一批信访积案、解决一批遗留问题。目前，已完成包案人员走访，事务部挂账督办13件已有8件签订息访息诉协议。抓实帮扶解困。对34名家庭困难的退役军人和烈士遗属，20名康养慰藉、助学助医对象进行分类帮扶。发放春节慰问金122万余元、市直单位在职企业军转干部工资补差295万余元，住院（死亡）补助104万余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25" w:hRule="atLeast"/>
          <w:jc w:val="center"/>
        </w:trPr>
        <w:tc>
          <w:tcPr>
            <w:tcW w:w="1794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服务体系建设稳步推进</w:t>
            </w:r>
          </w:p>
        </w:tc>
        <w:tc>
          <w:tcPr>
            <w:tcW w:w="44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开展“基层基础建设完善年”活动，推进退役军人服务站建设。加强组织领导。3月份召开全市退役军人服务中心主任会议，明确全年目标、提出具体创建标准；5月份召开服务保障体系建设推进会，查找不足推动工作。7月份市人大对全市服务保障体系建设进行评议调研，巩固深化“五有”、“全覆盖”成果。创建示范站点。12个县（区）级服务中心、138个乡镇级服务站已达到示范型标准。8家服务站被评为“湖南省百家红色退役军人服务站”。发挥退役军人作用。积极发挥退役军人志愿队伍在文明城市创建、农村人居环境整治、防汛抗旱、脱贫攻坚中的作用。全市共成立退役军人志愿服务组织368个，实名志愿者总人数5237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1794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专项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经费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44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各项资金管理规范，无违规使用资金现象。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48" w:hRule="atLeast"/>
          <w:jc w:val="center"/>
        </w:trPr>
        <w:tc>
          <w:tcPr>
            <w:tcW w:w="1794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指标2：“三公”经费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支出合理，管理精细</w:t>
            </w:r>
          </w:p>
        </w:tc>
        <w:tc>
          <w:tcPr>
            <w:tcW w:w="44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年度“三公”经费支出规范、厉行节约效果明显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90" w:hRule="atLeast"/>
          <w:jc w:val="center"/>
        </w:trPr>
        <w:tc>
          <w:tcPr>
            <w:tcW w:w="1794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社会公众或服务对象满意度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平安创建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信访维稳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移交安置</w:t>
            </w:r>
          </w:p>
        </w:tc>
        <w:tc>
          <w:tcPr>
            <w:tcW w:w="44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2021年我局各项建设更上一层楼；赴省进京信访总量排全省前列；我市服务保障体系建设、走访慰问、“双带双促”等工作，也获得退役军人事务厅重点推介，得到省、部调研组充分肯定；军转干部安置满意度高，符合政府安排工作条件的退役士兵安置质量明显提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2" w:hRule="atLeast"/>
          <w:jc w:val="center"/>
        </w:trPr>
        <w:tc>
          <w:tcPr>
            <w:tcW w:w="2856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6944" w:type="dxa"/>
            <w:gridSpan w:val="1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12" w:hRule="atLeast"/>
          <w:jc w:val="center"/>
        </w:trPr>
        <w:tc>
          <w:tcPr>
            <w:tcW w:w="2856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6944" w:type="dxa"/>
            <w:gridSpan w:val="1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90" w:hRule="atLeast"/>
          <w:jc w:val="center"/>
        </w:trPr>
        <w:tc>
          <w:tcPr>
            <w:tcW w:w="9800" w:type="dxa"/>
            <w:gridSpan w:val="1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367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职务/职称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邹望春</w:t>
            </w:r>
          </w:p>
        </w:tc>
        <w:tc>
          <w:tcPr>
            <w:tcW w:w="367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副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局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长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退役军人事务局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刘淑平</w:t>
            </w:r>
          </w:p>
        </w:tc>
        <w:tc>
          <w:tcPr>
            <w:tcW w:w="367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规财科科长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退役军人事务局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吴加勇</w:t>
            </w:r>
          </w:p>
        </w:tc>
        <w:tc>
          <w:tcPr>
            <w:tcW w:w="367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规财科副科长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退役军人事务局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39" w:hRule="atLeast"/>
          <w:jc w:val="center"/>
        </w:trPr>
        <w:tc>
          <w:tcPr>
            <w:tcW w:w="9800" w:type="dxa"/>
            <w:gridSpan w:val="1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62" w:hRule="atLeast"/>
          <w:jc w:val="center"/>
        </w:trPr>
        <w:tc>
          <w:tcPr>
            <w:tcW w:w="9800" w:type="dxa"/>
            <w:gridSpan w:val="1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部门（单位）负责人（签章）：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94" w:hRule="atLeast"/>
          <w:jc w:val="center"/>
        </w:trPr>
        <w:tc>
          <w:tcPr>
            <w:tcW w:w="9800" w:type="dxa"/>
            <w:gridSpan w:val="14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财政部门归口业务科室负责人（签章）：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年 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 xml:space="preserve">填报人（签名）： 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吴加勇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8878139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558" w:type="dxa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/>
              </w:rPr>
              <w:t>岳阳市退役军人事务局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/>
              </w:rPr>
              <w:t>2021年整体支出绩效自评报告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一、部门基本情况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lang w:val="en-US" w:eastAsia="zh-CN"/>
              </w:rPr>
              <w:t>（一）部门职能职责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岳阳市退役军人事务局为市政府工作部门，成立于2018年12月，主要职能职责为：贯彻执行党和国家关于退役军人思想政治、管理保障和安置优抚等工作政策法规，组织实施退役军人事务发展规划和政策；褒扬彰显退役军人为党、国家和人民牺牲奉献的精神风范和价值导向，负责军队转业干部、复员干部、离休退休干部、退役士兵和无军籍退休退职职工的移交安置工作和自主择业、就业退役军人服务管理工作，组织指导退役军人教育培训、优抚抚恤等，组织指导全市拥军优属工作，组织实施烈士及退役军人荣誉奖励、纪念活动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lang w:val="en-US" w:eastAsia="zh-CN"/>
              </w:rPr>
              <w:t>（二）部门机构设置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我局机关核定编制数20个，现有工作人员20人，机关内设8个科室：办公室、规划财务科、政策法规科（权益维护科）、移交安置科、就业创业科、军休服务管理科、拥军优抚科、双拥工作科。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机关党委、机关纪委按章程设置，机关党委加挂人事教育科牌子。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下辖局属二级单位四个，分别是市军队干部离休退休干部休养所、市军队离休退休干部管理服务中心 、市军用供应站、市退役军人服务中心。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二、2020年整体支出管理及使用情况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我局2021年收入为3776.42万元，其中上年结转838.98万元，财政拨款收入2355.61万元，其他收入581.83万元。本年支出3341.83万元（含基本支出和项目支出）。基本支出为1968.11万元，其中人员支出为1574.8万元，公用支出为393.31万元，项目支出为1372.01万元。年末结转和结余-55.11万元。事业费分类为抚恤、退役安置、退役军人事务管理共支出1138.21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highlight w:val="none"/>
                <w:lang w:val="en-US" w:eastAsia="zh-CN"/>
              </w:rPr>
              <w:t>（一）抚恤经费。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2021年我局抚恤专项资金支出144.83万元，其中局机关优抚对象慰问经费90.94万元，军供站单位经费53.89万元。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highlight w:val="none"/>
                <w:lang w:val="en-US" w:eastAsia="zh-CN"/>
              </w:rPr>
              <w:t>退役安置经费。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2021年我局退役安置专项资金支出746.87万元，其中退役士兵安置费88.10万元，离退休人员安置费507.26万元，其他151.51万元。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highlight w:val="none"/>
                <w:lang w:val="en-US" w:eastAsia="zh-CN"/>
              </w:rPr>
              <w:t>退役军人管理事务经费。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2021年我局退役军人管理事务专项资金支出246.51万元，其中行政管理事务费223.51万元，其他事务费23万元。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三、整体支出绩效自评结论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2021年，我局围绕“三个主题年”活动（基层基础建设完善年、法律政策落实年、信访积案化解年）推进各项工作，在维护退役军人合法权益，保持涉军群体稳定方面做出了贡献，得到了全市各界的一致好评，取得了较好的社会效益，根据绩效目标评价标准，我局2021年整体支出绩效自评为优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四、存在的问题及工作计划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lang w:val="en-US" w:eastAsia="zh-CN"/>
              </w:rPr>
              <w:t>（一）存在的问题。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一是思想政治引领还需强化。退役军人思想政治工作实体化意识还不强、品牌化还不够，不善于抢抓重要节点、巧借热点事件，针对性地策划开展活动。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二是涉军问题还需持续关注。部分退役军人或群体对解决历史遗留问题、政策问题有很高的期望值，易因配套措施出台滞后、期望与现实落差较大，造成上访情况。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三是服务体系建设亟待完善。县市区退役军人体系建设发展不平衡。乡镇（街道）、村（社区）服务站“五有”落实不到位，建设标准不高、功能作用发挥不明显。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四是融入国防和现代化建设还需加强。退役军人工作服务于国防和军队现代化建设，向备战打仗聚焦不够，围绕后路、后院、后代发力还显不足，在编制保障、随军家属就业、军人子女教育优待等方面还需加强。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lang w:val="en-US" w:eastAsia="zh-CN"/>
              </w:rPr>
              <w:t>（二）2022年工作思路。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一是在强化思想引领上下功夫。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常态化做好我市退役军人思想政治工作，推动退役军人增强“四个意识”，坚定“四个”自信，做到“两个维护”。大力宣传退役军人先进典型、模范事迹，进一步拓展“尊崇”内容、丰富“尊崇”形式浓厚氛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二是在矛盾风险防范上下功夫。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压紧压实涉军维稳工作属地责任，织紧织密防范化解重大风险安全防护网。以退役军人矛盾问题“百日攻坚”活动为抓手，加大重复访、规模访、越级访化解力度。完善舆情信息联动机制，加强舆情监测研判，对苗头性倾向性问题早发现、早预警、早处置，保持社会大局和谐稳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三是在夯实基层基础上下功夫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。积极争取退役军人事务部、省退役军人事务厅以及市财政对我市退役军人工作的支持力度，以乡镇（街道）、村（社区）为主阵地实施示范创建。推进“退役军人服务+互联网”建设，完善退役军人综合信息数据库，推动退役军人事务领域治理能力现代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四是在不断优化服务上下功夫。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健全“阳光安置”工作机制，高标准完成退役军人安置任务。研究制定促进退役军人就业创业工作措施，拓宽就业创业渠道。积极创建“双拥”模范城，着力解决“三后”（后路、后院、后代）问题，妥善解决火箭军移防部队实际困难。积极落实军休干部“两项”待遇，不断提高军休服务管理水平。大力实施“优抚对象关怀计划”，持续做好退役军人困难帮扶援助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五是在推动队伍建设上下功夫。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开展好政策业务培训，培养更多退役军人工作“行家里手”。增强应急处突能力，努力把问题解决在基层、把矛盾消除在萌芽状态。着力强化宗旨意识，多到矛盾集中、问题复杂的地方去了解实情、化解难题。</w:t>
            </w:r>
            <w:r>
              <w:rPr>
                <w:rFonts w:hint="eastAsia" w:ascii="仿宋_GB2312" w:hAnsi="仿宋_GB2312" w:eastAsia="仿宋_GB2312" w:cs="Times New Roman"/>
                <w:sz w:val="32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0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0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0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00" w:firstLineChars="17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岳阳市退役军人事务局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400" w:firstLineChars="1800"/>
              <w:textAlignment w:val="auto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2021年6月14日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>
      <w:pPr>
        <w:adjustRightInd w:val="0"/>
        <w:snapToGrid w:val="0"/>
        <w:spacing w:beforeLines="50"/>
        <w:contextualSpacing/>
      </w:pP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sz w:val="24"/>
        <w:szCs w:val="24"/>
      </w:rPr>
    </w:pPr>
    <w:r>
      <w:rPr>
        <w:rStyle w:val="10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0"/>
        <w:sz w:val="24"/>
        <w:szCs w:val="24"/>
      </w:rPr>
      <w:t>9</w:t>
    </w:r>
    <w:r>
      <w:rPr>
        <w:sz w:val="24"/>
        <w:szCs w:val="24"/>
      </w:rPr>
      <w:fldChar w:fldCharType="end"/>
    </w:r>
    <w:r>
      <w:rPr>
        <w:rStyle w:val="10"/>
        <w:rFonts w:hint="eastAsia"/>
        <w:sz w:val="24"/>
        <w:szCs w:val="24"/>
      </w:rPr>
      <w:t xml:space="preserve"> —</w:t>
    </w:r>
  </w:p>
  <w:p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t>- 15 -</w:t>
    </w:r>
    <w:r>
      <w:fldChar w:fldCharType="end"/>
    </w:r>
  </w:p>
  <w:p>
    <w:pPr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7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>
    <w:nsid w:val="53F2CB2E"/>
    <w:multiLevelType w:val="singleLevel"/>
    <w:tmpl w:val="53F2CB2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3"/>
  <w:drawingGridVerticalSpacing w:val="30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VjZDc5YjMxMWU0ZTk5NDM5YjMxZTY4N2E3MDU0MjE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5689D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6456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393A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47EFA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40C9D"/>
    <w:rsid w:val="0054794C"/>
    <w:rsid w:val="005530D1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B6"/>
    <w:rsid w:val="00CA69DC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0D69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4425FE9"/>
    <w:rsid w:val="04C331C3"/>
    <w:rsid w:val="05FF6281"/>
    <w:rsid w:val="06E17D3B"/>
    <w:rsid w:val="0B163B2B"/>
    <w:rsid w:val="0B4507BC"/>
    <w:rsid w:val="0B580592"/>
    <w:rsid w:val="0C5672A5"/>
    <w:rsid w:val="0CEE6048"/>
    <w:rsid w:val="0F803E6A"/>
    <w:rsid w:val="11751FF3"/>
    <w:rsid w:val="15AF4DD5"/>
    <w:rsid w:val="1604125D"/>
    <w:rsid w:val="178F1A2B"/>
    <w:rsid w:val="17D34280"/>
    <w:rsid w:val="1AD475A4"/>
    <w:rsid w:val="1B6948E9"/>
    <w:rsid w:val="1CB533A4"/>
    <w:rsid w:val="1D12485B"/>
    <w:rsid w:val="1FDE2C12"/>
    <w:rsid w:val="212200A6"/>
    <w:rsid w:val="21383517"/>
    <w:rsid w:val="26510A01"/>
    <w:rsid w:val="27005F66"/>
    <w:rsid w:val="27D7337A"/>
    <w:rsid w:val="28FC776E"/>
    <w:rsid w:val="2AF23E85"/>
    <w:rsid w:val="2CC9190C"/>
    <w:rsid w:val="308549EA"/>
    <w:rsid w:val="364E2F94"/>
    <w:rsid w:val="37202641"/>
    <w:rsid w:val="39ED5374"/>
    <w:rsid w:val="3C157E3D"/>
    <w:rsid w:val="3D52139E"/>
    <w:rsid w:val="3D7043B0"/>
    <w:rsid w:val="3E9C3F6D"/>
    <w:rsid w:val="40EE5649"/>
    <w:rsid w:val="4678383F"/>
    <w:rsid w:val="4B3412CF"/>
    <w:rsid w:val="4BD57F1D"/>
    <w:rsid w:val="5130585B"/>
    <w:rsid w:val="529E6357"/>
    <w:rsid w:val="52D5693E"/>
    <w:rsid w:val="582A300A"/>
    <w:rsid w:val="5A1218AC"/>
    <w:rsid w:val="631637CD"/>
    <w:rsid w:val="637757B2"/>
    <w:rsid w:val="63E36C5E"/>
    <w:rsid w:val="64172CDF"/>
    <w:rsid w:val="70AE4870"/>
    <w:rsid w:val="76535E72"/>
    <w:rsid w:val="7BCF19FE"/>
    <w:rsid w:val="7C7176A0"/>
    <w:rsid w:val="7E93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1"/>
    <w:qFormat/>
    <w:uiPriority w:val="0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/>
      <w:b/>
      <w:bCs/>
      <w:szCs w:val="21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 2"/>
    <w:basedOn w:val="1"/>
    <w:link w:val="15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5">
    <w:name w:val="Balloon Text"/>
    <w:basedOn w:val="1"/>
    <w:link w:val="18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qFormat/>
    <w:uiPriority w:val="0"/>
  </w:style>
  <w:style w:type="character" w:customStyle="1" w:styleId="11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0"/>
    <w:rPr>
      <w:sz w:val="18"/>
      <w:szCs w:val="18"/>
    </w:rPr>
  </w:style>
  <w:style w:type="character" w:customStyle="1" w:styleId="13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4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5">
    <w:name w:val="正文文本缩进 2 Char"/>
    <w:basedOn w:val="9"/>
    <w:link w:val="4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6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7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8">
    <w:name w:val="批注框文本 Char"/>
    <w:basedOn w:val="9"/>
    <w:link w:val="5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20</Pages>
  <Words>9383</Words>
  <Characters>10187</Characters>
  <Lines>78</Lines>
  <Paragraphs>21</Paragraphs>
  <TotalTime>40</TotalTime>
  <ScaleCrop>false</ScaleCrop>
  <LinksUpToDate>false</LinksUpToDate>
  <CharactersWithSpaces>11365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2021-06-02T01:03:00Z</dcterms:created>
  <dc:creator>User</dc:creator>
  <cp:lastModifiedBy>不过一刀的疤15276949392</cp:lastModifiedBy>
  <cp:lastPrinted>2023-04-12T08:49:07Z</cp:lastPrinted>
  <dcterms:modified xsi:type="dcterms:W3CDTF">2023-04-12T09:10:47Z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1FB8B3420081464B984CC5558BC300DF</vt:lpwstr>
  </property>
</Properties>
</file>