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rPr>
          <w:rFonts w:ascii="黑体" w:hAnsi="黑体" w:eastAsia="黑体" w:cs="黑体"/>
          <w:bCs/>
          <w:sz w:val="32"/>
          <w:szCs w:val="32"/>
        </w:rPr>
      </w:pPr>
      <w:r>
        <w:br w:type="page"/>
      </w:r>
      <w:r>
        <w:rPr>
          <w:rFonts w:hint="eastAsia" w:ascii="黑体" w:hAnsi="黑体" w:eastAsia="黑体" w:cs="黑体"/>
          <w:bCs/>
          <w:sz w:val="32"/>
          <w:szCs w:val="32"/>
        </w:rPr>
        <w:t>附件</w:t>
      </w:r>
      <w:r>
        <w:rPr>
          <w:rFonts w:ascii="黑体" w:hAnsi="黑体" w:eastAsia="黑体" w:cs="黑体"/>
          <w:bCs/>
          <w:sz w:val="32"/>
          <w:szCs w:val="32"/>
        </w:rPr>
        <w:t>2-1</w:t>
      </w:r>
    </w:p>
    <w:p>
      <w:pPr>
        <w:spacing w:line="348" w:lineRule="auto"/>
        <w:jc w:val="center"/>
        <w:rPr>
          <w:rFonts w:eastAsia="方正小标宋简体"/>
          <w:bCs/>
          <w:sz w:val="42"/>
          <w:szCs w:val="42"/>
        </w:rPr>
      </w:pPr>
    </w:p>
    <w:p>
      <w:pPr>
        <w:spacing w:line="800" w:lineRule="exact"/>
        <w:jc w:val="center"/>
        <w:rPr>
          <w:rFonts w:eastAsia="方正小标宋简体"/>
          <w:bCs/>
          <w:sz w:val="46"/>
          <w:szCs w:val="46"/>
        </w:rPr>
      </w:pPr>
      <w:r>
        <w:rPr>
          <w:rFonts w:hint="eastAsia" w:eastAsia="方正小标宋简体"/>
          <w:bCs/>
          <w:sz w:val="46"/>
          <w:szCs w:val="46"/>
        </w:rPr>
        <w:t>岳阳市</w:t>
      </w:r>
      <w:r>
        <w:rPr>
          <w:rFonts w:eastAsia="方正小标宋简体"/>
          <w:bCs/>
          <w:sz w:val="46"/>
          <w:szCs w:val="46"/>
        </w:rPr>
        <w:t>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w:t>
      </w:r>
      <w:r>
        <w:rPr>
          <w:rFonts w:eastAsia="仿宋_GB2312"/>
          <w:sz w:val="32"/>
          <w:szCs w:val="32"/>
        </w:rPr>
        <w:t>(</w:t>
      </w:r>
      <w:r>
        <w:rPr>
          <w:rFonts w:hint="eastAsia" w:eastAsia="仿宋_GB2312"/>
          <w:sz w:val="32"/>
          <w:szCs w:val="32"/>
        </w:rPr>
        <w:t>单位</w:t>
      </w:r>
      <w:r>
        <w:rPr>
          <w:rFonts w:eastAsia="仿宋_GB2312"/>
          <w:sz w:val="32"/>
          <w:szCs w:val="32"/>
        </w:rPr>
        <w:t>)</w:t>
      </w:r>
      <w:r>
        <w:rPr>
          <w:rFonts w:hint="eastAsia" w:eastAsia="仿宋_GB2312"/>
          <w:sz w:val="32"/>
          <w:szCs w:val="32"/>
        </w:rPr>
        <w:t>名称：</w:t>
      </w:r>
      <w:r>
        <w:rPr>
          <w:rFonts w:eastAsia="仿宋_GB2312"/>
          <w:sz w:val="32"/>
          <w:szCs w:val="32"/>
          <w:u w:val="single"/>
        </w:rPr>
        <w:t xml:space="preserve">    </w:t>
      </w:r>
      <w:r>
        <w:rPr>
          <w:rFonts w:hint="eastAsia" w:eastAsia="仿宋_GB2312"/>
          <w:sz w:val="32"/>
          <w:szCs w:val="32"/>
          <w:u w:val="single"/>
        </w:rPr>
        <w:t>岳阳市木材检查检疫站</w:t>
      </w:r>
      <w:r>
        <w:rPr>
          <w:rFonts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eastAsia="仿宋_GB2312"/>
          <w:spacing w:val="30"/>
          <w:sz w:val="32"/>
          <w:szCs w:val="32"/>
        </w:rPr>
        <w:t xml:space="preserve"> </w:t>
      </w:r>
      <w:r>
        <w:rPr>
          <w:rFonts w:hint="eastAsia" w:eastAsia="仿宋_GB2312"/>
          <w:spacing w:val="30"/>
          <w:sz w:val="32"/>
          <w:szCs w:val="32"/>
        </w:rPr>
        <w:t>算</w:t>
      </w:r>
      <w:r>
        <w:rPr>
          <w:rFonts w:eastAsia="仿宋_GB2312"/>
          <w:spacing w:val="30"/>
          <w:sz w:val="32"/>
          <w:szCs w:val="32"/>
        </w:rPr>
        <w:t xml:space="preserve"> </w:t>
      </w:r>
      <w:r>
        <w:rPr>
          <w:rFonts w:hint="eastAsia" w:eastAsia="仿宋_GB2312"/>
          <w:spacing w:val="30"/>
          <w:sz w:val="32"/>
          <w:szCs w:val="32"/>
        </w:rPr>
        <w:t>编</w:t>
      </w:r>
      <w:r>
        <w:rPr>
          <w:rFonts w:eastAsia="仿宋_GB2312"/>
          <w:spacing w:val="30"/>
          <w:sz w:val="32"/>
          <w:szCs w:val="32"/>
        </w:rPr>
        <w:t xml:space="preserve"> </w:t>
      </w:r>
      <w:r>
        <w:rPr>
          <w:rFonts w:hint="eastAsia" w:eastAsia="仿宋_GB2312"/>
          <w:spacing w:val="30"/>
          <w:sz w:val="32"/>
          <w:szCs w:val="32"/>
        </w:rPr>
        <w:t>码：</w:t>
      </w:r>
      <w:r>
        <w:rPr>
          <w:rFonts w:eastAsia="仿宋_GB2312"/>
          <w:spacing w:val="20"/>
          <w:sz w:val="32"/>
          <w:szCs w:val="32"/>
          <w:u w:val="single"/>
        </w:rPr>
        <w:t xml:space="preserve">     608004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评价机构：部门（单位）评价组</w:t>
      </w:r>
      <w:r>
        <w:rPr>
          <w:rFonts w:eastAsia="仿宋_GB2312"/>
          <w:sz w:val="32"/>
          <w:szCs w:val="32"/>
        </w:rPr>
        <w:t xml:space="preserve">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eastAsia="仿宋_GB2312"/>
          <w:sz w:val="32"/>
        </w:rPr>
        <w:t xml:space="preserve">  202</w:t>
      </w:r>
      <w:r>
        <w:rPr>
          <w:rFonts w:hint="eastAsia" w:eastAsia="仿宋_GB2312"/>
          <w:sz w:val="32"/>
          <w:lang w:val="en-US" w:eastAsia="zh-CN"/>
        </w:rPr>
        <w:t>2</w:t>
      </w:r>
      <w:r>
        <w:rPr>
          <w:rFonts w:hint="eastAsia" w:eastAsia="仿宋_GB2312"/>
          <w:sz w:val="32"/>
        </w:rPr>
        <w:t>年</w:t>
      </w:r>
      <w:r>
        <w:rPr>
          <w:rFonts w:eastAsia="仿宋_GB2312"/>
          <w:sz w:val="32"/>
        </w:rPr>
        <w:t xml:space="preserve">  6 </w:t>
      </w:r>
      <w:r>
        <w:rPr>
          <w:rFonts w:hint="eastAsia" w:eastAsia="仿宋_GB2312"/>
          <w:sz w:val="32"/>
        </w:rPr>
        <w:t>月</w:t>
      </w:r>
      <w:r>
        <w:rPr>
          <w:rFonts w:eastAsia="仿宋_GB2312"/>
          <w:sz w:val="32"/>
        </w:rPr>
        <w:t xml:space="preserve">  4 </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6"/>
        <w:tblW w:w="980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59"/>
        <w:gridCol w:w="73"/>
        <w:gridCol w:w="1007"/>
        <w:gridCol w:w="210"/>
        <w:gridCol w:w="1145"/>
        <w:gridCol w:w="272"/>
        <w:gridCol w:w="808"/>
        <w:gridCol w:w="1479"/>
        <w:gridCol w:w="226"/>
        <w:gridCol w:w="196"/>
        <w:gridCol w:w="259"/>
        <w:gridCol w:w="994"/>
        <w:gridCol w:w="351"/>
        <w:gridCol w:w="139"/>
        <w:gridCol w:w="316"/>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73"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44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陈茂</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8845405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73"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44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15</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106" w:type="dxa"/>
            <w:gridSpan w:val="8"/>
            <w:vAlign w:val="center"/>
          </w:tcPr>
          <w:p>
            <w:pPr>
              <w:autoSpaceDN w:val="0"/>
              <w:spacing w:line="320" w:lineRule="exact"/>
              <w:jc w:val="center"/>
              <w:textAlignment w:val="center"/>
              <w:rPr>
                <w:rFonts w:hint="eastAsia" w:ascii="仿宋_GB2312" w:hAnsi="仿宋_GB2312" w:eastAsia="仿宋_GB2312" w:cs="仿宋_GB2312"/>
                <w:color w:val="000000"/>
                <w:sz w:val="24"/>
                <w:lang w:val="en-US" w:eastAsia="zh-CN"/>
              </w:rPr>
            </w:pP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773"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027" w:type="dxa"/>
            <w:gridSpan w:val="14"/>
            <w:vAlign w:val="center"/>
          </w:tcPr>
          <w:p>
            <w:pPr>
              <w:numPr>
                <w:ilvl w:val="0"/>
                <w:numId w:val="2"/>
              </w:numPr>
              <w:ind w:left="31680" w:hanging="240" w:hangingChars="100"/>
              <w:jc w:val="left"/>
              <w:rPr>
                <w:rFonts w:ascii="仿宋_GB2312" w:eastAsia="仿宋_GB2312"/>
                <w:sz w:val="24"/>
              </w:rPr>
            </w:pPr>
            <w:r>
              <w:rPr>
                <w:rFonts w:hint="eastAsia" w:ascii="仿宋_GB2312" w:eastAsia="仿宋_GB2312"/>
                <w:sz w:val="24"/>
              </w:rPr>
              <w:t>为保护森林资源提供木材运输检查保障；</w:t>
            </w:r>
            <w:r>
              <w:rPr>
                <w:rFonts w:ascii="仿宋_GB2312" w:eastAsia="仿宋_GB2312"/>
                <w:sz w:val="24"/>
              </w:rPr>
              <w:t xml:space="preserve">                            2</w:t>
            </w:r>
            <w:r>
              <w:rPr>
                <w:rFonts w:hint="eastAsia" w:ascii="仿宋_GB2312" w:eastAsia="仿宋_GB2312"/>
                <w:sz w:val="24"/>
              </w:rPr>
              <w:t>、木材运输及野生动物及其制品是否符合法律法规执行监督；</w:t>
            </w:r>
          </w:p>
          <w:p>
            <w:pPr>
              <w:ind w:left="-210" w:leftChars="-100"/>
              <w:jc w:val="left"/>
              <w:rPr>
                <w:rFonts w:ascii="仿宋_GB2312" w:hAnsi="宋体" w:eastAsia="仿宋_GB2312" w:cs="宋体"/>
                <w:sz w:val="24"/>
              </w:rPr>
            </w:pPr>
            <w:r>
              <w:rPr>
                <w:rFonts w:ascii="仿宋_GB2312" w:eastAsia="仿宋_GB2312"/>
                <w:sz w:val="24"/>
              </w:rPr>
              <w:t>3</w:t>
            </w:r>
            <w:r>
              <w:rPr>
                <w:rFonts w:hint="eastAsia" w:ascii="仿宋_GB2312" w:eastAsia="仿宋_GB2312"/>
                <w:sz w:val="24"/>
              </w:rPr>
              <w:t>、</w:t>
            </w:r>
            <w:r>
              <w:rPr>
                <w:rFonts w:ascii="仿宋_GB2312" w:eastAsia="仿宋_GB2312"/>
                <w:sz w:val="24"/>
              </w:rPr>
              <w:t>3</w:t>
            </w:r>
            <w:r>
              <w:rPr>
                <w:rFonts w:hint="eastAsia" w:ascii="仿宋_GB2312" w:eastAsia="仿宋_GB2312"/>
                <w:sz w:val="24"/>
              </w:rPr>
              <w:t>、林业政策宣传。</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773"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027" w:type="dxa"/>
            <w:gridSpan w:val="14"/>
            <w:vAlign w:val="center"/>
          </w:tcPr>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、对木材运输过程是否依法依规，执行监督达到</w:t>
            </w:r>
            <w:r>
              <w:rPr>
                <w:rFonts w:ascii="仿宋_GB2312" w:hAnsi="仿宋_GB2312" w:eastAsia="仿宋_GB2312" w:cs="仿宋_GB2312"/>
                <w:color w:val="000000"/>
                <w:sz w:val="24"/>
              </w:rPr>
              <w:t>100%</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、林业政策宣传；</w:t>
            </w:r>
            <w:r>
              <w:rPr>
                <w:rFonts w:ascii="仿宋_GB2312" w:hAnsi="仿宋_GB2312" w:eastAsia="仿宋_GB2312" w:cs="仿宋_GB2312"/>
                <w:color w:val="00000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260" w:hRule="atLeast"/>
          <w:jc w:val="center"/>
        </w:trPr>
        <w:tc>
          <w:tcPr>
            <w:tcW w:w="1773" w:type="dxa"/>
            <w:gridSpan w:val="3"/>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027" w:type="dxa"/>
            <w:gridSpan w:val="14"/>
            <w:vAlign w:val="center"/>
          </w:tcPr>
          <w:p>
            <w:pPr>
              <w:autoSpaceDN w:val="0"/>
              <w:spacing w:line="40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：完成木材运输法律法规执行监督达到</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：林业政策宣传达到</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014" w:hRule="atLeast"/>
          <w:jc w:val="center"/>
        </w:trPr>
        <w:tc>
          <w:tcPr>
            <w:tcW w:w="1700"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705"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政府基金拨款</w:t>
            </w: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0"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72" w:hRule="atLeast"/>
          <w:jc w:val="center"/>
        </w:trPr>
        <w:tc>
          <w:tcPr>
            <w:tcW w:w="170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局机关及二级机构汇总</w:t>
            </w:r>
          </w:p>
        </w:tc>
        <w:tc>
          <w:tcPr>
            <w:tcW w:w="1080" w:type="dxa"/>
            <w:gridSpan w:val="2"/>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256.01</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3.97</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lang w:val="en-US" w:eastAsia="zh-CN"/>
              </w:rPr>
              <w:t>42.04</w:t>
            </w: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、岳阳市木材检查检疫站</w:t>
            </w:r>
          </w:p>
        </w:tc>
        <w:tc>
          <w:tcPr>
            <w:tcW w:w="1080" w:type="dxa"/>
            <w:gridSpan w:val="2"/>
            <w:tcBorders>
              <w:righ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256.01</w:t>
            </w: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3.97</w:t>
            </w:r>
          </w:p>
        </w:tc>
        <w:tc>
          <w:tcPr>
            <w:tcW w:w="1080"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kern w:val="2"/>
                <w:sz w:val="24"/>
                <w:szCs w:val="24"/>
                <w:lang w:val="en-US" w:eastAsia="zh-CN" w:bidi="ar-SA"/>
              </w:rPr>
              <w:t>242.04</w:t>
            </w:r>
          </w:p>
        </w:tc>
        <w:tc>
          <w:tcPr>
            <w:tcW w:w="1705" w:type="dxa"/>
            <w:gridSpan w:val="2"/>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kern w:val="2"/>
                <w:sz w:val="24"/>
                <w:szCs w:val="24"/>
                <w:lang w:val="en-US" w:eastAsia="zh-CN" w:bidi="ar-SA"/>
              </w:rPr>
            </w:pPr>
          </w:p>
        </w:tc>
        <w:tc>
          <w:tcPr>
            <w:tcW w:w="1080" w:type="dxa"/>
            <w:gridSpan w:val="3"/>
            <w:vAlign w:val="center"/>
          </w:tcPr>
          <w:p>
            <w:pPr>
              <w:autoSpaceDN w:val="0"/>
              <w:spacing w:line="320" w:lineRule="exact"/>
              <w:jc w:val="left"/>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2"/>
            <w:vAlign w:val="center"/>
          </w:tcPr>
          <w:p>
            <w:pPr>
              <w:spacing w:line="320" w:lineRule="exac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gridSpan w:val="2"/>
            <w:tcBorders>
              <w:right w:val="single" w:color="auto" w:sz="4" w:space="0"/>
            </w:tcBorders>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c>
          <w:tcPr>
            <w:tcW w:w="1080"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705" w:type="dxa"/>
            <w:gridSpan w:val="2"/>
            <w:vAlign w:val="center"/>
          </w:tcPr>
          <w:p>
            <w:pPr>
              <w:autoSpaceDN w:val="0"/>
              <w:spacing w:line="320" w:lineRule="exact"/>
              <w:jc w:val="left"/>
              <w:textAlignment w:val="center"/>
              <w:rPr>
                <w:rFonts w:ascii="仿宋_GB2312" w:hAnsi="仿宋_GB2312" w:eastAsia="仿宋_GB2312" w:cs="仿宋_GB2312"/>
                <w:color w:val="000000"/>
                <w:sz w:val="24"/>
              </w:rPr>
            </w:pPr>
          </w:p>
        </w:tc>
        <w:tc>
          <w:tcPr>
            <w:tcW w:w="180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3"/>
            <w:vAlign w:val="center"/>
          </w:tcPr>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部门（单位）年度支出和结余情况（万元）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vAlign w:val="center"/>
          </w:tcPr>
          <w:p>
            <w:pPr>
              <w:snapToGrid w:val="0"/>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支出合计</w:t>
            </w:r>
          </w:p>
        </w:tc>
        <w:tc>
          <w:tcPr>
            <w:tcW w:w="5589" w:type="dxa"/>
            <w:gridSpan w:val="9"/>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1431" w:type="dxa"/>
            <w:gridSpan w:val="4"/>
            <w:tcBorders>
              <w:left w:val="single" w:color="auto" w:sz="4" w:space="0"/>
              <w:bottom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基本支出</w:t>
            </w:r>
          </w:p>
        </w:tc>
        <w:tc>
          <w:tcPr>
            <w:tcW w:w="3240" w:type="dxa"/>
            <w:gridSpan w:val="6"/>
            <w:tcBorders>
              <w:top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94" w:type="dxa"/>
            <w:vMerge w:val="restart"/>
            <w:tcBorders>
              <w:top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项目支出</w:t>
            </w:r>
          </w:p>
        </w:tc>
        <w:tc>
          <w:tcPr>
            <w:tcW w:w="806" w:type="dxa"/>
            <w:gridSpan w:val="3"/>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当年结余</w:t>
            </w:r>
          </w:p>
        </w:tc>
        <w:tc>
          <w:tcPr>
            <w:tcW w:w="625" w:type="dxa"/>
            <w:vMerge w:val="restart"/>
            <w:tcBorders>
              <w:top w:val="single" w:color="auto" w:sz="4" w:space="0"/>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人员支出</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公用支出</w:t>
            </w:r>
          </w:p>
        </w:tc>
        <w:tc>
          <w:tcPr>
            <w:tcW w:w="994"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06" w:type="dxa"/>
            <w:gridSpan w:val="3"/>
            <w:vMerge w:val="continue"/>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77"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256.01</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256.01</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207.64</w:t>
            </w:r>
          </w:p>
        </w:tc>
        <w:tc>
          <w:tcPr>
            <w:tcW w:w="2160" w:type="dxa"/>
            <w:gridSpan w:val="4"/>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48.37</w:t>
            </w:r>
          </w:p>
        </w:tc>
        <w:tc>
          <w:tcPr>
            <w:tcW w:w="994"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06"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94"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06"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2</w:t>
            </w:r>
            <w:r>
              <w:rPr>
                <w:rFonts w:hint="eastAsia" w:ascii="仿宋_GB2312" w:hAnsi="仿宋_GB2312" w:eastAsia="仿宋_GB2312" w:cs="仿宋_GB2312"/>
                <w:sz w:val="24"/>
              </w:rPr>
              <w:t>、岳阳市木材检查检疫站</w:t>
            </w:r>
          </w:p>
        </w:tc>
        <w:tc>
          <w:tcPr>
            <w:tcW w:w="108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256.01</w:t>
            </w:r>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256.01</w:t>
            </w:r>
          </w:p>
        </w:tc>
        <w:tc>
          <w:tcPr>
            <w:tcW w:w="1080" w:type="dxa"/>
            <w:gridSpan w:val="2"/>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207.64</w:t>
            </w:r>
          </w:p>
        </w:tc>
        <w:tc>
          <w:tcPr>
            <w:tcW w:w="2160" w:type="dxa"/>
            <w:gridSpan w:val="4"/>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48.37</w:t>
            </w:r>
          </w:p>
        </w:tc>
        <w:tc>
          <w:tcPr>
            <w:tcW w:w="994"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06"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color w:val="000000"/>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94" w:type="dxa"/>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806" w:type="dxa"/>
            <w:gridSpan w:val="3"/>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62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三公经费</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7020" w:type="dxa"/>
            <w:gridSpan w:val="13"/>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公务接待费</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公务用车运维费</w:t>
            </w: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公务用车购置费</w:t>
            </w: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8"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、岳阳市木材检查检疫站</w:t>
            </w:r>
          </w:p>
        </w:tc>
        <w:tc>
          <w:tcPr>
            <w:tcW w:w="108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2.52</w:t>
            </w:r>
            <w:bookmarkStart w:id="0" w:name="_GoBack"/>
            <w:bookmarkEnd w:id="0"/>
          </w:p>
        </w:tc>
        <w:tc>
          <w:tcPr>
            <w:tcW w:w="1355" w:type="dxa"/>
            <w:gridSpan w:val="2"/>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2.52</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355" w:type="dxa"/>
            <w:gridSpan w:val="2"/>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16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2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restart"/>
            <w:vAlign w:val="center"/>
          </w:tcPr>
          <w:p>
            <w:pPr>
              <w:spacing w:line="320" w:lineRule="exact"/>
              <w:jc w:val="center"/>
              <w:rPr>
                <w:rFonts w:ascii="仿宋_GB2312" w:hAnsi="仿宋_GB2312" w:eastAsia="仿宋_GB2312" w:cs="仿宋_GB2312"/>
                <w:sz w:val="24"/>
              </w:rPr>
            </w:pPr>
            <w:r>
              <w:rPr>
                <w:rFonts w:hint="eastAsia" w:ascii="仿宋_GB2312" w:hAnsi="仿宋_GB2312" w:eastAsia="仿宋_GB2312" w:cs="仿宋_GB2312"/>
                <w:sz w:val="24"/>
              </w:rPr>
              <w:t>机构名称</w:t>
            </w:r>
          </w:p>
        </w:tc>
        <w:tc>
          <w:tcPr>
            <w:tcW w:w="1080" w:type="dxa"/>
            <w:gridSpan w:val="2"/>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固定资产</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合计</w:t>
            </w:r>
          </w:p>
        </w:tc>
        <w:tc>
          <w:tcPr>
            <w:tcW w:w="6079" w:type="dxa"/>
            <w:gridSpan w:val="11"/>
            <w:tcBorders>
              <w:left w:val="single" w:color="auto" w:sz="4" w:space="0"/>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c>
          <w:tcPr>
            <w:tcW w:w="941" w:type="dxa"/>
            <w:gridSpan w:val="2"/>
            <w:vMerge w:val="restart"/>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Merge w:val="continue"/>
            <w:vAlign w:val="center"/>
          </w:tcPr>
          <w:p>
            <w:pPr>
              <w:spacing w:line="320" w:lineRule="exact"/>
              <w:jc w:val="center"/>
              <w:rPr>
                <w:rFonts w:ascii="仿宋_GB2312" w:hAnsi="仿宋_GB2312" w:eastAsia="仿宋_GB2312" w:cs="仿宋_GB2312"/>
                <w:sz w:val="24"/>
              </w:rPr>
            </w:pPr>
          </w:p>
        </w:tc>
        <w:tc>
          <w:tcPr>
            <w:tcW w:w="1080" w:type="dxa"/>
            <w:gridSpan w:val="2"/>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出租固定资产</w:t>
            </w:r>
          </w:p>
        </w:tc>
        <w:tc>
          <w:tcPr>
            <w:tcW w:w="941" w:type="dxa"/>
            <w:gridSpan w:val="2"/>
            <w:vMerge w:val="continue"/>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55"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hint="eastAsia" w:ascii="仿宋_GB2312" w:hAnsi="仿宋_GB2312" w:eastAsia="仿宋_GB2312" w:cs="仿宋_GB2312"/>
                <w:color w:val="000000"/>
                <w:sz w:val="24"/>
              </w:rPr>
              <w:t>局机关及二级机构汇总</w:t>
            </w:r>
          </w:p>
        </w:tc>
        <w:tc>
          <w:tcPr>
            <w:tcW w:w="108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164.58</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kern w:val="2"/>
                <w:sz w:val="24"/>
                <w:szCs w:val="24"/>
                <w:lang w:val="en-US" w:eastAsia="zh-CN" w:bidi="ar-SA"/>
              </w:rPr>
            </w:pPr>
            <w:r>
              <w:rPr>
                <w:rFonts w:hint="eastAsia" w:ascii="仿宋_GB2312" w:hAnsi="仿宋_GB2312" w:eastAsia="仿宋_GB2312" w:cs="仿宋_GB2312"/>
                <w:color w:val="000000"/>
                <w:sz w:val="24"/>
                <w:lang w:val="en-US" w:eastAsia="zh-CN"/>
              </w:rPr>
              <w:t>164.58</w:t>
            </w: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1</w:t>
            </w:r>
            <w:r>
              <w:rPr>
                <w:rFonts w:hint="eastAsia" w:ascii="仿宋_GB2312" w:hAnsi="仿宋_GB2312" w:eastAsia="仿宋_GB2312" w:cs="仿宋_GB2312"/>
                <w:sz w:val="24"/>
              </w:rPr>
              <w:t>、局机关</w:t>
            </w:r>
          </w:p>
        </w:tc>
        <w:tc>
          <w:tcPr>
            <w:tcW w:w="1080" w:type="dxa"/>
            <w:gridSpan w:val="2"/>
            <w:tcBorders>
              <w:right w:val="single" w:color="auto" w:sz="4" w:space="0"/>
            </w:tcBorders>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p>
        </w:tc>
        <w:tc>
          <w:tcPr>
            <w:tcW w:w="2435" w:type="dxa"/>
            <w:gridSpan w:val="4"/>
            <w:tcBorders>
              <w:left w:val="single" w:color="auto" w:sz="4" w:space="0"/>
            </w:tcBorders>
            <w:vAlign w:val="center"/>
          </w:tcPr>
          <w:p>
            <w:pPr>
              <w:autoSpaceDN w:val="0"/>
              <w:spacing w:line="320" w:lineRule="exact"/>
              <w:jc w:val="both"/>
              <w:textAlignment w:val="center"/>
              <w:rPr>
                <w:rFonts w:hint="default" w:ascii="仿宋_GB2312" w:hAnsi="仿宋_GB2312" w:eastAsia="仿宋_GB2312" w:cs="仿宋_GB2312"/>
                <w:color w:val="000000"/>
                <w:sz w:val="24"/>
                <w:lang w:val="en-US" w:eastAsia="zh-CN"/>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center"/>
              <w:rPr>
                <w:rFonts w:ascii="仿宋_GB2312" w:hAnsi="仿宋_GB2312" w:eastAsia="仿宋_GB2312" w:cs="仿宋_GB2312"/>
                <w:sz w:val="24"/>
              </w:rPr>
            </w:pPr>
            <w:r>
              <w:rPr>
                <w:rFonts w:ascii="仿宋_GB2312" w:hAnsi="仿宋_GB2312" w:eastAsia="仿宋_GB2312" w:cs="仿宋_GB2312"/>
                <w:sz w:val="24"/>
              </w:rPr>
              <w:t>2</w:t>
            </w:r>
            <w:r>
              <w:rPr>
                <w:rFonts w:hint="eastAsia" w:ascii="仿宋_GB2312" w:hAnsi="仿宋_GB2312" w:eastAsia="仿宋_GB2312" w:cs="仿宋_GB2312"/>
                <w:sz w:val="24"/>
              </w:rPr>
              <w:t>、岳阳市木材检查检疫站</w:t>
            </w:r>
          </w:p>
        </w:tc>
        <w:tc>
          <w:tcPr>
            <w:tcW w:w="1080" w:type="dxa"/>
            <w:gridSpan w:val="2"/>
            <w:tcBorders>
              <w:righ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164.58</w:t>
            </w:r>
          </w:p>
        </w:tc>
        <w:tc>
          <w:tcPr>
            <w:tcW w:w="2435" w:type="dxa"/>
            <w:gridSpan w:val="4"/>
            <w:tcBorders>
              <w:left w:val="single" w:color="auto" w:sz="4" w:space="0"/>
            </w:tcBorders>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164.58</w:t>
            </w: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2"/>
            <w:vAlign w:val="center"/>
          </w:tcPr>
          <w:p>
            <w:pPr>
              <w:spacing w:line="320" w:lineRule="exact"/>
              <w:jc w:val="left"/>
              <w:rPr>
                <w:rFonts w:ascii="仿宋_GB2312" w:hAnsi="仿宋_GB2312" w:eastAsia="仿宋_GB2312" w:cs="仿宋_GB2312"/>
                <w:sz w:val="24"/>
              </w:rPr>
            </w:pPr>
            <w:r>
              <w:rPr>
                <w:rFonts w:ascii="仿宋_GB2312" w:hAnsi="仿宋_GB2312" w:eastAsia="仿宋_GB2312" w:cs="仿宋_GB2312"/>
                <w:sz w:val="24"/>
              </w:rPr>
              <w:t>3</w:t>
            </w:r>
            <w:r>
              <w:rPr>
                <w:rFonts w:hint="eastAsia" w:ascii="仿宋_GB2312" w:hAnsi="仿宋_GB2312" w:eastAsia="仿宋_GB2312" w:cs="仿宋_GB2312"/>
                <w:sz w:val="24"/>
              </w:rPr>
              <w:t>、二级机构</w:t>
            </w:r>
            <w:r>
              <w:rPr>
                <w:rFonts w:ascii="仿宋_GB2312" w:hAnsi="仿宋_GB2312" w:eastAsia="仿宋_GB2312" w:cs="仿宋_GB2312"/>
                <w:sz w:val="24"/>
              </w:rPr>
              <w:t>2</w:t>
            </w:r>
          </w:p>
        </w:tc>
        <w:tc>
          <w:tcPr>
            <w:tcW w:w="1080" w:type="dxa"/>
            <w:gridSpan w:val="2"/>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435" w:type="dxa"/>
            <w:gridSpan w:val="4"/>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364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94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三、部门（单位）整体支出绩效自评情况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85" w:type="dxa"/>
            <w:gridSpan w:val="9"/>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72"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7"/>
            <w:vAlign w:val="center"/>
          </w:tcPr>
          <w:p>
            <w:pPr>
              <w:autoSpaceDN w:val="0"/>
              <w:spacing w:line="40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hint="eastAsia" w:ascii="仿宋_GB2312" w:eastAsia="仿宋_GB2312"/>
              </w:rPr>
              <w:t>为保护森林资源提供木材运输检查保障。</w:t>
            </w:r>
          </w:p>
          <w:p>
            <w:pPr>
              <w:autoSpaceDN w:val="0"/>
              <w:spacing w:line="40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r>
              <w:rPr>
                <w:rFonts w:hint="eastAsia" w:ascii="仿宋_GB2312" w:eastAsia="仿宋_GB2312"/>
              </w:rPr>
              <w:t>木材运输是否符合法律法规执行监督。</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目标</w:t>
            </w:r>
            <w:r>
              <w:rPr>
                <w:rFonts w:ascii="仿宋_GB2312" w:hAnsi="仿宋_GB2312" w:eastAsia="仿宋_GB2312" w:cs="仿宋_GB2312"/>
                <w:color w:val="000000"/>
                <w:sz w:val="24"/>
              </w:rPr>
              <w:t>3</w:t>
            </w:r>
            <w:r>
              <w:rPr>
                <w:rFonts w:hint="eastAsia" w:ascii="仿宋_GB2312" w:hAnsi="仿宋_GB2312" w:eastAsia="仿宋_GB2312" w:cs="仿宋_GB2312"/>
                <w:color w:val="000000"/>
                <w:sz w:val="24"/>
              </w:rPr>
              <w:t>：</w:t>
            </w:r>
            <w:r>
              <w:rPr>
                <w:rFonts w:hint="eastAsia" w:ascii="仿宋_GB2312" w:eastAsia="仿宋_GB2312"/>
              </w:rPr>
              <w:t>林业政策宣传。</w:t>
            </w:r>
          </w:p>
        </w:tc>
        <w:tc>
          <w:tcPr>
            <w:tcW w:w="4585" w:type="dxa"/>
            <w:gridSpan w:val="9"/>
            <w:vAlign w:val="center"/>
          </w:tcPr>
          <w:p>
            <w:pPr>
              <w:autoSpaceDN w:val="0"/>
              <w:spacing w:line="40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：完成木材运输法律法规执行监督达到</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：林业政策宣传达到</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质量指标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：保护森林资源</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r>
              <w:rPr>
                <w:rFonts w:ascii="仿宋_GB2312" w:hAnsi="仿宋_GB2312" w:eastAsia="仿宋_GB2312" w:cs="仿宋_GB2312"/>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数量指标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、对木材运输、野生动物及其制品是否依法依规，执行监督达到</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、对过境木材承运者进行林业政策宣传到达</w:t>
            </w:r>
            <w:r>
              <w:rPr>
                <w:rFonts w:ascii="仿宋_GB2312" w:hAnsi="仿宋_GB2312" w:eastAsia="仿宋_GB2312" w:cs="仿宋_GB2312"/>
                <w:color w:val="000000"/>
                <w:sz w:val="24"/>
              </w:rPr>
              <w:t>100%</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Cs/>
                <w:color w:val="000000"/>
                <w:sz w:val="24"/>
              </w:rPr>
              <w:t>对运输木材</w:t>
            </w:r>
            <w:r>
              <w:rPr>
                <w:rFonts w:ascii="仿宋_GB2312" w:hAnsi="仿宋_GB2312" w:eastAsia="仿宋_GB2312" w:cs="仿宋_GB2312"/>
                <w:bCs/>
                <w:color w:val="000000"/>
                <w:sz w:val="24"/>
              </w:rPr>
              <w:t>100%</w:t>
            </w:r>
            <w:r>
              <w:rPr>
                <w:rFonts w:hint="eastAsia" w:ascii="仿宋_GB2312" w:hAnsi="仿宋_GB2312" w:eastAsia="仿宋_GB2312" w:cs="仿宋_GB2312"/>
                <w:bCs/>
                <w:color w:val="000000"/>
                <w:sz w:val="24"/>
              </w:rPr>
              <w:t>监督检查和政策宣传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时效指标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r>
              <w:rPr>
                <w:rFonts w:ascii="仿宋_GB2312" w:hAnsi="仿宋_GB2312" w:eastAsia="仿宋_GB2312" w:cs="仿宋_GB2312"/>
                <w:color w:val="000000"/>
                <w:sz w:val="24"/>
              </w:rPr>
              <w:t>2020</w:t>
            </w:r>
            <w:r>
              <w:rPr>
                <w:rFonts w:hint="eastAsia" w:ascii="仿宋_GB2312" w:hAnsi="仿宋_GB2312" w:eastAsia="仿宋_GB2312" w:cs="仿宋_GB2312"/>
                <w:color w:val="000000"/>
                <w:sz w:val="24"/>
              </w:rPr>
              <w:t>年度对违规运输木材进行监督检查，保护森林资源。</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r>
              <w:rPr>
                <w:rFonts w:ascii="仿宋_GB2312" w:hAnsi="仿宋_GB2312" w:eastAsia="仿宋_GB2312" w:cs="仿宋_GB2312"/>
                <w:bCs/>
                <w:color w:val="000000"/>
                <w:sz w:val="24"/>
              </w:rPr>
              <w:t>202</w:t>
            </w:r>
            <w:r>
              <w:rPr>
                <w:rFonts w:hint="eastAsia" w:ascii="仿宋_GB2312" w:hAnsi="仿宋_GB2312" w:eastAsia="仿宋_GB2312" w:cs="仿宋_GB2312"/>
                <w:bCs/>
                <w:color w:val="000000"/>
                <w:sz w:val="24"/>
                <w:lang w:val="en-US" w:eastAsia="zh-CN"/>
              </w:rPr>
              <w:t>1</w:t>
            </w:r>
            <w:r>
              <w:rPr>
                <w:rFonts w:hint="eastAsia" w:ascii="仿宋_GB2312" w:hAnsi="仿宋_GB2312" w:eastAsia="仿宋_GB2312" w:cs="仿宋_GB2312"/>
                <w:bCs/>
                <w:color w:val="000000"/>
                <w:sz w:val="24"/>
              </w:rPr>
              <w:t>年度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成本指标</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：工资及执法开支</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控制在预算资金内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ascii="仿宋_GB2312" w:hAnsi="仿宋_GB2312" w:eastAsia="仿宋_GB2312" w:cs="仿宋_GB2312"/>
                <w:sz w:val="24"/>
              </w:rPr>
            </w:pP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社会效益</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：木材经营者对新的林业政策认知度</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r>
              <w:rPr>
                <w:rFonts w:hint="eastAsia" w:ascii="仿宋_GB2312" w:hAnsi="仿宋_GB2312" w:eastAsia="仿宋_GB2312" w:cs="仿宋_GB2312"/>
                <w:bCs/>
                <w:color w:val="000000"/>
                <w:sz w:val="24"/>
              </w:rPr>
              <w:t>木材经营者对新的林业政策认知度达到</w:t>
            </w:r>
            <w:r>
              <w:rPr>
                <w:rFonts w:ascii="仿宋_GB2312" w:hAnsi="仿宋_GB2312" w:eastAsia="仿宋_GB2312" w:cs="仿宋_GB2312"/>
                <w:bCs/>
                <w:color w:val="000000"/>
                <w:sz w:val="24"/>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经济效益</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生态效益</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4"/>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社会公众或服务对象满意度</w:t>
            </w:r>
          </w:p>
        </w:tc>
        <w:tc>
          <w:tcPr>
            <w:tcW w:w="2709" w:type="dxa"/>
            <w:gridSpan w:val="4"/>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1</w:t>
            </w:r>
            <w:r>
              <w:rPr>
                <w:rFonts w:hint="eastAsia" w:ascii="仿宋_GB2312" w:hAnsi="仿宋_GB2312" w:eastAsia="仿宋_GB2312" w:cs="仿宋_GB2312"/>
                <w:color w:val="000000"/>
                <w:sz w:val="24"/>
              </w:rPr>
              <w:t>：服务对象满意度达到</w:t>
            </w:r>
            <w:r>
              <w:rPr>
                <w:rFonts w:ascii="仿宋_GB2312" w:hAnsi="仿宋_GB2312" w:eastAsia="仿宋_GB2312" w:cs="仿宋_GB2312"/>
                <w:color w:val="000000"/>
                <w:sz w:val="24"/>
              </w:rPr>
              <w:t>98%</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指标</w:t>
            </w:r>
            <w:r>
              <w:rPr>
                <w:rFonts w:ascii="仿宋_GB2312" w:hAnsi="仿宋_GB2312" w:eastAsia="仿宋_GB2312" w:cs="仿宋_GB2312"/>
                <w:color w:val="000000"/>
                <w:sz w:val="24"/>
              </w:rPr>
              <w:t>2</w:t>
            </w:r>
            <w:r>
              <w:rPr>
                <w:rFonts w:hint="eastAsia" w:ascii="仿宋_GB2312" w:hAnsi="仿宋_GB2312" w:eastAsia="仿宋_GB2312" w:cs="仿宋_GB2312"/>
                <w:color w:val="000000"/>
                <w:sz w:val="24"/>
              </w:rPr>
              <w:t>：</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w:t>
            </w:r>
          </w:p>
        </w:tc>
        <w:tc>
          <w:tcPr>
            <w:tcW w:w="2684" w:type="dxa"/>
            <w:gridSpan w:val="6"/>
            <w:vAlign w:val="center"/>
          </w:tcPr>
          <w:p>
            <w:pPr>
              <w:autoSpaceDN w:val="0"/>
              <w:spacing w:line="320" w:lineRule="exact"/>
              <w:jc w:val="center"/>
              <w:textAlignment w:val="center"/>
              <w:rPr>
                <w:rFonts w:ascii="仿宋_GB2312" w:hAnsi="仿宋_GB2312" w:eastAsia="仿宋_GB2312" w:cs="仿宋_GB2312"/>
                <w:b/>
                <w:color w:val="000000"/>
                <w:sz w:val="24"/>
              </w:rPr>
            </w:pPr>
            <w:r>
              <w:rPr>
                <w:rFonts w:ascii="仿宋_GB2312" w:hAnsi="仿宋_GB2312" w:eastAsia="仿宋_GB2312" w:cs="仿宋_GB2312"/>
                <w:bCs/>
                <w:color w:val="000000"/>
                <w:sz w:val="24"/>
              </w:rPr>
              <w:t>98%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810" w:type="dxa"/>
            <w:gridSpan w:val="12"/>
            <w:vAlign w:val="center"/>
          </w:tcPr>
          <w:p>
            <w:pPr>
              <w:autoSpaceDN w:val="0"/>
              <w:spacing w:line="320" w:lineRule="exact"/>
              <w:jc w:val="center"/>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810" w:type="dxa"/>
            <w:gridSpan w:val="1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800" w:type="dxa"/>
            <w:gridSpan w:val="17"/>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73" w:type="dxa"/>
            <w:gridSpan w:val="3"/>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名</w:t>
            </w:r>
          </w:p>
        </w:tc>
        <w:tc>
          <w:tcPr>
            <w:tcW w:w="344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w:t>
            </w:r>
            <w:r>
              <w:rPr>
                <w:rFonts w:ascii="仿宋_GB2312" w:hAnsi="仿宋_GB2312" w:eastAsia="仿宋_GB2312" w:cs="仿宋_GB2312"/>
                <w:color w:val="000000"/>
                <w:sz w:val="24"/>
              </w:rPr>
              <w:t>/</w:t>
            </w:r>
            <w:r>
              <w:rPr>
                <w:rFonts w:hint="eastAsia" w:ascii="仿宋_GB2312" w:hAnsi="仿宋_GB2312" w:eastAsia="仿宋_GB2312" w:cs="仿宋_GB2312"/>
                <w:color w:val="000000"/>
                <w:sz w:val="24"/>
              </w:rPr>
              <w:t>职称</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位</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73" w:type="dxa"/>
            <w:gridSpan w:val="3"/>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钟安东</w:t>
            </w:r>
          </w:p>
        </w:tc>
        <w:tc>
          <w:tcPr>
            <w:tcW w:w="3442" w:type="dxa"/>
            <w:gridSpan w:val="5"/>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站长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岳阳市木材检查检疫站</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73" w:type="dxa"/>
            <w:gridSpan w:val="3"/>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顾林丰</w:t>
            </w:r>
          </w:p>
        </w:tc>
        <w:tc>
          <w:tcPr>
            <w:tcW w:w="3442" w:type="dxa"/>
            <w:gridSpan w:val="5"/>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副站长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岳阳市木材检查检疫站</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73" w:type="dxa"/>
            <w:gridSpan w:val="3"/>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张胜志</w:t>
            </w:r>
          </w:p>
        </w:tc>
        <w:tc>
          <w:tcPr>
            <w:tcW w:w="3442" w:type="dxa"/>
            <w:gridSpan w:val="5"/>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副站长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岳阳市木材检查检疫站</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773" w:type="dxa"/>
            <w:gridSpan w:val="3"/>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李忠良</w:t>
            </w:r>
          </w:p>
        </w:tc>
        <w:tc>
          <w:tcPr>
            <w:tcW w:w="3442" w:type="dxa"/>
            <w:gridSpan w:val="5"/>
            <w:vAlign w:val="center"/>
          </w:tcPr>
          <w:p>
            <w:pPr>
              <w:autoSpaceDN w:val="0"/>
              <w:spacing w:line="40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sz w:val="24"/>
              </w:rPr>
              <w:t>副站长</w:t>
            </w:r>
          </w:p>
        </w:tc>
        <w:tc>
          <w:tcPr>
            <w:tcW w:w="1479"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岳阳市木材检查检疫站</w:t>
            </w:r>
          </w:p>
        </w:tc>
        <w:tc>
          <w:tcPr>
            <w:tcW w:w="3106"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800" w:type="dxa"/>
            <w:gridSpan w:val="17"/>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年</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月</w:t>
            </w:r>
            <w:r>
              <w:rPr>
                <w:rFonts w:ascii="仿宋_GB2312" w:hAnsi="仿宋_GB2312" w:eastAsia="仿宋_GB2312" w:cs="仿宋_GB2312"/>
                <w:color w:val="000000"/>
                <w:sz w:val="24"/>
              </w:rPr>
              <w:t xml:space="preserve">    </w:t>
            </w:r>
            <w:r>
              <w:rPr>
                <w:rFonts w:hint="eastAsia" w:ascii="仿宋_GB2312" w:hAnsi="仿宋_GB2312" w:eastAsia="仿宋_GB2312" w:cs="仿宋_GB2312"/>
                <w:color w:val="000000"/>
                <w:sz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76" w:hRule="atLeast"/>
          <w:jc w:val="center"/>
        </w:trPr>
        <w:tc>
          <w:tcPr>
            <w:tcW w:w="9800" w:type="dxa"/>
            <w:gridSpan w:val="17"/>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eastAsia="仿宋_GB2312"/>
                <w:sz w:val="24"/>
              </w:rPr>
              <w:t xml:space="preserve">                                  </w:t>
            </w:r>
            <w:r>
              <w:rPr>
                <w:rFonts w:hint="eastAsia" w:eastAsia="仿宋_GB2312"/>
                <w:sz w:val="24"/>
              </w:rPr>
              <w:t>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eastAsia="仿宋_GB2312"/>
                <w:sz w:val="24"/>
              </w:rPr>
              <w:t xml:space="preserve">                                                                 </w:t>
            </w:r>
            <w:r>
              <w:rPr>
                <w:rFonts w:hint="eastAsia" w:eastAsia="仿宋_GB2312"/>
                <w:sz w:val="24"/>
              </w:rPr>
              <w:t>年</w:t>
            </w:r>
            <w:r>
              <w:rPr>
                <w:rFonts w:eastAsia="仿宋_GB2312"/>
                <w:sz w:val="24"/>
              </w:rPr>
              <w:t xml:space="preserve">    </w:t>
            </w:r>
            <w:r>
              <w:rPr>
                <w:rFonts w:hint="eastAsia" w:eastAsia="仿宋_GB2312"/>
                <w:sz w:val="24"/>
              </w:rPr>
              <w:t>月</w:t>
            </w:r>
            <w:r>
              <w:rPr>
                <w:rFonts w:eastAsia="仿宋_GB2312"/>
                <w:sz w:val="24"/>
              </w:rPr>
              <w:t xml:space="preserve">   </w:t>
            </w:r>
            <w:r>
              <w:rPr>
                <w:rFonts w:hint="eastAsia" w:eastAsia="仿宋_GB2312"/>
                <w:sz w:val="24"/>
              </w:rPr>
              <w:t>日</w:t>
            </w:r>
          </w:p>
        </w:tc>
      </w:tr>
    </w:tbl>
    <w:p>
      <w:pPr>
        <w:rPr>
          <w:rFonts w:eastAsia="仿宋_GB2312" w:cs="仿宋_GB2312"/>
          <w:bCs/>
          <w:sz w:val="28"/>
          <w:szCs w:val="28"/>
        </w:rPr>
      </w:pPr>
      <w:r>
        <w:rPr>
          <w:rFonts w:hint="eastAsia" w:eastAsia="仿宋_GB2312" w:cs="仿宋_GB2312"/>
          <w:bCs/>
          <w:sz w:val="28"/>
          <w:szCs w:val="28"/>
        </w:rPr>
        <w:t>填报人（签名）：</w:t>
      </w:r>
      <w:r>
        <w:rPr>
          <w:rFonts w:eastAsia="仿宋_GB2312" w:cs="仿宋_GB2312"/>
          <w:bCs/>
          <w:sz w:val="28"/>
          <w:szCs w:val="28"/>
        </w:rPr>
        <w:t xml:space="preserve">                          </w:t>
      </w:r>
      <w:r>
        <w:rPr>
          <w:rFonts w:hint="eastAsia" w:eastAsia="仿宋_GB2312" w:cs="仿宋_GB2312"/>
          <w:bCs/>
          <w:sz w:val="28"/>
          <w:szCs w:val="28"/>
        </w:rPr>
        <w:t>联系电话：</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五、评价报告综述（文字部分）</w:t>
            </w:r>
          </w:p>
          <w:p>
            <w:pPr>
              <w:spacing w:line="440" w:lineRule="exact"/>
              <w:ind w:firstLine="640" w:firstLineChars="200"/>
              <w:rPr>
                <w:rFonts w:eastAsia="仿宋_GB2312"/>
                <w:sz w:val="32"/>
                <w:szCs w:val="32"/>
              </w:rPr>
            </w:pP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一、部门（单位）概况</w:t>
            </w:r>
          </w:p>
          <w:p>
            <w:pPr>
              <w:spacing w:line="560" w:lineRule="exact"/>
              <w:ind w:firstLine="560" w:firstLineChars="200"/>
              <w:rPr>
                <w:rFonts w:ascii="仿宋_GB2312" w:hAnsi="仿宋_GB2312" w:eastAsia="仿宋_GB2312" w:cs="仿宋_GB2312"/>
                <w:sz w:val="28"/>
                <w:szCs w:val="28"/>
              </w:rPr>
            </w:pPr>
            <w:r>
              <w:rPr>
                <w:rFonts w:hint="eastAsia" w:ascii="仿宋_GB2312" w:hAnsi="仿宋_GB2312" w:eastAsia="仿宋_GB2312" w:cs="仿宋_GB2312"/>
                <w:bCs/>
                <w:sz w:val="28"/>
                <w:szCs w:val="28"/>
              </w:rPr>
              <w:t>（一）单位基本情况</w:t>
            </w:r>
          </w:p>
          <w:p>
            <w:pPr>
              <w:snapToGrid w:val="0"/>
              <w:spacing w:line="520" w:lineRule="exact"/>
              <w:ind w:firstLine="840" w:firstLineChars="300"/>
              <w:rPr>
                <w:rFonts w:ascii="仿宋_GB2312" w:hAnsi="仿宋_GB2312" w:eastAsia="仿宋_GB2312" w:cs="仿宋_GB2312"/>
                <w:sz w:val="28"/>
                <w:szCs w:val="28"/>
              </w:rPr>
            </w:pPr>
            <w:r>
              <w:rPr>
                <w:rFonts w:ascii="仿宋_GB2312" w:hAnsi="仿宋_GB2312" w:eastAsia="仿宋_GB2312" w:cs="仿宋_GB2312"/>
                <w:sz w:val="28"/>
                <w:szCs w:val="28"/>
              </w:rPr>
              <w:t>1</w:t>
            </w:r>
            <w:r>
              <w:rPr>
                <w:rFonts w:hint="eastAsia" w:ascii="仿宋_GB2312" w:hAnsi="仿宋_GB2312" w:eastAsia="仿宋_GB2312" w:cs="仿宋_GB2312"/>
                <w:sz w:val="28"/>
                <w:szCs w:val="28"/>
              </w:rPr>
              <w:t>、主要职能：本单位为林业行政事业执法单位，职责是：大力宣传林业法规、政策、维护木材经营的正常秩序，制止非法运输木材的行为，保证过境木材的合法流通，保护好森林资源。</w:t>
            </w:r>
            <w:r>
              <w:rPr>
                <w:rFonts w:ascii="仿宋_GB2312" w:hAnsi="仿宋_GB2312" w:eastAsia="仿宋_GB2312" w:cs="仿宋_GB2312"/>
                <w:sz w:val="28"/>
                <w:szCs w:val="28"/>
              </w:rPr>
              <w:t xml:space="preserve">  </w:t>
            </w:r>
          </w:p>
          <w:p>
            <w:pPr>
              <w:snapToGrid w:val="0"/>
              <w:spacing w:line="520" w:lineRule="exact"/>
              <w:ind w:firstLine="840" w:firstLineChars="300"/>
              <w:rPr>
                <w:rFonts w:ascii="仿宋_GB2312" w:hAnsi="仿宋_GB2312" w:eastAsia="仿宋_GB2312" w:cs="仿宋_GB2312"/>
                <w:sz w:val="28"/>
                <w:szCs w:val="28"/>
              </w:rPr>
            </w:pPr>
            <w:r>
              <w:rPr>
                <w:rFonts w:ascii="仿宋_GB2312" w:hAnsi="仿宋_GB2312" w:eastAsia="仿宋_GB2312" w:cs="仿宋_GB2312"/>
                <w:sz w:val="28"/>
                <w:szCs w:val="28"/>
              </w:rPr>
              <w:t>2</w:t>
            </w:r>
            <w:r>
              <w:rPr>
                <w:rFonts w:hint="eastAsia" w:ascii="仿宋_GB2312" w:hAnsi="仿宋_GB2312" w:eastAsia="仿宋_GB2312" w:cs="仿宋_GB2312"/>
                <w:sz w:val="28"/>
                <w:szCs w:val="28"/>
              </w:rPr>
              <w:t>、机构情况：属独立核算的全额事业单位。</w:t>
            </w:r>
          </w:p>
          <w:p>
            <w:pPr>
              <w:snapToGrid w:val="0"/>
              <w:spacing w:line="520" w:lineRule="exact"/>
              <w:ind w:firstLine="840" w:firstLineChars="300"/>
              <w:rPr>
                <w:rFonts w:ascii="仿宋_GB2312" w:hAnsi="仿宋_GB2312" w:eastAsia="仿宋_GB2312" w:cs="仿宋_GB2312"/>
                <w:sz w:val="28"/>
                <w:szCs w:val="28"/>
              </w:rPr>
            </w:pPr>
            <w:r>
              <w:rPr>
                <w:rFonts w:ascii="仿宋_GB2312" w:hAnsi="仿宋_GB2312" w:eastAsia="仿宋_GB2312" w:cs="仿宋_GB2312"/>
                <w:sz w:val="28"/>
                <w:szCs w:val="28"/>
              </w:rPr>
              <w:t>3</w:t>
            </w:r>
            <w:r>
              <w:rPr>
                <w:rFonts w:hint="eastAsia" w:ascii="仿宋_GB2312" w:hAnsi="仿宋_GB2312" w:eastAsia="仿宋_GB2312" w:cs="仿宋_GB2312"/>
                <w:sz w:val="28"/>
                <w:szCs w:val="28"/>
              </w:rPr>
              <w:t>、人员情况</w:t>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w:t>
            </w:r>
            <w:r>
              <w:rPr>
                <w:rFonts w:ascii="仿宋_GB2312" w:hAnsi="仿宋_GB2312" w:eastAsia="仿宋_GB2312" w:cs="仿宋_GB2312"/>
                <w:sz w:val="28"/>
                <w:szCs w:val="28"/>
              </w:rPr>
              <w:t>12</w:t>
            </w:r>
            <w:r>
              <w:rPr>
                <w:rFonts w:hint="eastAsia" w:ascii="仿宋_GB2312" w:hAnsi="仿宋_GB2312" w:eastAsia="仿宋_GB2312" w:cs="仿宋_GB2312"/>
                <w:sz w:val="28"/>
                <w:szCs w:val="28"/>
              </w:rPr>
              <w:t>月人员编制</w:t>
            </w:r>
            <w:r>
              <w:rPr>
                <w:rFonts w:ascii="仿宋_GB2312" w:hAnsi="仿宋_GB2312" w:eastAsia="仿宋_GB2312" w:cs="仿宋_GB2312"/>
                <w:sz w:val="28"/>
                <w:szCs w:val="28"/>
              </w:rPr>
              <w:t>15</w:t>
            </w:r>
            <w:r>
              <w:rPr>
                <w:rFonts w:hint="eastAsia" w:ascii="仿宋_GB2312" w:hAnsi="仿宋_GB2312" w:eastAsia="仿宋_GB2312" w:cs="仿宋_GB2312"/>
                <w:sz w:val="28"/>
                <w:szCs w:val="28"/>
              </w:rPr>
              <w:t>人，现在职职工</w:t>
            </w:r>
            <w:r>
              <w:rPr>
                <w:rFonts w:ascii="仿宋_GB2312" w:hAnsi="仿宋_GB2312" w:eastAsia="仿宋_GB2312" w:cs="仿宋_GB2312"/>
                <w:sz w:val="28"/>
                <w:szCs w:val="28"/>
              </w:rPr>
              <w:t>15</w:t>
            </w:r>
            <w:r>
              <w:rPr>
                <w:rFonts w:hint="eastAsia" w:ascii="仿宋_GB2312" w:hAnsi="仿宋_GB2312" w:eastAsia="仿宋_GB2312" w:cs="仿宋_GB2312"/>
                <w:sz w:val="28"/>
                <w:szCs w:val="28"/>
              </w:rPr>
              <w:t>人、退休</w:t>
            </w: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人。</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（二）单位整体支出规模、使用方向和主要内容、涉及范围等</w:t>
            </w:r>
          </w:p>
          <w:p>
            <w:pPr>
              <w:spacing w:line="400" w:lineRule="exact"/>
              <w:ind w:firstLine="1120" w:firstLineChars="400"/>
              <w:rPr>
                <w:rFonts w:ascii="仿宋_GB2312" w:hAnsi="仿宋_GB2312" w:eastAsia="仿宋_GB2312" w:cs="仿宋_GB2312"/>
                <w:bCs/>
                <w:sz w:val="28"/>
                <w:szCs w:val="28"/>
              </w:rPr>
            </w:pPr>
            <w:r>
              <w:rPr>
                <w:rFonts w:ascii="仿宋_GB2312" w:hAnsi="仿宋_GB2312" w:eastAsia="仿宋_GB2312" w:cs="仿宋_GB2312"/>
                <w:bCs/>
                <w:sz w:val="28"/>
                <w:szCs w:val="28"/>
              </w:rPr>
              <w:t>202</w:t>
            </w:r>
            <w:r>
              <w:rPr>
                <w:rFonts w:hint="eastAsia" w:ascii="仿宋_GB2312" w:hAnsi="仿宋_GB2312" w:eastAsia="仿宋_GB2312" w:cs="仿宋_GB2312"/>
                <w:bCs/>
                <w:sz w:val="28"/>
                <w:szCs w:val="28"/>
                <w:lang w:val="en-US" w:eastAsia="zh-CN"/>
              </w:rPr>
              <w:t>1</w:t>
            </w:r>
            <w:r>
              <w:rPr>
                <w:rFonts w:hint="eastAsia" w:ascii="仿宋_GB2312" w:hAnsi="仿宋_GB2312" w:eastAsia="仿宋_GB2312" w:cs="仿宋_GB2312"/>
                <w:bCs/>
                <w:sz w:val="28"/>
                <w:szCs w:val="28"/>
              </w:rPr>
              <w:t>年单位整体支出</w:t>
            </w:r>
            <w:r>
              <w:rPr>
                <w:rFonts w:hint="eastAsia" w:ascii="仿宋_GB2312" w:hAnsi="仿宋_GB2312" w:eastAsia="仿宋_GB2312" w:cs="仿宋_GB2312"/>
                <w:bCs/>
                <w:sz w:val="28"/>
                <w:szCs w:val="28"/>
                <w:lang w:val="en-US" w:eastAsia="zh-CN"/>
              </w:rPr>
              <w:t>256.01</w:t>
            </w:r>
            <w:r>
              <w:rPr>
                <w:rFonts w:hint="eastAsia" w:ascii="仿宋_GB2312" w:hAnsi="仿宋_GB2312" w:eastAsia="仿宋_GB2312" w:cs="仿宋_GB2312"/>
                <w:bCs/>
                <w:sz w:val="28"/>
                <w:szCs w:val="28"/>
              </w:rPr>
              <w:t>万元，其中人员经费</w:t>
            </w:r>
            <w:r>
              <w:rPr>
                <w:rFonts w:ascii="仿宋_GB2312" w:hAnsi="仿宋_GB2312" w:eastAsia="仿宋_GB2312" w:cs="仿宋_GB2312"/>
                <w:bCs/>
                <w:sz w:val="28"/>
                <w:szCs w:val="28"/>
              </w:rPr>
              <w:t>2</w:t>
            </w:r>
            <w:r>
              <w:rPr>
                <w:rFonts w:hint="eastAsia" w:ascii="仿宋_GB2312" w:hAnsi="仿宋_GB2312" w:eastAsia="仿宋_GB2312" w:cs="仿宋_GB2312"/>
                <w:bCs/>
                <w:sz w:val="28"/>
                <w:szCs w:val="28"/>
                <w:lang w:val="en-US" w:eastAsia="zh-CN"/>
              </w:rPr>
              <w:t>07.64</w:t>
            </w:r>
            <w:r>
              <w:rPr>
                <w:rFonts w:hint="eastAsia" w:ascii="仿宋_GB2312" w:hAnsi="仿宋_GB2312" w:eastAsia="仿宋_GB2312" w:cs="仿宋_GB2312"/>
                <w:bCs/>
                <w:sz w:val="28"/>
                <w:szCs w:val="28"/>
              </w:rPr>
              <w:t>万元。日常公用经费</w:t>
            </w:r>
            <w:r>
              <w:rPr>
                <w:rFonts w:hint="eastAsia" w:ascii="仿宋_GB2312" w:hAnsi="仿宋_GB2312" w:eastAsia="仿宋_GB2312" w:cs="仿宋_GB2312"/>
                <w:bCs/>
                <w:sz w:val="28"/>
                <w:szCs w:val="28"/>
                <w:lang w:val="en-US" w:eastAsia="zh-CN"/>
              </w:rPr>
              <w:t>48.37</w:t>
            </w:r>
            <w:r>
              <w:rPr>
                <w:rFonts w:hint="eastAsia" w:ascii="仿宋_GB2312" w:hAnsi="仿宋_GB2312" w:eastAsia="仿宋_GB2312" w:cs="仿宋_GB2312"/>
                <w:bCs/>
                <w:sz w:val="28"/>
                <w:szCs w:val="28"/>
              </w:rPr>
              <w:t>万元，。</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二、单位整体支出管理及使用情况</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napToGrid w:val="0"/>
              <w:spacing w:line="520" w:lineRule="exact"/>
              <w:ind w:firstLine="840" w:firstLineChars="300"/>
              <w:rPr>
                <w:rFonts w:ascii="仿宋_GB2312" w:hAnsi="仿宋_GB2312" w:eastAsia="仿宋_GB2312" w:cs="仿宋_GB2312"/>
                <w:bCs/>
                <w:sz w:val="28"/>
                <w:szCs w:val="28"/>
              </w:rPr>
            </w:pPr>
            <w:r>
              <w:rPr>
                <w:rFonts w:hint="eastAsia" w:ascii="仿宋_GB2312" w:hAnsi="仿宋_GB2312" w:eastAsia="仿宋_GB2312" w:cs="仿宋_GB2312"/>
                <w:sz w:val="28"/>
                <w:szCs w:val="28"/>
              </w:rPr>
              <w:t>预算安排</w:t>
            </w:r>
            <w:r>
              <w:rPr>
                <w:rFonts w:hint="eastAsia" w:ascii="仿宋_GB2312" w:hAnsi="仿宋_GB2312" w:eastAsia="仿宋_GB2312" w:cs="仿宋_GB2312"/>
                <w:sz w:val="28"/>
                <w:szCs w:val="28"/>
                <w:lang w:val="en-US" w:eastAsia="zh-CN"/>
              </w:rPr>
              <w:t>171.96</w:t>
            </w:r>
            <w:r>
              <w:rPr>
                <w:rFonts w:hint="eastAsia" w:ascii="仿宋_GB2312" w:hAnsi="仿宋_GB2312" w:eastAsia="仿宋_GB2312" w:cs="仿宋_GB2312"/>
                <w:sz w:val="28"/>
                <w:szCs w:val="28"/>
              </w:rPr>
              <w:t>元经费，实际决算开支</w:t>
            </w:r>
            <w:r>
              <w:rPr>
                <w:rFonts w:hint="eastAsia" w:ascii="仿宋_GB2312" w:hAnsi="仿宋_GB2312" w:eastAsia="仿宋_GB2312" w:cs="仿宋_GB2312"/>
                <w:sz w:val="28"/>
                <w:szCs w:val="28"/>
                <w:lang w:val="en-US" w:eastAsia="zh-CN"/>
              </w:rPr>
              <w:t>256.01</w:t>
            </w:r>
            <w:r>
              <w:rPr>
                <w:rFonts w:hint="eastAsia" w:ascii="仿宋_GB2312" w:hAnsi="仿宋_GB2312" w:eastAsia="仿宋_GB2312" w:cs="仿宋_GB2312"/>
                <w:sz w:val="28"/>
                <w:szCs w:val="28"/>
              </w:rPr>
              <w:t>元。工资福利支出</w:t>
            </w:r>
            <w:r>
              <w:rPr>
                <w:rFonts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07.64</w:t>
            </w:r>
            <w:r>
              <w:rPr>
                <w:rFonts w:hint="eastAsia" w:ascii="仿宋_GB2312" w:hAnsi="仿宋_GB2312" w:eastAsia="仿宋_GB2312" w:cs="仿宋_GB2312"/>
                <w:sz w:val="28"/>
                <w:szCs w:val="28"/>
              </w:rPr>
              <w:t>元；一般商品服务支出</w:t>
            </w:r>
            <w:r>
              <w:rPr>
                <w:rFonts w:hint="eastAsia" w:ascii="仿宋_GB2312" w:hAnsi="仿宋_GB2312" w:eastAsia="仿宋_GB2312" w:cs="仿宋_GB2312"/>
                <w:sz w:val="28"/>
                <w:szCs w:val="28"/>
                <w:lang w:val="en-US" w:eastAsia="zh-CN"/>
              </w:rPr>
              <w:t>48.37</w:t>
            </w:r>
            <w:r>
              <w:rPr>
                <w:rFonts w:hint="eastAsia" w:ascii="仿宋_GB2312" w:hAnsi="仿宋_GB2312" w:eastAsia="仿宋_GB2312" w:cs="仿宋_GB2312"/>
                <w:sz w:val="28"/>
                <w:szCs w:val="28"/>
              </w:rPr>
              <w:t>元，其中公务接待</w:t>
            </w:r>
            <w:r>
              <w:rPr>
                <w:rFonts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68</w:t>
            </w:r>
            <w:r>
              <w:rPr>
                <w:rFonts w:hint="eastAsia" w:ascii="仿宋_GB2312" w:hAnsi="仿宋_GB2312" w:eastAsia="仿宋_GB2312" w:cs="仿宋_GB2312"/>
                <w:sz w:val="28"/>
                <w:szCs w:val="28"/>
              </w:rPr>
              <w:t>万元，公务用车运行维护费</w:t>
            </w:r>
            <w:r>
              <w:rPr>
                <w:rFonts w:ascii="仿宋_GB2312" w:hAnsi="仿宋_GB2312" w:eastAsia="仿宋_GB2312" w:cs="仿宋_GB2312"/>
                <w:sz w:val="28"/>
                <w:szCs w:val="28"/>
              </w:rPr>
              <w:t>0</w:t>
            </w:r>
            <w:r>
              <w:rPr>
                <w:rFonts w:hint="eastAsia" w:ascii="仿宋_GB2312" w:hAnsi="仿宋_GB2312" w:eastAsia="仿宋_GB2312" w:cs="仿宋_GB2312"/>
                <w:sz w:val="28"/>
                <w:szCs w:val="28"/>
              </w:rPr>
              <w:t>万元，趸船维护费</w:t>
            </w:r>
            <w:r>
              <w:rPr>
                <w:rFonts w:ascii="仿宋_GB2312" w:hAnsi="仿宋_GB2312" w:eastAsia="仿宋_GB2312" w:cs="仿宋_GB2312"/>
                <w:sz w:val="28"/>
                <w:szCs w:val="28"/>
              </w:rPr>
              <w:t>4.5</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val="en-US" w:eastAsia="zh-CN"/>
              </w:rPr>
              <w:t>其他环境保护管理事务支出10万元，</w:t>
            </w:r>
            <w:r>
              <w:rPr>
                <w:rFonts w:hint="eastAsia" w:ascii="仿宋_GB2312" w:hAnsi="仿宋_GB2312" w:eastAsia="仿宋_GB2312" w:cs="仿宋_GB2312"/>
                <w:sz w:val="28"/>
                <w:szCs w:val="28"/>
              </w:rPr>
              <w:t>对个人和家庭的补助支出</w:t>
            </w:r>
            <w:r>
              <w:rPr>
                <w:rFonts w:hint="eastAsia" w:ascii="仿宋_GB2312" w:hAnsi="仿宋_GB2312" w:eastAsia="仿宋_GB2312" w:cs="仿宋_GB2312"/>
                <w:sz w:val="28"/>
                <w:szCs w:val="28"/>
                <w:lang w:val="en-US" w:eastAsia="zh-CN"/>
              </w:rPr>
              <w:t>12.61</w:t>
            </w:r>
            <w:r>
              <w:rPr>
                <w:rFonts w:hint="eastAsia" w:ascii="仿宋_GB2312" w:hAnsi="仿宋_GB2312" w:eastAsia="仿宋_GB2312" w:cs="仿宋_GB2312"/>
                <w:sz w:val="28"/>
                <w:szCs w:val="28"/>
              </w:rPr>
              <w:t>元。</w:t>
            </w:r>
          </w:p>
          <w:p>
            <w:pPr>
              <w:numPr>
                <w:ilvl w:val="0"/>
                <w:numId w:val="3"/>
              </w:num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单位整体支出绩效情况</w:t>
            </w:r>
          </w:p>
          <w:p>
            <w:pPr>
              <w:tabs>
                <w:tab w:val="left" w:pos="1019"/>
              </w:tabs>
              <w:spacing w:line="560" w:lineRule="exact"/>
              <w:rPr>
                <w:rFonts w:ascii="黑体" w:hAnsi="黑体" w:eastAsia="黑体" w:cs="黑体"/>
                <w:bCs/>
                <w:sz w:val="28"/>
                <w:szCs w:val="28"/>
              </w:rPr>
            </w:pPr>
            <w:r>
              <w:rPr>
                <w:rFonts w:ascii="黑体" w:hAnsi="黑体" w:eastAsia="黑体" w:cs="黑体"/>
                <w:bCs/>
                <w:sz w:val="28"/>
                <w:szCs w:val="28"/>
              </w:rPr>
              <w:tab/>
            </w:r>
            <w:r>
              <w:rPr>
                <w:rFonts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年我站很好的完成了预算目标。按工资预算标准准时发放职工工资及福利；一般商品和服务支出严格按预算执行，主要用于水电支出和办公设备添置等日常支出，“三公经费”较上年有所减少；为保障行政执法安全，专项支出趸船维护费</w:t>
            </w:r>
            <w:r>
              <w:rPr>
                <w:rFonts w:ascii="仿宋_GB2312" w:hAnsi="仿宋_GB2312" w:eastAsia="仿宋_GB2312" w:cs="仿宋_GB2312"/>
                <w:sz w:val="28"/>
                <w:szCs w:val="28"/>
              </w:rPr>
              <w:t>4.5</w:t>
            </w:r>
            <w:r>
              <w:rPr>
                <w:rFonts w:hint="eastAsia" w:ascii="仿宋_GB2312" w:hAnsi="仿宋_GB2312" w:eastAsia="仿宋_GB2312" w:cs="仿宋_GB2312"/>
                <w:sz w:val="28"/>
                <w:szCs w:val="28"/>
              </w:rPr>
              <w:t>万元，</w:t>
            </w:r>
            <w:r>
              <w:rPr>
                <w:rFonts w:hint="eastAsia" w:ascii="仿宋_GB2312" w:hAnsi="仿宋_GB2312" w:eastAsia="仿宋_GB2312" w:cs="仿宋_GB2312"/>
                <w:sz w:val="28"/>
                <w:szCs w:val="28"/>
                <w:lang w:val="en-US" w:eastAsia="zh-CN"/>
              </w:rPr>
              <w:t>其他环境保护管理事务支出10万元，</w:t>
            </w:r>
            <w:r>
              <w:rPr>
                <w:rFonts w:hint="eastAsia" w:ascii="仿宋_GB2312" w:hAnsi="仿宋_GB2312" w:eastAsia="仿宋_GB2312" w:cs="仿宋_GB2312"/>
                <w:sz w:val="28"/>
                <w:szCs w:val="28"/>
              </w:rPr>
              <w:t>严格按预算专款专用；新的林业政策宣传达到</w:t>
            </w:r>
            <w:r>
              <w:rPr>
                <w:rFonts w:ascii="仿宋_GB2312" w:hAnsi="仿宋_GB2312" w:eastAsia="仿宋_GB2312" w:cs="仿宋_GB2312"/>
                <w:sz w:val="28"/>
                <w:szCs w:val="28"/>
              </w:rPr>
              <w:t>100%</w:t>
            </w:r>
            <w:r>
              <w:rPr>
                <w:rFonts w:hint="eastAsia" w:ascii="仿宋_GB2312" w:hAnsi="仿宋_GB2312" w:eastAsia="仿宋_GB2312" w:cs="仿宋_GB2312"/>
                <w:sz w:val="28"/>
                <w:szCs w:val="28"/>
              </w:rPr>
              <w:t>。</w:t>
            </w:r>
          </w:p>
          <w:p>
            <w:pPr>
              <w:rPr>
                <w:rFonts w:eastAsia="楷体_GB2312"/>
                <w:bCs/>
                <w:sz w:val="28"/>
                <w:szCs w:val="28"/>
              </w:rPr>
            </w:pPr>
          </w:p>
        </w:tc>
      </w:tr>
    </w:tbl>
    <w:p>
      <w:pPr>
        <w:rPr>
          <w:rFonts w:hint="eastAsia" w:ascii="黑体" w:hAnsi="黑体" w:eastAsia="黑体"/>
          <w:sz w:val="32"/>
          <w:szCs w:val="32"/>
          <w:lang w:eastAsia="zh-CN"/>
        </w:rPr>
      </w:pPr>
      <w:r>
        <w:rPr>
          <w:rFonts w:eastAsia="楷体_GB2312"/>
          <w:bCs/>
          <w:sz w:val="28"/>
          <w:szCs w:val="28"/>
        </w:rPr>
        <w:br w:type="page"/>
      </w:r>
      <w:r>
        <w:rPr>
          <w:rFonts w:hint="eastAsia" w:ascii="黑体" w:hAnsi="黑体" w:eastAsia="黑体"/>
          <w:sz w:val="32"/>
          <w:szCs w:val="32"/>
        </w:rPr>
        <w:t>附件</w:t>
      </w:r>
      <w:r>
        <w:rPr>
          <w:rFonts w:ascii="黑体" w:hAnsi="黑体" w:eastAsia="黑体"/>
          <w:sz w:val="32"/>
          <w:szCs w:val="32"/>
        </w:rPr>
        <w:t>3-1</w:t>
      </w:r>
    </w:p>
    <w:p>
      <w:pPr>
        <w:spacing w:beforeLines="100" w:afterLines="100"/>
        <w:jc w:val="center"/>
        <w:rPr>
          <w:rFonts w:ascii="方正小标宋简体" w:eastAsia="方正小标宋简体"/>
          <w:sz w:val="38"/>
          <w:szCs w:val="38"/>
        </w:rPr>
      </w:pPr>
      <w:r>
        <w:rPr>
          <w:rFonts w:hint="eastAsia" w:ascii="方正小标宋简体" w:eastAsia="方正小标宋简体"/>
          <w:sz w:val="38"/>
          <w:szCs w:val="38"/>
        </w:rPr>
        <w:t>部门整体支出绩效评价评分表（参考样表）</w:t>
      </w:r>
    </w:p>
    <w:tbl>
      <w:tblPr>
        <w:tblStyle w:val="6"/>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入</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为标准。在职人员控制率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t>0</w:t>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80%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4</w:t>
            </w:r>
            <w:r>
              <w:rPr>
                <w:rFonts w:hint="eastAsia" w:ascii="仿宋_GB2312" w:hAnsi="宋体" w:eastAsia="仿宋_GB2312" w:cs="宋体"/>
                <w:kern w:val="0"/>
                <w:sz w:val="18"/>
                <w:szCs w:val="18"/>
              </w:rPr>
              <w:t>分；</w:t>
            </w:r>
            <w:r>
              <w:rPr>
                <w:rFonts w:ascii="仿宋_GB2312" w:hAnsi="宋体" w:eastAsia="仿宋_GB2312" w:cs="宋体"/>
                <w:kern w:val="0"/>
                <w:sz w:val="18"/>
                <w:szCs w:val="18"/>
              </w:rPr>
              <w:t>70%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60%</w:t>
            </w:r>
            <w:r>
              <w:rPr>
                <w:rFonts w:hint="eastAsia" w:ascii="仿宋_GB2312" w:hAnsi="宋体" w:eastAsia="仿宋_GB2312" w:cs="宋体"/>
                <w:kern w:val="0"/>
                <w:sz w:val="18"/>
                <w:szCs w:val="18"/>
              </w:rPr>
              <w:t>（含）</w:t>
            </w:r>
            <w:r>
              <w:rPr>
                <w:rFonts w:ascii="仿宋_GB2312" w:hAnsi="宋体" w:eastAsia="仿宋_GB2312" w:cs="宋体"/>
                <w:kern w:val="0"/>
                <w:sz w:val="18"/>
                <w:szCs w:val="18"/>
              </w:rPr>
              <w:t>-70%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分；低于</w:t>
            </w:r>
            <w:r>
              <w:rPr>
                <w:rFonts w:ascii="仿宋_GB2312" w:hAnsi="宋体" w:eastAsia="仿宋_GB2312" w:cs="宋体"/>
                <w:kern w:val="0"/>
                <w:sz w:val="18"/>
                <w:szCs w:val="18"/>
              </w:rPr>
              <w:t>60%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r>
              <w:rPr>
                <w:rFonts w:ascii="仿宋_GB2312" w:hAnsi="宋体" w:eastAsia="仿宋_GB2312" w:cs="宋体"/>
                <w:kern w:val="0"/>
                <w:sz w:val="18"/>
                <w:szCs w:val="18"/>
              </w:rPr>
              <w:t>=0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t>0-10%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t>10-20%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20-30%</w:t>
            </w:r>
            <w:r>
              <w:rPr>
                <w:rFonts w:hint="eastAsia" w:ascii="仿宋_GB2312" w:hAnsi="宋体" w:eastAsia="仿宋_GB2312" w:cs="宋体"/>
                <w:kern w:val="0"/>
                <w:sz w:val="18"/>
                <w:szCs w:val="18"/>
              </w:rPr>
              <w:t>（含），计</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分；大于</w:t>
            </w:r>
            <w:r>
              <w:rPr>
                <w:rFonts w:ascii="仿宋_GB2312" w:hAnsi="宋体" w:eastAsia="仿宋_GB2312" w:cs="宋体"/>
                <w:kern w:val="0"/>
                <w:sz w:val="18"/>
                <w:szCs w:val="18"/>
              </w:rPr>
              <w:t>30%</w:t>
            </w:r>
            <w:r>
              <w:rPr>
                <w:rFonts w:hint="eastAsia" w:ascii="仿宋_GB2312" w:hAnsi="宋体" w:eastAsia="仿宋_GB2312" w:cs="宋体"/>
                <w:kern w:val="0"/>
                <w:sz w:val="18"/>
                <w:szCs w:val="18"/>
              </w:rPr>
              <w:t>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w:t>
            </w:r>
            <w:r>
              <w:rPr>
                <w:rFonts w:ascii="仿宋_GB2312" w:hAnsi="宋体" w:eastAsia="仿宋_GB2312" w:cs="宋体"/>
                <w:kern w:val="0"/>
                <w:sz w:val="18"/>
                <w:szCs w:val="18"/>
              </w:rPr>
              <w:t>50%</w:t>
            </w:r>
            <w:r>
              <w:rPr>
                <w:rFonts w:hint="eastAsia" w:ascii="仿宋_GB2312" w:hAnsi="宋体" w:eastAsia="仿宋_GB2312" w:cs="宋体"/>
                <w:kern w:val="0"/>
                <w:sz w:val="18"/>
                <w:szCs w:val="18"/>
              </w:rPr>
              <w:t>；</w:t>
            </w:r>
            <w:r>
              <w:rPr>
                <w:rFonts w:ascii="仿宋_GB2312" w:hAnsi="宋体" w:eastAsia="仿宋_GB2312" w:cs="宋体"/>
                <w:kern w:val="0"/>
                <w:sz w:val="18"/>
                <w:szCs w:val="18"/>
              </w:rPr>
              <w:t>6</w:t>
            </w:r>
            <w:r>
              <w:rPr>
                <w:rFonts w:hint="eastAsia" w:ascii="仿宋_GB2312" w:hAnsi="宋体" w:eastAsia="仿宋_GB2312" w:cs="宋体"/>
                <w:kern w:val="0"/>
                <w:sz w:val="18"/>
                <w:szCs w:val="18"/>
              </w:rPr>
              <w:t>月底前所有专项资金指标全部下达完。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分；有结余，但不超过上年结转，</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为标准。三公经费控制率</w:t>
            </w:r>
            <w:r>
              <w:rPr>
                <w:rFonts w:hint="eastAsia" w:ascii="宋体" w:hAnsi="宋体" w:cs="宋体"/>
                <w:kern w:val="0"/>
                <w:sz w:val="18"/>
                <w:szCs w:val="18"/>
              </w:rPr>
              <w:t>≦</w:t>
            </w:r>
            <w:r>
              <w:rPr>
                <w:rFonts w:ascii="仿宋_GB2312" w:hAnsi="宋体" w:eastAsia="仿宋_GB2312" w:cs="宋体"/>
                <w:kern w:val="0"/>
                <w:sz w:val="18"/>
                <w:szCs w:val="18"/>
              </w:rPr>
              <w:t>100%</w:t>
            </w:r>
            <w:r>
              <w:rPr>
                <w:rFonts w:hint="eastAsia" w:ascii="仿宋_GB2312" w:hAnsi="宋体" w:eastAsia="仿宋_GB2312" w:cs="宋体"/>
                <w:kern w:val="0"/>
                <w:sz w:val="18"/>
                <w:szCs w:val="18"/>
              </w:rPr>
              <w:t>，计</w:t>
            </w:r>
            <w:r>
              <w:rPr>
                <w:rFonts w:ascii="仿宋_GB2312" w:hAnsi="宋体" w:eastAsia="仿宋_GB2312" w:cs="宋体"/>
                <w:kern w:val="0"/>
                <w:sz w:val="18"/>
                <w:szCs w:val="18"/>
              </w:rPr>
              <w:t>6</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w:t>
            </w:r>
            <w:r>
              <w:rPr>
                <w:rFonts w:ascii="仿宋_GB2312" w:hAnsi="宋体" w:eastAsia="仿宋_GB2312" w:cs="宋体"/>
                <w:spacing w:val="-6"/>
                <w:kern w:val="0"/>
                <w:sz w:val="18"/>
                <w:szCs w:val="18"/>
              </w:rPr>
              <w:t>1</w:t>
            </w:r>
            <w:r>
              <w:rPr>
                <w:rFonts w:hint="eastAsia" w:ascii="仿宋_GB2312" w:hAnsi="宋体" w:eastAsia="仿宋_GB2312" w:cs="宋体"/>
                <w:spacing w:val="-6"/>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r>
              <w:rPr>
                <w:rFonts w:ascii="仿宋_GB2312" w:hAnsi="宋体" w:eastAsia="仿宋_GB2312" w:cs="宋体"/>
                <w:color w:val="000000"/>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⑤基础数据信息和汇集信息资料准确，</w:t>
            </w:r>
            <w:r>
              <w:rPr>
                <w:rFonts w:ascii="仿宋_GB2312" w:hAnsi="宋体" w:eastAsia="仿宋_GB2312" w:cs="宋体"/>
                <w:kern w:val="0"/>
                <w:sz w:val="18"/>
                <w:szCs w:val="18"/>
              </w:rPr>
              <w:t>0.5</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w:t>
            </w:r>
            <w:r>
              <w:rPr>
                <w:rFonts w:ascii="仿宋_GB2312" w:hAnsi="宋体" w:eastAsia="仿宋_GB2312" w:cs="宋体"/>
                <w:kern w:val="0"/>
                <w:sz w:val="18"/>
                <w:szCs w:val="18"/>
              </w:rPr>
              <w:t>50</w:t>
            </w:r>
            <w:r>
              <w:rPr>
                <w:rFonts w:hint="eastAsia" w:ascii="仿宋_GB2312" w:hAnsi="宋体" w:eastAsia="仿宋_GB2312" w:cs="宋体"/>
                <w:kern w:val="0"/>
                <w:sz w:val="18"/>
                <w:szCs w:val="18"/>
              </w:rPr>
              <w:t>％以上的，得</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w:t>
            </w:r>
            <w:r>
              <w:rPr>
                <w:rFonts w:ascii="仿宋_GB2312" w:hAnsi="宋体" w:eastAsia="仿宋_GB2312" w:cs="宋体"/>
                <w:kern w:val="0"/>
                <w:sz w:val="18"/>
                <w:szCs w:val="18"/>
              </w:rPr>
              <w:t>0.2</w:t>
            </w:r>
            <w:r>
              <w:rPr>
                <w:rFonts w:hint="eastAsia" w:ascii="仿宋_GB2312" w:hAnsi="宋体" w:eastAsia="仿宋_GB2312" w:cs="宋体"/>
                <w:kern w:val="0"/>
                <w:sz w:val="18"/>
                <w:szCs w:val="18"/>
              </w:rPr>
              <w:t>分，扣完为止。</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w:t>
            </w:r>
            <w:r>
              <w:rPr>
                <w:rFonts w:ascii="仿宋_GB2312" w:hAnsi="宋体" w:eastAsia="仿宋_GB2312" w:cs="宋体"/>
                <w:kern w:val="0"/>
                <w:sz w:val="18"/>
                <w:szCs w:val="18"/>
              </w:rPr>
              <w:t>2</w:t>
            </w:r>
            <w:r>
              <w:rPr>
                <w:rFonts w:hint="eastAsia" w:ascii="仿宋_GB2312" w:hAnsi="宋体" w:eastAsia="仿宋_GB2312" w:cs="宋体"/>
                <w:kern w:val="0"/>
                <w:sz w:val="18"/>
                <w:szCs w:val="18"/>
              </w:rPr>
              <w:t>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②相关资产管理制度得到有效执行，</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r>
              <w:rPr>
                <w:rFonts w:ascii="仿宋_GB2312" w:hAnsi="宋体" w:eastAsia="仿宋_GB2312" w:cs="宋体"/>
                <w:kern w:val="0"/>
                <w:sz w:val="18"/>
                <w:szCs w:val="18"/>
              </w:rPr>
              <w:t xml:space="preserve">                                           </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6"/>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w:t>
            </w:r>
            <w:r>
              <w:rPr>
                <w:rFonts w:ascii="仿宋_GB2312" w:hAnsi="宋体" w:eastAsia="仿宋_GB2312" w:cs="宋体"/>
                <w:kern w:val="0"/>
                <w:sz w:val="18"/>
                <w:szCs w:val="18"/>
              </w:rPr>
              <w:t>40</w:t>
            </w:r>
            <w:r>
              <w:rPr>
                <w:rFonts w:hint="eastAsia" w:ascii="仿宋_GB2312" w:hAnsi="宋体" w:eastAsia="仿宋_GB2312" w:cs="宋体"/>
                <w:kern w:val="0"/>
                <w:sz w:val="18"/>
                <w:szCs w:val="18"/>
              </w:rPr>
              <w:t>分）</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10</w:t>
            </w:r>
            <w:r>
              <w:rPr>
                <w:rFonts w:hint="eastAsia" w:ascii="仿宋_GB2312" w:hAnsi="宋体" w:eastAsia="仿宋_GB2312" w:cs="宋体"/>
                <w:kern w:val="0"/>
                <w:sz w:val="18"/>
                <w:szCs w:val="18"/>
              </w:rPr>
              <w:t>分）</w:t>
            </w:r>
          </w:p>
        </w:tc>
        <w:tc>
          <w:tcPr>
            <w:tcW w:w="13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③资产处置规范；</w:t>
            </w:r>
            <w:r>
              <w:rPr>
                <w:rFonts w:ascii="仿宋_GB2312" w:hAnsi="宋体" w:eastAsia="仿宋_GB2312" w:cs="宋体"/>
                <w:kern w:val="0"/>
                <w:sz w:val="18"/>
                <w:szCs w:val="18"/>
              </w:rPr>
              <w:t xml:space="preserve"> </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分，扣完为止。</w:t>
            </w:r>
          </w:p>
        </w:tc>
        <w:tc>
          <w:tcPr>
            <w:tcW w:w="6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w:t>
            </w:r>
            <w:r>
              <w:rPr>
                <w:rFonts w:ascii="仿宋_GB2312" w:hAnsi="宋体" w:eastAsia="仿宋_GB2312" w:cs="宋体"/>
                <w:kern w:val="0"/>
                <w:sz w:val="18"/>
                <w:szCs w:val="18"/>
              </w:rPr>
              <w:t>100%</w:t>
            </w:r>
            <w:r>
              <w:rPr>
                <w:rFonts w:hint="eastAsia" w:ascii="仿宋_GB2312" w:hAnsi="宋体" w:eastAsia="仿宋_GB2312" w:cs="宋体"/>
                <w:kern w:val="0"/>
                <w:sz w:val="18"/>
                <w:szCs w:val="18"/>
              </w:rPr>
              <w:t>一个百分点扣</w:t>
            </w:r>
            <w:r>
              <w:rPr>
                <w:rFonts w:ascii="仿宋_GB2312" w:hAnsi="宋体" w:eastAsia="仿宋_GB2312" w:cs="宋体"/>
                <w:kern w:val="0"/>
                <w:sz w:val="18"/>
                <w:szCs w:val="18"/>
              </w:rPr>
              <w:t>0.1</w:t>
            </w:r>
            <w:r>
              <w:rPr>
                <w:rFonts w:hint="eastAsia" w:ascii="仿宋_GB2312" w:hAnsi="宋体" w:eastAsia="仿宋_GB2312" w:cs="宋体"/>
                <w:kern w:val="0"/>
                <w:sz w:val="18"/>
                <w:szCs w:val="18"/>
              </w:rPr>
              <w:t>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出（</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25</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关于做好岳阳市加快推进湖南发展新增长极建设</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11</w:t>
            </w:r>
            <w:r>
              <w:rPr>
                <w:rFonts w:hint="eastAsia" w:ascii="仿宋_GB2312" w:hAnsi="宋体" w:eastAsia="仿宋_GB2312" w:cs="宋体"/>
                <w:kern w:val="0"/>
                <w:sz w:val="18"/>
                <w:szCs w:val="18"/>
              </w:rPr>
              <w:t>号）和《中共岳阳市委</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岳阳市人民政府</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关于做好</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年度综合绩效考评工作的补充通知》（岳发〔</w:t>
            </w:r>
            <w:r>
              <w:rPr>
                <w:rFonts w:ascii="仿宋_GB2312" w:hAnsi="宋体" w:eastAsia="仿宋_GB2312" w:cs="宋体"/>
                <w:kern w:val="0"/>
                <w:sz w:val="18"/>
                <w:szCs w:val="18"/>
              </w:rPr>
              <w:t>2015</w:t>
            </w:r>
            <w:r>
              <w:rPr>
                <w:rFonts w:hint="eastAsia" w:ascii="仿宋_GB2312" w:hAnsi="宋体" w:eastAsia="仿宋_GB2312" w:cs="宋体"/>
                <w:kern w:val="0"/>
                <w:sz w:val="18"/>
                <w:szCs w:val="18"/>
              </w:rPr>
              <w:t>〕</w:t>
            </w:r>
            <w:r>
              <w:rPr>
                <w:rFonts w:ascii="仿宋_GB2312" w:hAnsi="宋体" w:eastAsia="仿宋_GB2312" w:cs="宋体"/>
                <w:kern w:val="0"/>
                <w:sz w:val="18"/>
                <w:szCs w:val="18"/>
              </w:rPr>
              <w:t>19</w:t>
            </w:r>
            <w:r>
              <w:rPr>
                <w:rFonts w:hint="eastAsia" w:ascii="仿宋_GB2312" w:hAnsi="宋体" w:eastAsia="仿宋_GB2312" w:cs="宋体"/>
                <w:kern w:val="0"/>
                <w:sz w:val="18"/>
                <w:szCs w:val="18"/>
              </w:rPr>
              <w:t>号）附件</w:t>
            </w:r>
            <w:r>
              <w:rPr>
                <w:rFonts w:ascii="仿宋_GB2312" w:hAnsi="宋体" w:eastAsia="仿宋_GB2312" w:cs="宋体"/>
                <w:kern w:val="0"/>
                <w:sz w:val="18"/>
                <w:szCs w:val="18"/>
              </w:rPr>
              <w:t>2</w:t>
            </w:r>
            <w:r>
              <w:rPr>
                <w:rFonts w:hint="eastAsia" w:ascii="仿宋_GB2312" w:hAnsi="宋体" w:eastAsia="仿宋_GB2312" w:cs="宋体"/>
                <w:kern w:val="0"/>
                <w:sz w:val="18"/>
                <w:szCs w:val="18"/>
              </w:rPr>
              <w:t>第一大项“工作实绩指标”（</w:t>
            </w:r>
            <w:r>
              <w:rPr>
                <w:rFonts w:ascii="仿宋_GB2312" w:hAnsi="宋体" w:eastAsia="仿宋_GB2312" w:cs="宋体"/>
                <w:kern w:val="0"/>
                <w:sz w:val="18"/>
                <w:szCs w:val="18"/>
              </w:rPr>
              <w:t>700</w:t>
            </w:r>
            <w:r>
              <w:rPr>
                <w:rFonts w:hint="eastAsia" w:ascii="仿宋_GB2312" w:hAnsi="宋体" w:eastAsia="仿宋_GB2312" w:cs="宋体"/>
                <w:kern w:val="0"/>
                <w:sz w:val="18"/>
                <w:szCs w:val="18"/>
              </w:rPr>
              <w:t>分）考核内容设置。</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0</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无省市重点民生实事情况</w:t>
            </w: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0</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无省市重点工程和重大项目</w:t>
            </w: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w:t>
            </w:r>
            <w:r>
              <w:rPr>
                <w:rFonts w:ascii="仿宋_GB2312" w:hAnsi="宋体" w:eastAsia="仿宋_GB2312" w:cs="宋体"/>
                <w:kern w:val="0"/>
                <w:sz w:val="18"/>
                <w:szCs w:val="18"/>
              </w:rPr>
              <w:t xml:space="preserve">  </w:t>
            </w:r>
            <w:r>
              <w:rPr>
                <w:rFonts w:hint="eastAsia" w:ascii="仿宋_GB2312" w:hAnsi="宋体" w:eastAsia="仿宋_GB2312" w:cs="宋体"/>
                <w:kern w:val="0"/>
                <w:sz w:val="18"/>
                <w:szCs w:val="18"/>
              </w:rPr>
              <w:t>果</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ascii="仿宋_GB2312" w:hAnsi="宋体" w:eastAsia="仿宋_GB2312" w:cs="宋体"/>
                <w:kern w:val="0"/>
                <w:sz w:val="18"/>
                <w:szCs w:val="18"/>
              </w:rPr>
              <w:br w:type="textWrapping"/>
            </w:r>
            <w:r>
              <w:rPr>
                <w:rFonts w:hint="eastAsia" w:ascii="仿宋_GB2312" w:hAnsi="宋体" w:eastAsia="仿宋_GB2312" w:cs="宋体"/>
                <w:kern w:val="0"/>
                <w:sz w:val="18"/>
                <w:szCs w:val="18"/>
              </w:rPr>
              <w:t>（</w:t>
            </w:r>
            <w:r>
              <w:rPr>
                <w:rFonts w:ascii="仿宋_GB2312" w:hAnsi="宋体" w:eastAsia="仿宋_GB2312" w:cs="宋体"/>
                <w:kern w:val="0"/>
                <w:sz w:val="18"/>
                <w:szCs w:val="18"/>
              </w:rPr>
              <w:t>20</w:t>
            </w:r>
            <w:r>
              <w:rPr>
                <w:rFonts w:hint="eastAsia" w:ascii="仿宋_GB2312" w:hAnsi="宋体" w:eastAsia="仿宋_GB2312" w:cs="宋体"/>
                <w:kern w:val="0"/>
                <w:sz w:val="18"/>
                <w:szCs w:val="18"/>
              </w:rPr>
              <w:t>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95%</w:t>
            </w:r>
            <w:r>
              <w:rPr>
                <w:rFonts w:hint="eastAsia" w:ascii="仿宋_GB2312" w:hAnsi="宋体" w:eastAsia="仿宋_GB2312" w:cs="宋体"/>
                <w:kern w:val="0"/>
                <w:sz w:val="18"/>
                <w:szCs w:val="18"/>
              </w:rPr>
              <w:t>（含）以上计</w:t>
            </w:r>
            <w:r>
              <w:rPr>
                <w:rFonts w:ascii="仿宋_GB2312" w:hAnsi="宋体" w:eastAsia="仿宋_GB2312" w:cs="宋体"/>
                <w:kern w:val="0"/>
                <w:sz w:val="18"/>
                <w:szCs w:val="18"/>
              </w:rPr>
              <w:t>5</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85%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-95%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3</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ascii="仿宋_GB2312" w:hAnsi="宋体" w:eastAsia="仿宋_GB2312" w:cs="宋体"/>
                <w:kern w:val="0"/>
                <w:sz w:val="18"/>
                <w:szCs w:val="18"/>
              </w:rPr>
              <w:t>75%</w:t>
            </w:r>
            <w:r>
              <w:rPr>
                <w:rFonts w:hint="eastAsia" w:ascii="仿宋_GB2312" w:hAnsi="宋体" w:eastAsia="仿宋_GB2312" w:cs="宋体"/>
                <w:kern w:val="0"/>
                <w:sz w:val="18"/>
                <w:szCs w:val="18"/>
              </w:rPr>
              <w:t>（含）</w:t>
            </w:r>
            <w:r>
              <w:rPr>
                <w:rFonts w:ascii="仿宋_GB2312" w:hAnsi="宋体" w:eastAsia="仿宋_GB2312" w:cs="宋体"/>
                <w:kern w:val="0"/>
                <w:sz w:val="18"/>
                <w:szCs w:val="18"/>
              </w:rPr>
              <w:t>-85%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1</w:t>
            </w:r>
            <w:r>
              <w:rPr>
                <w:rFonts w:hint="eastAsia" w:ascii="仿宋_GB2312" w:hAnsi="宋体" w:eastAsia="仿宋_GB2312" w:cs="宋体"/>
                <w:kern w:val="0"/>
                <w:sz w:val="18"/>
                <w:szCs w:val="18"/>
              </w:rPr>
              <w:t>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w:t>
            </w:r>
            <w:r>
              <w:rPr>
                <w:rFonts w:ascii="仿宋_GB2312" w:hAnsi="宋体" w:eastAsia="仿宋_GB2312" w:cs="宋体"/>
                <w:kern w:val="0"/>
                <w:sz w:val="18"/>
                <w:szCs w:val="18"/>
              </w:rPr>
              <w:t>75%</w:t>
            </w:r>
            <w:r>
              <w:rPr>
                <w:rFonts w:hint="eastAsia" w:ascii="仿宋_GB2312" w:hAnsi="宋体" w:eastAsia="仿宋_GB2312" w:cs="宋体"/>
                <w:kern w:val="0"/>
                <w:sz w:val="18"/>
                <w:szCs w:val="18"/>
              </w:rPr>
              <w:t>计</w:t>
            </w:r>
            <w:r>
              <w:rPr>
                <w:rFonts w:ascii="仿宋_GB2312" w:hAnsi="宋体" w:eastAsia="仿宋_GB2312" w:cs="宋体"/>
                <w:kern w:val="0"/>
                <w:sz w:val="18"/>
                <w:szCs w:val="18"/>
              </w:rPr>
              <w:t>0</w:t>
            </w:r>
            <w:r>
              <w:rPr>
                <w:rFonts w:hint="eastAsia" w:ascii="仿宋_GB2312" w:hAnsi="宋体" w:eastAsia="仿宋_GB2312" w:cs="宋体"/>
                <w:kern w:val="0"/>
                <w:sz w:val="18"/>
                <w:szCs w:val="18"/>
              </w:rPr>
              <w:t>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w:t>
            </w:r>
            <w:r>
              <w:rPr>
                <w:rFonts w:ascii="仿宋_GB2312" w:hAnsi="宋体" w:eastAsia="仿宋_GB2312" w:cs="宋体"/>
                <w:b/>
                <w:bCs/>
                <w:kern w:val="0"/>
                <w:sz w:val="18"/>
                <w:szCs w:val="18"/>
              </w:rPr>
              <w:t xml:space="preserve"> </w:t>
            </w:r>
            <w:r>
              <w:rPr>
                <w:rFonts w:hint="eastAsia" w:ascii="仿宋_GB2312" w:hAnsi="宋体" w:eastAsia="仿宋_GB2312" w:cs="宋体"/>
                <w:b/>
                <w:bCs/>
                <w:kern w:val="0"/>
                <w:sz w:val="18"/>
                <w:szCs w:val="18"/>
              </w:rPr>
              <w:t>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ascii="仿宋_GB2312" w:hAnsi="宋体" w:eastAsia="仿宋_GB2312" w:cs="宋体"/>
                <w:b/>
                <w:bCs/>
                <w:kern w:val="0"/>
                <w:sz w:val="18"/>
                <w:szCs w:val="18"/>
              </w:rPr>
              <w:t>96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w:t>
      </w:r>
      <w:r>
        <w:rPr>
          <w:rFonts w:ascii="仿宋_GB2312" w:hAnsi="宋体" w:eastAsia="仿宋_GB2312" w:cs="宋体"/>
          <w:kern w:val="0"/>
          <w:szCs w:val="21"/>
        </w:rPr>
        <w:t>3</w:t>
      </w:r>
      <w:r>
        <w:rPr>
          <w:rFonts w:hint="eastAsia" w:ascii="仿宋_GB2312" w:hAnsi="宋体" w:eastAsia="仿宋_GB2312" w:cs="宋体"/>
          <w:kern w:val="0"/>
          <w:szCs w:val="21"/>
        </w:rPr>
        <w:t>《部门整体支出绩效评价指标体系（参考样表）》，须相应修改调整本表中的对应部分。</w:t>
      </w: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8"/>
        <w:sz w:val="24"/>
        <w:szCs w:val="24"/>
      </w:rPr>
    </w:pPr>
    <w:r>
      <w:rPr>
        <w:rStyle w:val="8"/>
        <w:sz w:val="24"/>
        <w:szCs w:val="24"/>
      </w:rPr>
      <w:t xml:space="preserve">— </w:t>
    </w:r>
    <w:r>
      <w:rPr>
        <w:rStyle w:val="8"/>
        <w:sz w:val="24"/>
        <w:szCs w:val="24"/>
      </w:rPr>
      <w:fldChar w:fldCharType="begin"/>
    </w:r>
    <w:r>
      <w:rPr>
        <w:rStyle w:val="8"/>
        <w:sz w:val="24"/>
        <w:szCs w:val="24"/>
      </w:rPr>
      <w:instrText xml:space="preserve">PAGE  </w:instrText>
    </w:r>
    <w:r>
      <w:rPr>
        <w:rStyle w:val="8"/>
        <w:sz w:val="24"/>
        <w:szCs w:val="24"/>
      </w:rPr>
      <w:fldChar w:fldCharType="separate"/>
    </w:r>
    <w:r>
      <w:rPr>
        <w:rStyle w:val="8"/>
        <w:sz w:val="24"/>
        <w:szCs w:val="24"/>
      </w:rPr>
      <w:t>1</w:t>
    </w:r>
    <w:r>
      <w:rPr>
        <w:rStyle w:val="8"/>
        <w:sz w:val="24"/>
        <w:szCs w:val="24"/>
      </w:rPr>
      <w:fldChar w:fldCharType="end"/>
    </w:r>
    <w:r>
      <w:rPr>
        <w:rStyle w:val="8"/>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FF7F"/>
    <w:multiLevelType w:val="singleLevel"/>
    <w:tmpl w:val="FFFFFF7F"/>
    <w:lvl w:ilvl="0" w:tentative="0">
      <w:start w:val="1"/>
      <w:numFmt w:val="decimal"/>
      <w:pStyle w:val="16"/>
      <w:lvlText w:val="%1."/>
      <w:lvlJc w:val="left"/>
      <w:pPr>
        <w:tabs>
          <w:tab w:val="left" w:pos="780"/>
        </w:tabs>
        <w:ind w:left="780" w:hanging="360"/>
      </w:pPr>
      <w:rPr>
        <w:rFonts w:cs="Times New Roman"/>
      </w:rPr>
    </w:lvl>
  </w:abstractNum>
  <w:abstractNum w:abstractNumId="1">
    <w:nsid w:val="09DF67EC"/>
    <w:multiLevelType w:val="singleLevel"/>
    <w:tmpl w:val="09DF67EC"/>
    <w:lvl w:ilvl="0" w:tentative="0">
      <w:start w:val="3"/>
      <w:numFmt w:val="chineseCounting"/>
      <w:suff w:val="nothing"/>
      <w:lvlText w:val="%1、"/>
      <w:lvlJc w:val="left"/>
      <w:rPr>
        <w:rFonts w:hint="eastAsia" w:cs="Times New Roman"/>
      </w:rPr>
    </w:lvl>
  </w:abstractNum>
  <w:abstractNum w:abstractNumId="2">
    <w:nsid w:val="6A25F466"/>
    <w:multiLevelType w:val="singleLevel"/>
    <w:tmpl w:val="6A25F466"/>
    <w:lvl w:ilvl="0" w:tentative="0">
      <w:start w:val="1"/>
      <w:numFmt w:val="decimal"/>
      <w:suff w:val="nothing"/>
      <w:lvlText w:val="%1、"/>
      <w:lvlJc w:val="left"/>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5"/>
  <w:bordersDoNotSurroundHeader w:val="1"/>
  <w:bordersDoNotSurroundFooter w:val="1"/>
  <w:documentProtection w:enforcement="0"/>
  <w:defaultTabStop w:val="420"/>
  <w:drawingGridHorizontalSpacing w:val="103"/>
  <w:drawingGridVerticalSpacing w:val="30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1ODNjNDZmZTFmNWQ1ZTcyNWM5MDg2MGE3YzNhYTc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420"/>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674C1"/>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439E"/>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2B1"/>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4D65"/>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071"/>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39D4"/>
    <w:rsid w:val="00884E1A"/>
    <w:rsid w:val="008865FC"/>
    <w:rsid w:val="00890E92"/>
    <w:rsid w:val="00893D57"/>
    <w:rsid w:val="008955DC"/>
    <w:rsid w:val="00897FBF"/>
    <w:rsid w:val="00897FD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033E"/>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59E5"/>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4FB5"/>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2348"/>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E3A3E37"/>
    <w:rsid w:val="1DA10397"/>
    <w:rsid w:val="275B5626"/>
    <w:rsid w:val="2B102368"/>
    <w:rsid w:val="2DEE17B2"/>
    <w:rsid w:val="2E5E0126"/>
    <w:rsid w:val="303B5E5F"/>
    <w:rsid w:val="32FE521D"/>
    <w:rsid w:val="36EA7C97"/>
    <w:rsid w:val="376C05C3"/>
    <w:rsid w:val="3B833343"/>
    <w:rsid w:val="459E4A6E"/>
    <w:rsid w:val="45A44698"/>
    <w:rsid w:val="45E40E6C"/>
    <w:rsid w:val="514566E6"/>
    <w:rsid w:val="517A638F"/>
    <w:rsid w:val="520C7E5F"/>
    <w:rsid w:val="55A7222E"/>
    <w:rsid w:val="56524B45"/>
    <w:rsid w:val="5B3A3F28"/>
    <w:rsid w:val="5C6860F2"/>
    <w:rsid w:val="5E561224"/>
    <w:rsid w:val="615838CB"/>
    <w:rsid w:val="629D6498"/>
    <w:rsid w:val="62F470D9"/>
    <w:rsid w:val="65220330"/>
    <w:rsid w:val="676B07FC"/>
    <w:rsid w:val="6D741A8D"/>
    <w:rsid w:val="79251E04"/>
    <w:rsid w:val="793D1360"/>
    <w:rsid w:val="7A0A38AB"/>
    <w:rsid w:val="7ABA6102"/>
    <w:rsid w:val="7AD25583"/>
    <w:rsid w:val="7D0270B5"/>
    <w:rsid w:val="7D272678"/>
    <w:rsid w:val="7E484F9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9"/>
    <w:qFormat/>
    <w:uiPriority w:val="99"/>
    <w:pPr>
      <w:ind w:firstLine="588" w:firstLineChars="200"/>
    </w:pPr>
    <w:rPr>
      <w:rFonts w:ascii="仿宋_GB2312" w:hAnsi="Calibri" w:eastAsia="仿宋_GB2312"/>
      <w:sz w:val="32"/>
    </w:rPr>
  </w:style>
  <w:style w:type="paragraph" w:styleId="3">
    <w:name w:val="Balloon Text"/>
    <w:basedOn w:val="1"/>
    <w:link w:val="10"/>
    <w:semiHidden/>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99"/>
    <w:rPr>
      <w:rFonts w:cs="Times New Roman"/>
    </w:rPr>
  </w:style>
  <w:style w:type="character" w:customStyle="1" w:styleId="9">
    <w:name w:val="Body Text Indent 2 Char"/>
    <w:basedOn w:val="7"/>
    <w:link w:val="2"/>
    <w:qFormat/>
    <w:locked/>
    <w:uiPriority w:val="99"/>
    <w:rPr>
      <w:rFonts w:ascii="仿宋_GB2312" w:hAnsi="Calibri" w:eastAsia="仿宋_GB2312" w:cs="Times New Roman"/>
      <w:sz w:val="24"/>
      <w:szCs w:val="24"/>
    </w:rPr>
  </w:style>
  <w:style w:type="character" w:customStyle="1" w:styleId="10">
    <w:name w:val="Balloon Text Char"/>
    <w:basedOn w:val="7"/>
    <w:link w:val="3"/>
    <w:semiHidden/>
    <w:qFormat/>
    <w:locked/>
    <w:uiPriority w:val="99"/>
    <w:rPr>
      <w:rFonts w:ascii="Times New Roman" w:hAnsi="Times New Roman" w:eastAsia="宋体" w:cs="Times New Roman"/>
      <w:sz w:val="18"/>
      <w:szCs w:val="18"/>
    </w:rPr>
  </w:style>
  <w:style w:type="character" w:customStyle="1" w:styleId="11">
    <w:name w:val="Footer Char"/>
    <w:basedOn w:val="7"/>
    <w:link w:val="4"/>
    <w:qFormat/>
    <w:locked/>
    <w:uiPriority w:val="99"/>
    <w:rPr>
      <w:rFonts w:cs="Times New Roman"/>
      <w:sz w:val="18"/>
      <w:szCs w:val="18"/>
    </w:rPr>
  </w:style>
  <w:style w:type="character" w:customStyle="1" w:styleId="12">
    <w:name w:val="Header Char"/>
    <w:basedOn w:val="7"/>
    <w:link w:val="5"/>
    <w:semiHidden/>
    <w:qFormat/>
    <w:locked/>
    <w:uiPriority w:val="99"/>
    <w:rPr>
      <w:rFonts w:cs="Times New Roman"/>
      <w:sz w:val="18"/>
      <w:szCs w:val="18"/>
    </w:rPr>
  </w:style>
  <w:style w:type="character" w:customStyle="1" w:styleId="13">
    <w:name w:val="标题 3 Char Char"/>
    <w:qFormat/>
    <w:uiPriority w:val="99"/>
    <w:rPr>
      <w:rFonts w:eastAsia="楷体_GB2312"/>
      <w:b/>
      <w:kern w:val="2"/>
      <w:sz w:val="24"/>
      <w:lang w:val="en-US" w:eastAsia="zh-CN"/>
    </w:rPr>
  </w:style>
  <w:style w:type="paragraph" w:customStyle="1" w:styleId="14">
    <w:name w:val="Char"/>
    <w:basedOn w:val="1"/>
    <w:qFormat/>
    <w:uiPriority w:val="99"/>
    <w:pPr>
      <w:autoSpaceDE w:val="0"/>
      <w:autoSpaceDN w:val="0"/>
      <w:adjustRightInd w:val="0"/>
    </w:pPr>
    <w:rPr>
      <w:rFonts w:ascii="宋体" w:cs="宋体"/>
      <w:kern w:val="0"/>
      <w:sz w:val="20"/>
      <w:szCs w:val="20"/>
      <w:lang w:val="zh-CN"/>
    </w:rPr>
  </w:style>
  <w:style w:type="paragraph" w:customStyle="1" w:styleId="15">
    <w:name w:val="Char1"/>
    <w:basedOn w:val="1"/>
    <w:qFormat/>
    <w:uiPriority w:val="99"/>
    <w:rPr>
      <w:rFonts w:ascii="仿宋_GB2312" w:eastAsia="仿宋_GB2312"/>
      <w:sz w:val="32"/>
    </w:rPr>
  </w:style>
  <w:style w:type="paragraph" w:customStyle="1" w:styleId="16">
    <w:name w:val="Char Char Char Char Char Char Char Char Char Char Char Char1 Char Char Char Char"/>
    <w:basedOn w:val="1"/>
    <w:qFormat/>
    <w:uiPriority w:val="99"/>
    <w:pPr>
      <w:numPr>
        <w:ilvl w:val="0"/>
        <w:numId w:val="1"/>
      </w:numPr>
      <w:tabs>
        <w:tab w:val="left" w:pos="720"/>
      </w:tabs>
    </w:pPr>
    <w:rPr>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China</Company>
  <Pages>10</Pages>
  <Words>3468</Words>
  <Characters>3812</Characters>
  <Lines>0</Lines>
  <Paragraphs>0</Paragraphs>
  <TotalTime>20</TotalTime>
  <ScaleCrop>false</ScaleCrop>
  <LinksUpToDate>false</LinksUpToDate>
  <CharactersWithSpaces>4564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陈茂</cp:lastModifiedBy>
  <cp:lastPrinted>2021-06-11T04:42:00Z</cp:lastPrinted>
  <dcterms:modified xsi:type="dcterms:W3CDTF">2022-05-31T08:22:40Z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D5462138AEC74ECEA472FF8DB67AED68</vt:lpwstr>
  </property>
</Properties>
</file>