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4"/>
                <w:szCs w:val="44"/>
              </w:rPr>
            </w:pPr>
            <w:r>
              <w:rPr>
                <w:rFonts w:hint="eastAsia" w:ascii="方正小标宋_GBK" w:hAnsi="宋体" w:eastAsia="方正小标宋_GBK" w:cs="宋体"/>
                <w:color w:val="000000"/>
                <w:kern w:val="0"/>
                <w:sz w:val="44"/>
                <w:szCs w:val="44"/>
              </w:rPr>
              <w:t>岳阳市市场监督管理局2022年度部门预算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2022年部门预算说明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2022年部门预算公开表格</w:t>
            </w:r>
          </w:p>
        </w:tc>
      </w:tr>
      <w:tr>
        <w:tblPrEx>
          <w:tblCellMar>
            <w:top w:w="0" w:type="dxa"/>
            <w:left w:w="108" w:type="dxa"/>
            <w:bottom w:w="0" w:type="dxa"/>
            <w:right w:w="108" w:type="dxa"/>
          </w:tblCellMar>
        </w:tblPrEx>
        <w:trPr>
          <w:trHeight w:val="4519"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23、一般工作预算基本支出表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519"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2022年部门预算说明</w:t>
            </w:r>
          </w:p>
        </w:tc>
      </w:tr>
      <w:tr>
        <w:tblPrEx>
          <w:tblCellMar>
            <w:top w:w="0" w:type="dxa"/>
            <w:left w:w="108" w:type="dxa"/>
            <w:bottom w:w="0" w:type="dxa"/>
            <w:right w:w="108" w:type="dxa"/>
          </w:tblCellMar>
        </w:tblPrEx>
        <w:trPr>
          <w:trHeight w:val="3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一、部门基本概况</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1.负责市场综合监督管理。</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2.负责市场主体统一登记注册工作。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3.负责组织指导市场监管综合执法工作。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4.依委托开展反垄断统一执法调查工作。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5.负责监督管理市场秩序。</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6.负责宏观质量管理。</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7.负责产品质量安全监督管理。</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8.负责特种设备安全监督管理。</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9.负责食品安全监督管理综合协调。</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10.负责食品安全监督管理。</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11.负责统一管理计量工作。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12.负责统一管理标准化工作。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13.负责统一管理检验检测工作。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14.负责统一管理、监督和综合协调认证认可工作。 </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15.负责市场监督管理、知识产权领域科技和信息化建设、新闻宣传、对外交流与合作。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16.负责实施知识产权战略，推进知识产权强市建设。</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17.负责保护知识产权。</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18.负责知识产权创造运用。</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19.负责组织开展有关商品和服务领域消费维权工作，查处假冒伪劣等违法行为，指导消费者咨询、投诉、举报 受理、处理和网络体系建设等工作，保护经营者、消费者合法 权益。</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20.负责药品（含中药、民族药，下同）、医疗器械 和化妆品安全监督管理。贯彻执行国家、省关于药品、医疗器 械、化妆品安全监督管理的法律、法规和规章，拟订地方性政 策规划并组织实施。</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21.监督实施药品、医疗器械、化妆品标准和分类 管理制度，配合有关部门实施国家基本药物制度。</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22.负责权限范围内药品、医疗器械和化妆品质量 管理。监督实施药品、医疗器械经营质量管理规范，监督实施 化妆品经营、使用卫生标准和技术规范。</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23.负责权限范围内药品、医疗器械和化妆品上市后风险管理。</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24.负责组织实施药品、医疗器械和化妆品监督检查。</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25.负责指导市县市场监督管理部门承担的药品、医疗器械、化妆品有关监督管理工作。</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26.按规定要求，承担对口事业服务机构业务工作 的指导、协调和监督职责。</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27.完成市委、市政府交办的其他任务。</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根据编委核定，我局设置机构43个，其中内设机构33个，副处级综合行政执法支队1个，直属事业单位4个，直属分局3个。</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内设科室分别是办公室、 综合规划和科技信息化科、政策法规科、信用监督管理科、网络交易监督管理科、广告监督管理科、登记注册科、市场规范管理科、反不正当竞争和反垄断科、价格监督管理科、投诉举报科、质量发展科、产品质量安全监督管理科、食品安全协调科、食品生产安全监督管理科、食品经营安全监督管理科、特殊食品和化妆品安全监督管理科、餐饮食品安全监督管理科、抽检监测管理科、药品生产指导协调科、药品流通监督管理科、医疗器械监督管理科、特种设备安全监察科、计量科、标准化科、认证认可监督管理科、知识产权运用促进科、知识产权保护科、消费者权益保护科、财务和审计科、人事科、机关党委（纪委）、离退休人员管理服务科。</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副处级综合行政执法支队是岳阳市市场监管综合行政执法支队。</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直属事业单位为岳阳市检验监测中心，岳阳市食品药品审评认证与不良反应监测中心，岳阳市市场监督管理局机关事务管理中心，岳阳市消费者维权服务中心。</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直属分局分别是岳阳市市场监督管理局经济技术开发区分局、岳阳市市场监督管理局南湖新区分局、岳阳市市场监督管理局城陵矶新港区分局。</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截至上年底，本部门共有在职在编人员404名，退休人员228名，离休人员3名。</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二、部门预算单位构成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本部门预算为汇总预算，纳入编制范围的预算单位包括：</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1.岳阳市市场监督管理局本级</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2.岳阳市市场监督管理局城陵矶新港区分局、岳阳市市场监管综合行政执法支队、岳阳市检验检测中心。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三、部门收支总体情况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部门收入预算8068.04万元，其中，一般公共预算拨款8068.04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61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因期间机构改革部分直属单位下划，故无上年对比数。</w:t>
            </w:r>
          </w:p>
        </w:tc>
      </w:tr>
      <w:tr>
        <w:tblPrEx>
          <w:tblCellMar>
            <w:top w:w="0" w:type="dxa"/>
            <w:left w:w="108" w:type="dxa"/>
            <w:bottom w:w="0" w:type="dxa"/>
            <w:right w:w="108" w:type="dxa"/>
          </w:tblCellMar>
        </w:tblPrEx>
        <w:trPr>
          <w:trHeight w:val="402"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320"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部门支出预算8068.04万元，其中，一般公共服务支出6940.41万元，占比86.02%，社会保障和就业支出508.17万元，占比6.30%，卫生健康支出284.71万元，占比3.53%，住房保障支出334.74万元，占比4.15%。因期间机构改革直属单位部分下划，故无上年对比数。</w:t>
            </w:r>
          </w:p>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2022年预算公开文档第三大点（对应表3）、第四大点（对应表7）中的金额和百分比，由于预算编制时金额明细到了“分”，而公开表格显示和公开文档取数只到“百元”，可能导致0.01的尾数差异。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部门一般公共预算拨款支出预算8068.04万元，其中，一般公共服务支出6940.41万元，占比86.02%，社会保障和就业支出508.17万元，占比6.30%，卫生健康支出284.71万元，占比3.53%，住房保障支出334.74万元，占比4.15%。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4855.14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3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3212.9万元（数据来源见表20），是指单位为完成特定行政工作任务或事业发展目标而发生的支出，包括有关业务工作经费、运行维护经费等。其中：业务工作经费支出1141.80万元，主要用于满足局机关及直属事业单位日常业务工作经费需求，组织实施质量强市战略、标准化战略；保障市场监督检查、执法办案、认证认可、检验检测、优化服务等各项日常业务工作，其中办案费326万元，非税收入征收成本306.40万元，市场主体管理232.40万元，特种设备安全监管27万元，质量基础250万元；运行维护经费2071.10万元，主要用于保障单位正常运转，保障工会经费补助、伙食补助、物业服务补贴、综合建设奖和平安岳阳建设奖励经费，为日常市场监督检查、执法办案、认证认可、检验检测、优化服务等各项业务工作的开展提供后勤保障服务以及推进相关项目建设，其中工会经费补助190.50万元，伙食补助254万元，物业服务补贴228.60万元，综合建设奖和平安岳阳建设奖励经费1270万元，办公用房购置30万元，办公用房修缮98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2022年度本部门无政府性基金安排的支出，所以公开的附件15-17（政府性基金预算）为空。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岳阳市市场监督管理局机关本级、岳阳市市场监督管理局城陵矶新港区分局、岳阳市市场监管综合行政执法支队、岳阳市检验检测中心共4家行政事业单位的机关运行经费699.74万元（数据来源见表12），因期间机构改革部分直属单位下划，故无上年对比数。</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岳阳市市场监督管理局机关本级、岳阳市市场监督管理局城陵矶新港区分局、岳阳市市场监管综合行政执法支队、岳阳市检验检测中心共4家行政事业单位的“三公”经费预算数134.4万元（数据来源见表14），其中，公务接待费35.40万元，因公出国（境）费0万元，公务用车购置及运行费99万元（其中，公务用车购置费0万元，公务用车运行费99万元）。</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因期间机构改革部分直属单位下划，故无上年对比数。</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2022年本部门会议费预算</w:t>
            </w:r>
            <w:r>
              <w:rPr>
                <w:rFonts w:hint="eastAsia" w:ascii="仿宋_GB2312" w:hAnsi="宋体" w:eastAsia="仿宋_GB2312" w:cs="宋体"/>
                <w:kern w:val="0"/>
                <w:sz w:val="28"/>
                <w:szCs w:val="28"/>
                <w:lang w:val="en-US" w:eastAsia="zh-CN"/>
              </w:rPr>
              <w:t>5.5</w:t>
            </w:r>
            <w:r>
              <w:rPr>
                <w:rFonts w:hint="eastAsia" w:ascii="仿宋_GB2312" w:hAnsi="宋体" w:eastAsia="仿宋_GB2312" w:cs="宋体"/>
                <w:kern w:val="0"/>
                <w:sz w:val="28"/>
                <w:szCs w:val="28"/>
              </w:rPr>
              <w:t>万元，拟召开6次会议，人数360人，内容为食品安全、知识产权、特种设备、企业年报及市场监管执法工作会议；培训费预算25万元，拟开展60次培训，人数5568人，内容为廉政建设、党史党务知识、新闻宣传、队伍建设、网络监管、知识产权、食品药品监管、广告管理等；2</w:t>
            </w:r>
            <w:r>
              <w:rPr>
                <w:rFonts w:ascii="仿宋_GB2312" w:hAnsi="宋体" w:eastAsia="仿宋_GB2312" w:cs="宋体"/>
                <w:kern w:val="0"/>
                <w:sz w:val="28"/>
                <w:szCs w:val="28"/>
              </w:rPr>
              <w:t>022</w:t>
            </w:r>
            <w:r>
              <w:rPr>
                <w:rFonts w:hint="eastAsia" w:ascii="仿宋_GB2312" w:hAnsi="宋体" w:eastAsia="仿宋_GB2312" w:cs="宋体"/>
                <w:kern w:val="0"/>
                <w:sz w:val="28"/>
                <w:szCs w:val="28"/>
              </w:rPr>
              <w:t>本部门未计划举办节庆、晚会、论坛、赛事活动。</w:t>
            </w:r>
          </w:p>
        </w:tc>
      </w:tr>
      <w:tr>
        <w:tblPrEx>
          <w:tblCellMar>
            <w:top w:w="0" w:type="dxa"/>
            <w:left w:w="108" w:type="dxa"/>
            <w:bottom w:w="0" w:type="dxa"/>
            <w:right w:w="108" w:type="dxa"/>
          </w:tblCellMar>
        </w:tblPrEx>
        <w:trPr>
          <w:trHeight w:val="61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2022年本部门政府采购预算总额1503.31万元，其中工程类222万元，货物类468.54万元，服务类812.77万元。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2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截至上年底，本部门共有车辆33辆，其中领导干部用车0辆，一般公务用车28辆，其他用车5辆。单位价值50万元以上通用设备14台，单位价值100万元以上专用设备5台。</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2022年拟报废处置公务用车0辆，拟新增配置车辆3辆，其中领导干部用车0辆，一般公务用车3辆，其他用车0辆，主要用于执法执勤，资金来源为罚没收入征收可用收入。</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2022年拟新增配备领导干部用车0辆，一般公务用车3辆，其他用车0辆，无计划新增配备单位价值50万元以上通用设备，无计划新增配备单位价值100万元以上专用设备。</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本部门所有支出实行绩效目标管理。纳入2022年部门整体支出绩效目标的金额为8068.04万元，其中，基本支出4855.14万元，项目支出3212.9万元，详见文尾附表中部门预算公开表格的表21-22。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2022年部门预算公开表格</w:t>
            </w:r>
          </w:p>
        </w:tc>
      </w:tr>
      <w:tr>
        <w:tblPrEx>
          <w:tblCellMar>
            <w:top w:w="0" w:type="dxa"/>
            <w:left w:w="108" w:type="dxa"/>
            <w:bottom w:w="0" w:type="dxa"/>
            <w:right w:w="108" w:type="dxa"/>
          </w:tblCellMar>
        </w:tblPrEx>
        <w:trPr>
          <w:trHeight w:val="4500" w:hRule="atLeast"/>
        </w:trPr>
        <w:tc>
          <w:tcPr>
            <w:tcW w:w="5000" w:type="pct"/>
            <w:vMerge w:val="restar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val="en-US" w:eastAsia="zh-CN"/>
              </w:rPr>
              <w:t>公用</w:t>
            </w:r>
            <w:bookmarkStart w:id="0" w:name="_GoBack"/>
            <w:bookmarkEnd w:id="0"/>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23、一般工作预算基本支出表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500"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roma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664159"/>
    <w:multiLevelType w:val="singleLevel"/>
    <w:tmpl w:val="C7664159"/>
    <w:lvl w:ilvl="0" w:tentative="0">
      <w:start w:val="1"/>
      <w:numFmt w:val="decimal"/>
      <w:suff w:val="nothing"/>
      <w:lvlText w:val="%1、"/>
      <w:lvlJc w:val="left"/>
    </w:lvl>
  </w:abstractNum>
  <w:abstractNum w:abstractNumId="1">
    <w:nsid w:val="F6DA090A"/>
    <w:multiLevelType w:val="singleLevel"/>
    <w:tmpl w:val="F6DA090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UzZmNjMmE1MjJjOTYzMmI5NzNiMWJmOTkxZjljYTIifQ=="/>
  </w:docVars>
  <w:rsids>
    <w:rsidRoot w:val="00FA18BB"/>
    <w:rsid w:val="001C2938"/>
    <w:rsid w:val="00BF3B46"/>
    <w:rsid w:val="00CE5ADD"/>
    <w:rsid w:val="00FA18BB"/>
    <w:rsid w:val="025D3034"/>
    <w:rsid w:val="3D4500DB"/>
    <w:rsid w:val="6CF7F09E"/>
    <w:rsid w:val="7E7F332E"/>
    <w:rsid w:val="E7FF2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4731</Words>
  <Characters>5115</Characters>
  <Lines>37</Lines>
  <Paragraphs>10</Paragraphs>
  <TotalTime>2</TotalTime>
  <ScaleCrop>false</ScaleCrop>
  <LinksUpToDate>false</LinksUpToDate>
  <CharactersWithSpaces>5189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2023-05-28T07:20:00Z</dcterms:created>
  <dc:creator>PC</dc:creator>
  <cp:lastModifiedBy>49266_000</cp:lastModifiedBy>
  <dcterms:modified xsi:type="dcterms:W3CDTF">2023-09-23T05:34:00Z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DF2F50EF966B48EE9511A3CEF7B74C81_12</vt:lpwstr>
  </property>
</Properties>
</file>