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lang w:eastAsia="zh-CN"/>
        </w:rPr>
        <w:t>岳阳市工商联</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岳阳市工商联</w:t>
      </w:r>
      <w:r>
        <w:rPr>
          <w:rFonts w:hint="eastAsia"/>
          <w:b/>
          <w:sz w:val="28"/>
          <w:szCs w:val="28"/>
        </w:rPr>
        <w:t>概况</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eastAsia="zh-CN"/>
        </w:rPr>
        <w:t>及决算单位构成</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岳阳市工商联</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numPr>
          <w:ilvl w:val="0"/>
          <w:numId w:val="0"/>
        </w:numPr>
        <w:ind w:leftChars="0"/>
        <w:jc w:val="left"/>
        <w:rPr>
          <w:rFonts w:ascii="黑体" w:hAnsi="黑体" w:eastAsia="黑体"/>
          <w:sz w:val="32"/>
          <w:szCs w:val="32"/>
        </w:rPr>
      </w:pPr>
    </w:p>
    <w:p>
      <w:pPr>
        <w:pStyle w:val="12"/>
        <w:numPr>
          <w:ilvl w:val="0"/>
          <w:numId w:val="0"/>
        </w:numPr>
        <w:ind w:leftChars="0" w:firstLine="320" w:firstLineChars="100"/>
        <w:jc w:val="left"/>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lang w:val="en-US" w:eastAsia="zh-CN"/>
        </w:rPr>
        <w:t xml:space="preserve"> </w:t>
      </w:r>
      <w:r>
        <w:rPr>
          <w:rFonts w:ascii="黑体" w:hAnsi="黑体" w:eastAsia="黑体"/>
          <w:sz w:val="32"/>
          <w:szCs w:val="32"/>
        </w:rPr>
        <w:t>部门职责</w:t>
      </w:r>
    </w:p>
    <w:p>
      <w:pPr>
        <w:ind w:left="630"/>
        <w:rPr>
          <w:rFonts w:hint="eastAsia" w:ascii="仿宋_GB2312" w:eastAsia="仿宋_GB2312"/>
          <w:b/>
          <w:sz w:val="32"/>
          <w:szCs w:val="32"/>
        </w:rPr>
      </w:pPr>
      <w:r>
        <w:rPr>
          <w:rFonts w:hint="eastAsia" w:ascii="仿宋_GB2312" w:eastAsia="仿宋_GB2312"/>
          <w:sz w:val="32"/>
          <w:szCs w:val="32"/>
        </w:rPr>
        <w:t>第一条 加强和改进非公有制经济人士思想政治工作。</w:t>
      </w:r>
    </w:p>
    <w:p>
      <w:pPr>
        <w:ind w:firstLine="627" w:firstLineChars="196"/>
        <w:rPr>
          <w:rFonts w:hint="eastAsia" w:ascii="仿宋_GB2312" w:eastAsia="仿宋_GB2312"/>
          <w:b/>
          <w:sz w:val="32"/>
          <w:szCs w:val="32"/>
        </w:rPr>
      </w:pPr>
      <w:r>
        <w:rPr>
          <w:rFonts w:hint="eastAsia" w:ascii="仿宋_GB2312" w:eastAsia="仿宋_GB2312"/>
          <w:sz w:val="32"/>
          <w:szCs w:val="32"/>
        </w:rPr>
        <w:t>（一）引导非公有制经济人士践行社会主义核心价值体系，树立中国特色社会主义共同理想，树立义利兼顾、以义为先理念，学习、贯彻党和国家的方针政策，发扬自我教育的优良传统，自觉地把自身企业的发展与国家的发展结合起来，把个人富裕与全体人民的共同富裕结合起来，把遵循市场法则与发扬社会主义道德结合起来，爱国、敬业、诚信、守法、贡献，做合格的中国特色社会主义事业建设者。宣传表彰他们中的先进典型。</w:t>
      </w:r>
    </w:p>
    <w:p>
      <w:pPr>
        <w:ind w:firstLine="627" w:firstLineChars="196"/>
        <w:rPr>
          <w:rFonts w:hint="eastAsia" w:ascii="仿宋_GB2312" w:eastAsia="仿宋_GB2312"/>
          <w:b/>
          <w:sz w:val="32"/>
          <w:szCs w:val="32"/>
        </w:rPr>
      </w:pPr>
      <w:r>
        <w:rPr>
          <w:rFonts w:hint="eastAsia" w:ascii="仿宋_GB2312" w:eastAsia="仿宋_GB2312"/>
          <w:sz w:val="32"/>
          <w:szCs w:val="32"/>
        </w:rPr>
        <w:t>（二）引导非公有制经济人士弘扬中华传统美德，弘扬时代新风，致富思源、富而思进，积极承担社会责任，热心公益事业，投身光彩事业，加强企业文化建设，支持企业党建工作，为基层党组织开展活动、发挥作用提供必要条件。</w:t>
      </w:r>
    </w:p>
    <w:p>
      <w:pPr>
        <w:ind w:firstLine="627" w:firstLineChars="196"/>
        <w:rPr>
          <w:rFonts w:hint="eastAsia" w:ascii="仿宋_GB2312" w:eastAsia="仿宋_GB2312"/>
          <w:b/>
          <w:sz w:val="32"/>
          <w:szCs w:val="32"/>
        </w:rPr>
      </w:pPr>
      <w:r>
        <w:rPr>
          <w:rFonts w:hint="eastAsia" w:ascii="仿宋_GB2312" w:eastAsia="仿宋_GB2312"/>
          <w:sz w:val="32"/>
          <w:szCs w:val="32"/>
        </w:rPr>
        <w:t>第二条 参与政治协商，发挥民主监督作用，积极参政议政。</w:t>
      </w:r>
    </w:p>
    <w:p>
      <w:pPr>
        <w:ind w:firstLine="627" w:firstLineChars="196"/>
        <w:rPr>
          <w:rFonts w:hint="eastAsia" w:ascii="仿宋_GB2312" w:eastAsia="仿宋_GB2312"/>
          <w:b/>
          <w:sz w:val="32"/>
          <w:szCs w:val="32"/>
        </w:rPr>
      </w:pPr>
      <w:r>
        <w:rPr>
          <w:rFonts w:hint="eastAsia" w:ascii="仿宋_GB2312" w:eastAsia="仿宋_GB2312"/>
          <w:sz w:val="32"/>
          <w:szCs w:val="32"/>
        </w:rPr>
        <w:t>（一）密切同非公有制经济人士的联系，深入了解他们的意愿和要求，向党和政府提出相关意见和建议。</w:t>
      </w:r>
    </w:p>
    <w:p>
      <w:pPr>
        <w:ind w:firstLine="627" w:firstLineChars="196"/>
        <w:rPr>
          <w:rFonts w:hint="eastAsia" w:ascii="仿宋_GB2312" w:eastAsia="仿宋_GB2312"/>
          <w:b/>
          <w:sz w:val="32"/>
          <w:szCs w:val="32"/>
        </w:rPr>
      </w:pPr>
      <w:r>
        <w:rPr>
          <w:rFonts w:hint="eastAsia" w:ascii="仿宋_GB2312" w:eastAsia="仿宋_GB2312"/>
          <w:sz w:val="32"/>
          <w:szCs w:val="32"/>
        </w:rPr>
        <w:t>（二）围绕贯彻落实党的路线方针政策，参与国家有关政策、法律法规的制定和贯彻执行，促进非公有制经济市场环境、政策环境、法治环境、社会环境的改善。</w:t>
      </w:r>
    </w:p>
    <w:p>
      <w:pPr>
        <w:ind w:firstLine="627" w:firstLineChars="196"/>
        <w:rPr>
          <w:rFonts w:hint="eastAsia" w:ascii="仿宋_GB2312" w:eastAsia="仿宋_GB2312"/>
          <w:b/>
          <w:sz w:val="32"/>
          <w:szCs w:val="32"/>
        </w:rPr>
      </w:pPr>
      <w:r>
        <w:rPr>
          <w:rFonts w:hint="eastAsia" w:ascii="仿宋_GB2312" w:eastAsia="仿宋_GB2312"/>
          <w:sz w:val="32"/>
          <w:szCs w:val="32"/>
        </w:rPr>
        <w:t>（三）帮助非公有制经济代表人士提高参政议政能力和水平，积极反映社情民意，有序参与政治生活和社会事务。</w:t>
      </w:r>
    </w:p>
    <w:p>
      <w:pPr>
        <w:ind w:firstLine="627" w:firstLineChars="196"/>
        <w:rPr>
          <w:rFonts w:hint="eastAsia" w:ascii="仿宋_GB2312" w:eastAsia="仿宋_GB2312"/>
          <w:b/>
          <w:sz w:val="32"/>
          <w:szCs w:val="32"/>
        </w:rPr>
      </w:pPr>
      <w:r>
        <w:rPr>
          <w:rFonts w:hint="eastAsia" w:ascii="仿宋_GB2312" w:eastAsia="仿宋_GB2312"/>
          <w:sz w:val="32"/>
          <w:szCs w:val="32"/>
        </w:rPr>
        <w:t>（四）做好非公有制经济代表人士的发现、培养、推荐和管理工作。</w:t>
      </w:r>
    </w:p>
    <w:p>
      <w:pPr>
        <w:ind w:firstLine="627" w:firstLineChars="196"/>
        <w:rPr>
          <w:rFonts w:hint="eastAsia" w:ascii="仿宋_GB2312" w:eastAsia="仿宋_GB2312"/>
          <w:b/>
          <w:sz w:val="32"/>
          <w:szCs w:val="32"/>
        </w:rPr>
      </w:pPr>
      <w:r>
        <w:rPr>
          <w:rFonts w:hint="eastAsia" w:ascii="仿宋_GB2312" w:eastAsia="仿宋_GB2312"/>
          <w:sz w:val="32"/>
          <w:szCs w:val="32"/>
        </w:rPr>
        <w:t>第三条 协助政府管理和服务非公有制经济。</w:t>
      </w:r>
    </w:p>
    <w:p>
      <w:pPr>
        <w:ind w:firstLine="627" w:firstLineChars="196"/>
        <w:rPr>
          <w:rFonts w:hint="eastAsia" w:ascii="仿宋_GB2312" w:eastAsia="仿宋_GB2312"/>
          <w:b/>
          <w:sz w:val="32"/>
          <w:szCs w:val="32"/>
        </w:rPr>
      </w:pPr>
      <w:r>
        <w:rPr>
          <w:rFonts w:hint="eastAsia" w:ascii="仿宋_GB2312" w:eastAsia="仿宋_GB2312"/>
          <w:sz w:val="32"/>
          <w:szCs w:val="32"/>
        </w:rPr>
        <w:t>（一）积极探索建立适应社会主义市场经济要求的服务载体和机制，为非公有制企业提供政策、信息、法律、融资、技术、人才等方面服务，引导非公有制企业按照科学发展观要求，加快经济发展方式转变和产业优化升级，推进结构调整和自主创新，不断增强市场竞争能力、抵御风险能力和可持续发展能力。</w:t>
      </w:r>
    </w:p>
    <w:p>
      <w:pPr>
        <w:ind w:firstLine="627" w:firstLineChars="196"/>
        <w:rPr>
          <w:rFonts w:hint="eastAsia" w:ascii="仿宋_GB2312" w:eastAsia="仿宋_GB2312"/>
          <w:b/>
          <w:sz w:val="32"/>
          <w:szCs w:val="32"/>
        </w:rPr>
      </w:pPr>
      <w:r>
        <w:rPr>
          <w:rFonts w:hint="eastAsia" w:ascii="仿宋_GB2312" w:eastAsia="仿宋_GB2312"/>
          <w:sz w:val="32"/>
          <w:szCs w:val="32"/>
        </w:rPr>
        <w:t>（二）增强与香港特别行政区、澳门特别行政区和台湾地区工商界的联系，促进经贸合作。积极开展民间外交，加强同国外工商界的交流合作，为非公有制企业开展国际合作提供服务。</w:t>
      </w:r>
    </w:p>
    <w:p>
      <w:pPr>
        <w:ind w:firstLine="627" w:firstLineChars="196"/>
        <w:rPr>
          <w:rFonts w:hint="eastAsia" w:ascii="仿宋_GB2312" w:eastAsia="仿宋_GB2312"/>
          <w:b/>
          <w:sz w:val="32"/>
          <w:szCs w:val="32"/>
        </w:rPr>
      </w:pPr>
      <w:r>
        <w:rPr>
          <w:rFonts w:hint="eastAsia" w:ascii="仿宋_GB2312" w:eastAsia="仿宋_GB2312"/>
          <w:sz w:val="32"/>
          <w:szCs w:val="32"/>
        </w:rPr>
        <w:t>（三）承办政府和有关部门委托事项。组织非公有制企业参与实施国家区域发展战略，为地方经济建设服务，促进城乡、区域统筹协调发展。</w:t>
      </w:r>
    </w:p>
    <w:p>
      <w:pPr>
        <w:ind w:firstLine="627" w:firstLineChars="196"/>
        <w:rPr>
          <w:rFonts w:hint="eastAsia" w:ascii="仿宋_GB2312" w:eastAsia="仿宋_GB2312"/>
          <w:b/>
          <w:sz w:val="32"/>
          <w:szCs w:val="32"/>
        </w:rPr>
      </w:pPr>
      <w:r>
        <w:rPr>
          <w:rFonts w:hint="eastAsia" w:ascii="仿宋_GB2312" w:eastAsia="仿宋_GB2312"/>
          <w:sz w:val="32"/>
          <w:szCs w:val="32"/>
        </w:rPr>
        <w:t>第四条 促进行业协会商会改革发展。</w:t>
      </w:r>
    </w:p>
    <w:p>
      <w:pPr>
        <w:ind w:firstLine="627" w:firstLineChars="196"/>
        <w:rPr>
          <w:rFonts w:hint="eastAsia" w:ascii="仿宋_GB2312" w:eastAsia="仿宋_GB2312"/>
          <w:b/>
          <w:sz w:val="32"/>
          <w:szCs w:val="32"/>
        </w:rPr>
      </w:pPr>
      <w:r>
        <w:rPr>
          <w:rFonts w:hint="eastAsia" w:ascii="仿宋_GB2312" w:eastAsia="仿宋_GB2312"/>
          <w:sz w:val="32"/>
          <w:szCs w:val="32"/>
        </w:rPr>
        <w:t>（一）履行社会团体业务主管单位职责，指导和推动商会组织依照法律法规和本章程制定商会章程，完善法人治理结构，规范内部管理，发挥宣传政策、提供服务、反映诉求、维护权益、加强自律的作用，培育和发展中国特色商会组织。</w:t>
      </w:r>
    </w:p>
    <w:p>
      <w:pPr>
        <w:ind w:firstLine="627" w:firstLineChars="196"/>
        <w:rPr>
          <w:rFonts w:hint="eastAsia" w:ascii="仿宋_GB2312" w:eastAsia="仿宋_GB2312"/>
          <w:b/>
          <w:sz w:val="32"/>
          <w:szCs w:val="32"/>
        </w:rPr>
      </w:pPr>
      <w:r>
        <w:rPr>
          <w:rFonts w:hint="eastAsia" w:ascii="仿宋_GB2312" w:eastAsia="仿宋_GB2312"/>
          <w:sz w:val="32"/>
          <w:szCs w:val="32"/>
        </w:rPr>
        <w:t>（二）参与行业协会商会政策法律的制定。指导商会反映行业发展动态，促进行业健康发展。</w:t>
      </w:r>
    </w:p>
    <w:p>
      <w:pPr>
        <w:ind w:firstLine="627" w:firstLineChars="196"/>
        <w:rPr>
          <w:rFonts w:hint="eastAsia" w:ascii="仿宋_GB2312" w:eastAsia="仿宋_GB2312"/>
          <w:b/>
          <w:sz w:val="32"/>
          <w:szCs w:val="32"/>
        </w:rPr>
      </w:pPr>
      <w:r>
        <w:rPr>
          <w:rFonts w:hint="eastAsia" w:ascii="仿宋_GB2312" w:eastAsia="仿宋_GB2312"/>
          <w:sz w:val="32"/>
          <w:szCs w:val="32"/>
        </w:rPr>
        <w:t>第五条 参与协调劳动关系，协同社会管理，促进社会和谐稳定。</w:t>
      </w:r>
    </w:p>
    <w:p>
      <w:pPr>
        <w:ind w:firstLine="627" w:firstLineChars="196"/>
        <w:rPr>
          <w:rFonts w:hint="eastAsia" w:ascii="仿宋_GB2312" w:eastAsia="仿宋_GB2312"/>
          <w:b/>
          <w:sz w:val="32"/>
          <w:szCs w:val="32"/>
        </w:rPr>
      </w:pPr>
      <w:r>
        <w:rPr>
          <w:rFonts w:hint="eastAsia" w:ascii="仿宋_GB2312" w:eastAsia="仿宋_GB2312"/>
          <w:sz w:val="32"/>
          <w:szCs w:val="32"/>
        </w:rPr>
        <w:t>（一）参与协调劳动关系三方会议，同政府部门、工会组织和其他有关企业方代表一道，共同推动劳动关系立法、健全劳动标准体系和劳动关系协调机制，共同研究解决劳动关系中的重大问题，参与劳动争议调解、仲裁。</w:t>
      </w:r>
    </w:p>
    <w:p>
      <w:pPr>
        <w:ind w:firstLine="627" w:firstLineChars="196"/>
        <w:rPr>
          <w:rFonts w:hint="eastAsia" w:ascii="仿宋_GB2312" w:eastAsia="仿宋_GB2312"/>
          <w:b/>
          <w:sz w:val="32"/>
          <w:szCs w:val="32"/>
        </w:rPr>
      </w:pPr>
      <w:r>
        <w:rPr>
          <w:rFonts w:hint="eastAsia" w:ascii="仿宋_GB2312" w:eastAsia="仿宋_GB2312"/>
          <w:sz w:val="32"/>
          <w:szCs w:val="32"/>
        </w:rPr>
        <w:t>（二）引导非公有制企业依法与工会就职工工资、生活福利、社会保险等涉及职工切身利益问题进行平等协商，签订集体合同。</w:t>
      </w:r>
    </w:p>
    <w:p>
      <w:pPr>
        <w:ind w:firstLine="627" w:firstLineChars="196"/>
        <w:rPr>
          <w:rFonts w:hint="eastAsia" w:ascii="仿宋_GB2312" w:eastAsia="仿宋_GB2312"/>
          <w:b/>
          <w:sz w:val="32"/>
          <w:szCs w:val="32"/>
        </w:rPr>
      </w:pPr>
      <w:r>
        <w:rPr>
          <w:rFonts w:hint="eastAsia" w:ascii="仿宋_GB2312" w:eastAsia="仿宋_GB2312"/>
          <w:sz w:val="32"/>
          <w:szCs w:val="32"/>
        </w:rPr>
        <w:t>（三）协调处理投资者利益和劳动者权益的关系，引导非公有制企业构建和谐劳动关系，积极创造就业岗位，严格遵守国家相关法律法规和政策措施，尊重和维护员工合法权益，协助指导非公有制企业党建工作，推动其建立工会等群团组织，积极开展活动。</w:t>
      </w:r>
    </w:p>
    <w:p>
      <w:pPr>
        <w:ind w:firstLine="627" w:firstLineChars="196"/>
        <w:rPr>
          <w:rFonts w:hint="eastAsia" w:ascii="仿宋_GB2312" w:eastAsia="仿宋_GB2312"/>
          <w:b/>
          <w:sz w:val="32"/>
          <w:szCs w:val="32"/>
        </w:rPr>
      </w:pPr>
      <w:r>
        <w:rPr>
          <w:rFonts w:hint="eastAsia" w:ascii="仿宋_GB2312" w:eastAsia="仿宋_GB2312"/>
          <w:sz w:val="32"/>
          <w:szCs w:val="32"/>
        </w:rPr>
        <w:t>第六条 反映非公有制企业和非公有制经济人士利益诉求，维护其合法权益。参与经济纠纷的调解、仲裁。</w:t>
      </w:r>
    </w:p>
    <w:p>
      <w:pPr>
        <w:ind w:firstLine="627" w:firstLineChars="196"/>
        <w:rPr>
          <w:rFonts w:asciiTheme="minorEastAsia" w:hAnsiTheme="minorEastAsia"/>
          <w:i/>
          <w:iCs/>
          <w:sz w:val="32"/>
          <w:szCs w:val="32"/>
        </w:rPr>
      </w:pPr>
      <w:r>
        <w:rPr>
          <w:rFonts w:hint="eastAsia" w:ascii="仿宋_GB2312" w:eastAsia="仿宋_GB2312"/>
          <w:sz w:val="32"/>
          <w:szCs w:val="32"/>
        </w:rPr>
        <w:t>第七条 依法加强会产管理和保护。</w:t>
      </w:r>
    </w:p>
    <w:p>
      <w:pPr>
        <w:widowControl/>
        <w:spacing w:line="600" w:lineRule="exact"/>
        <w:rPr>
          <w:rFonts w:hint="eastAsia" w:ascii="黑体" w:hAnsi="黑体" w:eastAsia="黑体"/>
          <w:bCs/>
          <w:kern w:val="0"/>
          <w:sz w:val="32"/>
          <w:szCs w:val="32"/>
        </w:rPr>
      </w:pPr>
    </w:p>
    <w:p>
      <w:pPr>
        <w:widowControl/>
        <w:spacing w:line="600" w:lineRule="exact"/>
        <w:rPr>
          <w:rFonts w:hint="eastAsia" w:ascii="黑体" w:hAnsi="黑体" w:eastAsia="黑体"/>
          <w:bCs/>
          <w:kern w:val="0"/>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Theme="minorEastAsia" w:hAnsiTheme="minorEastAsia"/>
          <w:bCs/>
          <w:kern w:val="0"/>
          <w:sz w:val="32"/>
          <w:szCs w:val="32"/>
        </w:rPr>
        <w:t>（一）内设机构设置。</w:t>
      </w:r>
      <w:r>
        <w:rPr>
          <w:rFonts w:hint="eastAsia" w:ascii="仿宋_GB2312" w:hAnsi="仿宋_GB2312" w:eastAsia="仿宋_GB2312" w:cs="仿宋_GB2312"/>
          <w:color w:val="auto"/>
          <w:sz w:val="32"/>
          <w:szCs w:val="32"/>
          <w:lang w:eastAsia="zh-CN"/>
        </w:rPr>
        <w:t>岳阳市工商联内设机构包括</w:t>
      </w:r>
      <w:r>
        <w:rPr>
          <w:rFonts w:hint="eastAsia" w:ascii="仿宋_GB2312" w:hAnsi="仿宋_GB2312" w:eastAsia="仿宋_GB2312" w:cs="仿宋_GB2312"/>
          <w:color w:val="auto"/>
          <w:sz w:val="32"/>
          <w:szCs w:val="32"/>
          <w:lang w:val="en-US" w:eastAsia="zh-CN"/>
        </w:rPr>
        <w:t>5个科室</w:t>
      </w:r>
      <w:r>
        <w:rPr>
          <w:rFonts w:hint="eastAsia" w:ascii="仿宋_GB2312" w:hAnsi="仿宋_GB2312" w:eastAsia="仿宋_GB2312" w:cs="仿宋_GB2312"/>
          <w:color w:val="auto"/>
          <w:sz w:val="32"/>
          <w:szCs w:val="32"/>
          <w:lang w:eastAsia="zh-CN"/>
        </w:rPr>
        <w:t>：办公室，会员科，经济联络科（维权科），宣教人事科（非公党建科），商会科。</w:t>
      </w:r>
    </w:p>
    <w:p>
      <w:pPr>
        <w:widowControl/>
        <w:spacing w:line="600" w:lineRule="exact"/>
        <w:ind w:firstLine="640" w:firstLineChars="200"/>
        <w:rPr>
          <w:rFonts w:asciiTheme="minorEastAsia" w:hAnsiTheme="minorEastAsia"/>
          <w:bCs/>
          <w:i/>
          <w:iCs/>
          <w:kern w:val="0"/>
          <w:sz w:val="32"/>
          <w:szCs w:val="32"/>
        </w:rPr>
      </w:pPr>
      <w:r>
        <w:rPr>
          <w:rFonts w:hint="eastAsia" w:asciiTheme="minorEastAsia" w:hAnsiTheme="minorEastAsia"/>
          <w:bCs/>
          <w:kern w:val="0"/>
          <w:sz w:val="32"/>
          <w:szCs w:val="32"/>
        </w:rPr>
        <w:t>（二）决算单位构成。</w:t>
      </w:r>
      <w:r>
        <w:rPr>
          <w:rFonts w:hint="eastAsia" w:ascii="仿宋_GB2312" w:hAnsi="仿宋_GB2312" w:eastAsia="仿宋_GB2312" w:cs="仿宋_GB2312"/>
          <w:bCs/>
          <w:kern w:val="0"/>
          <w:sz w:val="32"/>
          <w:szCs w:val="32"/>
          <w:lang w:eastAsia="zh-CN"/>
        </w:rPr>
        <w:t>岳阳市工商联</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年部门决算汇总公开单位构成</w:t>
      </w:r>
      <w:r>
        <w:rPr>
          <w:rFonts w:hint="eastAsia" w:ascii="仿宋_GB2312" w:hAnsi="仿宋_GB2312" w:eastAsia="仿宋_GB2312" w:cs="仿宋_GB2312"/>
          <w:color w:val="auto"/>
          <w:sz w:val="32"/>
          <w:szCs w:val="32"/>
          <w:lang w:eastAsia="zh-CN"/>
        </w:rPr>
        <w:t>仅包括机关本级决算，因为岳阳市工商联无二级机构和</w:t>
      </w:r>
      <w:r>
        <w:rPr>
          <w:rFonts w:hint="eastAsia" w:ascii="仿宋_GB2312" w:hAnsi="仿宋_GB2312" w:eastAsia="仿宋_GB2312" w:cs="仿宋_GB2312"/>
          <w:color w:val="auto"/>
          <w:sz w:val="32"/>
          <w:szCs w:val="32"/>
        </w:rPr>
        <w:t>所属事业单位</w:t>
      </w:r>
      <w:r>
        <w:rPr>
          <w:rFonts w:hint="eastAsia" w:ascii="仿宋_GB2312" w:hAnsi="仿宋_GB2312" w:eastAsia="仿宋_GB2312" w:cs="仿宋_GB2312"/>
          <w:color w:val="auto"/>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p>
    <w:p>
      <w:pPr>
        <w:ind w:firstLine="2880" w:firstLineChars="400"/>
        <w:jc w:val="both"/>
        <w:rPr>
          <w:rFonts w:hint="eastAsia" w:ascii="黑体" w:hAnsi="黑体" w:eastAsia="黑体" w:cs="黑体"/>
          <w:sz w:val="72"/>
          <w:szCs w:val="72"/>
        </w:rPr>
      </w:pPr>
      <w:r>
        <w:rPr>
          <w:rFonts w:hint="eastAsia" w:ascii="黑体" w:hAnsi="黑体" w:eastAsia="黑体" w:cs="黑体"/>
          <w:sz w:val="72"/>
          <w:szCs w:val="72"/>
        </w:rPr>
        <w:t>第二部分</w:t>
      </w:r>
    </w:p>
    <w:p>
      <w:pPr>
        <w:jc w:val="center"/>
        <w:rPr>
          <w:rFonts w:hint="eastAsia" w:ascii="黑体" w:hAnsi="黑体" w:eastAsia="黑体" w:cs="黑体"/>
          <w:sz w:val="72"/>
          <w:szCs w:val="72"/>
        </w:rPr>
      </w:pPr>
      <w:r>
        <w:rPr>
          <w:rFonts w:hint="eastAsia" w:ascii="黑体" w:hAnsi="黑体" w:eastAsia="黑体" w:cs="黑体"/>
          <w:sz w:val="72"/>
          <w:szCs w:val="72"/>
          <w:lang w:val="en-US" w:eastAsia="zh-CN"/>
        </w:rPr>
        <w:t xml:space="preserve">                     </w:t>
      </w:r>
      <w:r>
        <w:rPr>
          <w:rFonts w:hint="eastAsia" w:ascii="黑体" w:hAnsi="黑体" w:eastAsia="黑体" w:cs="黑体"/>
          <w:sz w:val="72"/>
          <w:szCs w:val="72"/>
        </w:rPr>
        <w:t>部门决算表</w:t>
      </w:r>
    </w:p>
    <w:p>
      <w:pPr>
        <w:ind w:firstLine="2880" w:firstLineChars="400"/>
        <w:jc w:val="both"/>
        <w:rPr>
          <w:rFonts w:hint="eastAsia"/>
          <w:sz w:val="72"/>
          <w:szCs w:val="72"/>
        </w:rPr>
      </w:pPr>
    </w:p>
    <w:p>
      <w:pPr>
        <w:widowControl/>
        <w:rPr>
          <w:rFonts w:hint="eastAsia" w:ascii="仿宋_GB2312" w:eastAsia="仿宋_GB2312"/>
          <w:bCs/>
          <w:kern w:val="0"/>
          <w:sz w:val="32"/>
          <w:szCs w:val="32"/>
        </w:rPr>
      </w:pPr>
    </w:p>
    <w:p>
      <w:pPr>
        <w:widowControl/>
        <w:rPr>
          <w:rFonts w:hint="eastAsia" w:ascii="仿宋_GB2312" w:eastAsia="仿宋_GB2312"/>
          <w:bCs/>
          <w:kern w:val="0"/>
          <w:sz w:val="32"/>
          <w:szCs w:val="32"/>
        </w:rPr>
      </w:pPr>
    </w:p>
    <w:p>
      <w:pPr>
        <w:widowControl/>
        <w:rPr>
          <w:rFonts w:hint="eastAsia" w:ascii="仿宋_GB2312" w:eastAsia="仿宋_GB2312"/>
          <w:bCs/>
          <w:kern w:val="0"/>
          <w:sz w:val="32"/>
          <w:szCs w:val="32"/>
        </w:rPr>
      </w:pPr>
    </w:p>
    <w:p>
      <w:pPr>
        <w:widowControl/>
        <w:rPr>
          <w:rFonts w:hint="eastAsia" w:ascii="仿宋_GB2312" w:eastAsia="仿宋_GB2312"/>
          <w:bCs/>
          <w:kern w:val="0"/>
          <w:sz w:val="32"/>
          <w:szCs w:val="32"/>
        </w:rPr>
      </w:pPr>
    </w:p>
    <w:p>
      <w:pPr>
        <w:widowControl/>
        <w:rPr>
          <w:rFonts w:hint="eastAsia" w:ascii="仿宋_GB2312" w:eastAsia="仿宋_GB2312"/>
          <w:bCs/>
          <w:kern w:val="0"/>
          <w:sz w:val="32"/>
          <w:szCs w:val="32"/>
        </w:rPr>
      </w:pPr>
    </w:p>
    <w:p>
      <w:pPr>
        <w:widowControl/>
        <w:rPr>
          <w:rFonts w:hint="eastAsia" w:ascii="仿宋_GB2312" w:eastAsia="仿宋_GB2312"/>
          <w:bCs/>
          <w:kern w:val="0"/>
          <w:sz w:val="32"/>
          <w:szCs w:val="32"/>
        </w:rPr>
      </w:pPr>
    </w:p>
    <w:p>
      <w:pPr>
        <w:widowControl/>
        <w:rPr>
          <w:rFonts w:hint="eastAsia" w:ascii="仿宋_GB2312" w:eastAsia="仿宋_GB2312"/>
          <w:bCs/>
          <w:kern w:val="0"/>
          <w:sz w:val="32"/>
          <w:szCs w:val="32"/>
        </w:rPr>
      </w:pPr>
    </w:p>
    <w:p>
      <w:pPr>
        <w:widowControl/>
        <w:rPr>
          <w:rFonts w:hint="eastAsia" w:ascii="仿宋_GB2312" w:eastAsia="仿宋_GB2312"/>
          <w:bCs/>
          <w:kern w:val="0"/>
          <w:sz w:val="32"/>
          <w:szCs w:val="32"/>
        </w:rPr>
      </w:pPr>
      <w:r>
        <w:rPr>
          <w:rFonts w:hint="eastAsia" w:ascii="仿宋_GB2312" w:eastAsia="仿宋_GB2312"/>
          <w:bCs/>
          <w:kern w:val="0"/>
          <w:sz w:val="32"/>
          <w:szCs w:val="32"/>
        </w:rPr>
        <w:t>一、收入支出决算总表</w:t>
      </w:r>
    </w:p>
    <w:p>
      <w:pPr>
        <w:widowControl/>
        <w:rPr>
          <w:rFonts w:hint="eastAsia" w:ascii="仿宋_GB2312" w:eastAsia="仿宋_GB2312"/>
          <w:bCs/>
          <w:kern w:val="0"/>
          <w:sz w:val="32"/>
          <w:szCs w:val="32"/>
        </w:rPr>
      </w:pPr>
      <w:r>
        <w:rPr>
          <w:rFonts w:hint="eastAsia" w:ascii="仿宋_GB2312" w:eastAsia="仿宋_GB2312"/>
          <w:bCs/>
          <w:kern w:val="0"/>
          <w:sz w:val="32"/>
          <w:szCs w:val="32"/>
        </w:rPr>
        <w:t>二、收入决算表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三、支出决算表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四、财政拨款收入支出决算总表</w:t>
      </w:r>
    </w:p>
    <w:p>
      <w:pPr>
        <w:widowControl/>
        <w:rPr>
          <w:rFonts w:hint="eastAsia" w:ascii="仿宋_GB2312" w:eastAsia="仿宋_GB2312"/>
          <w:bCs/>
          <w:kern w:val="0"/>
          <w:sz w:val="32"/>
          <w:szCs w:val="32"/>
        </w:rPr>
      </w:pPr>
      <w:r>
        <w:rPr>
          <w:rFonts w:hint="eastAsia" w:ascii="仿宋_GB2312" w:eastAsia="仿宋_GB2312"/>
          <w:bCs/>
          <w:kern w:val="0"/>
          <w:sz w:val="32"/>
          <w:szCs w:val="32"/>
        </w:rPr>
        <w:t>五、一般公共预算财政拨款支出决算表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六、一般公共预算财政拨款基本支出决算表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七、一般公共预算财政拨款“三公”经费支出决算表</w:t>
      </w:r>
    </w:p>
    <w:p>
      <w:pPr>
        <w:widowControl/>
        <w:rPr>
          <w:rFonts w:hint="eastAsia" w:ascii="仿宋_GB2312" w:eastAsia="仿宋_GB2312"/>
          <w:bCs/>
          <w:kern w:val="0"/>
          <w:sz w:val="32"/>
          <w:szCs w:val="32"/>
        </w:rPr>
      </w:pPr>
      <w:r>
        <w:rPr>
          <w:rFonts w:hint="eastAsia" w:ascii="仿宋_GB2312" w:eastAsia="仿宋_GB2312"/>
          <w:bCs/>
          <w:kern w:val="0"/>
          <w:sz w:val="32"/>
          <w:szCs w:val="32"/>
        </w:rPr>
        <w:t>八、政府性基金预算财政拨款收入支出决算表</w:t>
      </w:r>
    </w:p>
    <w:p>
      <w:pPr>
        <w:widowControl/>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九、国有资本经营预算财政拨款支出决算表</w:t>
      </w:r>
    </w:p>
    <w:p>
      <w:pPr>
        <w:widowControl/>
        <w:rPr>
          <w:rFonts w:ascii="黑体" w:hAnsi="黑体" w:eastAsia="黑体"/>
          <w:sz w:val="28"/>
          <w:szCs w:val="28"/>
        </w:rPr>
        <w:sectPr>
          <w:pgSz w:w="11906" w:h="16838"/>
          <w:pgMar w:top="1440" w:right="1797" w:bottom="1440" w:left="1797" w:header="851" w:footer="992" w:gutter="0"/>
          <w:cols w:space="425" w:num="1"/>
          <w:docGrid w:type="linesAndChars" w:linePitch="312" w:charSpace="0"/>
        </w:sectPr>
      </w:pPr>
      <w:r>
        <w:rPr>
          <w:rFonts w:hint="eastAsia" w:ascii="仿宋_GB2312" w:eastAsia="仿宋_GB2312"/>
          <w:bCs/>
          <w:kern w:val="0"/>
          <w:sz w:val="32"/>
          <w:szCs w:val="32"/>
          <w:lang w:eastAsia="zh-CN"/>
        </w:rPr>
        <w:t>（公开表格见附件一）</w:t>
      </w:r>
    </w:p>
    <w:p>
      <w:pPr>
        <w:jc w:val="center"/>
        <w:rPr>
          <w:sz w:val="72"/>
          <w:szCs w:val="72"/>
        </w:rPr>
      </w:pPr>
    </w:p>
    <w:p>
      <w:pPr>
        <w:jc w:val="left"/>
        <w:rPr>
          <w:rFonts w:asciiTheme="minorEastAsia" w:hAnsiTheme="minorEastAsia"/>
          <w:sz w:val="30"/>
          <w:szCs w:val="30"/>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148"/>
        </w:tabs>
        <w:bidi w:val="0"/>
        <w:jc w:val="left"/>
        <w:rPr>
          <w:rFonts w:hint="default"/>
          <w:lang w:val="en-US" w:eastAsia="zh-CN"/>
        </w:rPr>
        <w:sectPr>
          <w:pgSz w:w="11906" w:h="16838"/>
          <w:pgMar w:top="720" w:right="720" w:bottom="720" w:left="720" w:header="851" w:footer="992" w:gutter="0"/>
          <w:cols w:space="425" w:num="1"/>
          <w:docGrid w:type="lines" w:linePitch="312" w:charSpace="0"/>
        </w:sectPr>
      </w:pPr>
      <w:r>
        <w:rPr>
          <w:rFonts w:hint="eastAsia"/>
          <w:lang w:val="en-US" w:eastAsia="zh-CN"/>
        </w:rPr>
        <w:t xml:space="preserve">      </w:t>
      </w:r>
    </w:p>
    <w:p>
      <w:pPr>
        <w:pStyle w:val="11"/>
        <w:ind w:firstLine="3600" w:firstLineChars="500"/>
        <w:jc w:val="both"/>
        <w:rPr>
          <w:rFonts w:hint="eastAsia"/>
          <w:sz w:val="72"/>
          <w:szCs w:val="72"/>
        </w:rPr>
      </w:pPr>
    </w:p>
    <w:p>
      <w:pPr>
        <w:pStyle w:val="11"/>
        <w:ind w:firstLine="3600" w:firstLineChars="500"/>
        <w:jc w:val="both"/>
        <w:rPr>
          <w:rFonts w:hint="eastAsia"/>
          <w:sz w:val="72"/>
          <w:szCs w:val="72"/>
        </w:rPr>
      </w:pPr>
    </w:p>
    <w:p>
      <w:pPr>
        <w:pStyle w:val="11"/>
        <w:ind w:firstLine="3600" w:firstLineChars="500"/>
        <w:jc w:val="both"/>
        <w:rPr>
          <w:rFonts w:hint="eastAsia"/>
          <w:sz w:val="72"/>
          <w:szCs w:val="72"/>
        </w:rPr>
      </w:pPr>
    </w:p>
    <w:p>
      <w:pPr>
        <w:pStyle w:val="11"/>
        <w:ind w:firstLine="3600" w:firstLineChars="500"/>
        <w:jc w:val="both"/>
        <w:rPr>
          <w:rFonts w:hint="eastAsia"/>
          <w:sz w:val="72"/>
          <w:szCs w:val="72"/>
        </w:rPr>
      </w:pPr>
    </w:p>
    <w:p>
      <w:pPr>
        <w:pStyle w:val="11"/>
        <w:ind w:firstLine="3600" w:firstLineChars="500"/>
        <w:jc w:val="both"/>
        <w:rPr>
          <w:rFonts w:hint="eastAsia"/>
          <w:sz w:val="72"/>
          <w:szCs w:val="72"/>
        </w:rPr>
      </w:pPr>
    </w:p>
    <w:p>
      <w:pPr>
        <w:pStyle w:val="11"/>
        <w:ind w:firstLine="3600" w:firstLineChars="500"/>
        <w:jc w:val="both"/>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总收入和总支出为</w:t>
      </w:r>
      <w:r>
        <w:rPr>
          <w:rFonts w:hint="eastAsia" w:asciiTheme="minorEastAsia" w:hAnsiTheme="minorEastAsia" w:eastAsiaTheme="minorEastAsia"/>
          <w:sz w:val="32"/>
          <w:szCs w:val="32"/>
          <w:lang w:val="en-US" w:eastAsia="zh-CN"/>
        </w:rPr>
        <w:t>403.17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w:t>
      </w:r>
      <w:r>
        <w:rPr>
          <w:rFonts w:hint="eastAsia" w:asciiTheme="minorEastAsia" w:hAnsiTheme="minorEastAsia" w:eastAsiaTheme="minorEastAsia"/>
          <w:sz w:val="32"/>
          <w:szCs w:val="32"/>
          <w:lang w:val="en-US" w:eastAsia="zh-CN"/>
        </w:rPr>
        <w:t>2020年总收入和总支出339.13万元</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64.04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上级</w:t>
      </w:r>
      <w:r>
        <w:rPr>
          <w:rFonts w:hint="eastAsia" w:asciiTheme="minorEastAsia" w:hAnsiTheme="minorEastAsia" w:eastAsiaTheme="minorEastAsia"/>
          <w:color w:val="000000" w:themeColor="text1"/>
          <w:sz w:val="32"/>
          <w:szCs w:val="32"/>
          <w:lang w:eastAsia="zh-CN"/>
          <w14:textFill>
            <w14:solidFill>
              <w14:schemeClr w14:val="tx1"/>
            </w14:solidFill>
          </w14:textFill>
        </w:rPr>
        <w:t>安排了驻武汉招商协作联络等工作，预算收入增加，同时支出增加。</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b w:val="0"/>
          <w:bCs w:val="0"/>
          <w:i/>
          <w:iCs/>
          <w:sz w:val="36"/>
          <w:szCs w:val="36"/>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382.79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351.42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91.8</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31.37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383.16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228.79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59.7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154.37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40.3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四、财政拨款收入支出决算总体情况说明</w:t>
      </w:r>
    </w:p>
    <w:p>
      <w:pPr>
        <w:widowControl/>
        <w:ind w:firstLine="627" w:firstLineChars="196"/>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rPr>
        <w:t>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lang w:val="en-US"/>
        </w:rPr>
        <w:t>年度财政拨款总收入</w:t>
      </w:r>
      <w:r>
        <w:rPr>
          <w:rFonts w:hint="eastAsia" w:asciiTheme="minorEastAsia" w:hAnsiTheme="minorEastAsia" w:eastAsiaTheme="minorEastAsia"/>
          <w:sz w:val="32"/>
          <w:szCs w:val="32"/>
          <w:lang w:val="en-US" w:eastAsia="zh-CN"/>
        </w:rPr>
        <w:t>3</w:t>
      </w:r>
      <w:r>
        <w:rPr>
          <w:rFonts w:hint="eastAsia" w:asciiTheme="minorEastAsia" w:hAnsiTheme="minorEastAsia"/>
          <w:sz w:val="32"/>
          <w:szCs w:val="32"/>
          <w:lang w:val="en-US" w:eastAsia="zh-CN"/>
        </w:rPr>
        <w:t>7</w:t>
      </w:r>
      <w:r>
        <w:rPr>
          <w:rFonts w:hint="eastAsia" w:asciiTheme="minorEastAsia" w:hAnsiTheme="minorEastAsia" w:eastAsiaTheme="minorEastAsia"/>
          <w:sz w:val="32"/>
          <w:szCs w:val="32"/>
          <w:lang w:val="en-US" w:eastAsia="zh-CN"/>
        </w:rPr>
        <w:t>1.</w:t>
      </w:r>
      <w:r>
        <w:rPr>
          <w:rFonts w:hint="eastAsia" w:asciiTheme="minorEastAsia" w:hAnsiTheme="minorEastAsia"/>
          <w:sz w:val="32"/>
          <w:szCs w:val="32"/>
          <w:lang w:val="en-US" w:eastAsia="zh-CN"/>
        </w:rPr>
        <w:t>80</w:t>
      </w:r>
      <w:r>
        <w:rPr>
          <w:rFonts w:hint="eastAsia" w:asciiTheme="minorEastAsia" w:hAnsiTheme="minorEastAsia" w:eastAsiaTheme="minorEastAsia"/>
          <w:sz w:val="32"/>
          <w:szCs w:val="32"/>
          <w:lang w:val="en-US"/>
        </w:rPr>
        <w:t>万元</w:t>
      </w:r>
      <w:r>
        <w:rPr>
          <w:rFonts w:hint="eastAsia" w:asciiTheme="minorEastAsia" w:hAnsiTheme="minorEastAsia" w:eastAsiaTheme="minorEastAsia"/>
          <w:sz w:val="32"/>
          <w:szCs w:val="32"/>
          <w:lang w:val="en-US" w:eastAsia="zh-CN"/>
        </w:rPr>
        <w:t>，与2020年度财政拨款收入330.64万元相比，增加收入</w:t>
      </w:r>
      <w:r>
        <w:rPr>
          <w:rFonts w:hint="eastAsia" w:asciiTheme="minorEastAsia" w:hAnsiTheme="minorEastAsia"/>
          <w:sz w:val="32"/>
          <w:szCs w:val="32"/>
          <w:lang w:val="en-US" w:eastAsia="zh-CN"/>
        </w:rPr>
        <w:t>41.16</w:t>
      </w:r>
      <w:r>
        <w:rPr>
          <w:rFonts w:hint="eastAsia" w:asciiTheme="minorEastAsia" w:hAnsiTheme="minorEastAsia" w:eastAsiaTheme="minorEastAsia"/>
          <w:sz w:val="32"/>
          <w:szCs w:val="32"/>
          <w:lang w:val="en-US" w:eastAsia="zh-CN"/>
        </w:rPr>
        <w:t>万元，全部</w:t>
      </w:r>
      <w:r>
        <w:rPr>
          <w:rFonts w:hint="eastAsia" w:asciiTheme="minorEastAsia" w:hAnsiTheme="minorEastAsia" w:eastAsiaTheme="minorEastAsia"/>
          <w:sz w:val="32"/>
          <w:szCs w:val="32"/>
        </w:rPr>
        <w:t>为一般公共预算财政拨款</w:t>
      </w:r>
      <w:r>
        <w:rPr>
          <w:rFonts w:hint="eastAsia" w:asciiTheme="minorEastAsia" w:hAnsiTheme="minorEastAsia" w:eastAsiaTheme="minorEastAsia"/>
          <w:sz w:val="32"/>
          <w:szCs w:val="32"/>
          <w:lang w:eastAsia="zh-CN"/>
        </w:rPr>
        <w:t>收入</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主要是</w:t>
      </w:r>
      <w:r>
        <w:rPr>
          <w:rFonts w:hint="eastAsia" w:asciiTheme="minorEastAsia" w:hAnsiTheme="minorEastAsia" w:eastAsiaTheme="minorEastAsia"/>
          <w:color w:val="000000" w:themeColor="text1"/>
          <w:sz w:val="32"/>
          <w:szCs w:val="32"/>
          <w14:textFill>
            <w14:solidFill>
              <w14:schemeClr w14:val="tx1"/>
            </w14:solidFill>
          </w14:textFill>
        </w:rPr>
        <w:t>因</w:t>
      </w:r>
      <w:r>
        <w:rPr>
          <w:rFonts w:hint="eastAsia" w:asciiTheme="minorEastAsia" w:hAnsiTheme="minorEastAsia" w:eastAsiaTheme="minorEastAsia"/>
          <w:color w:val="000000" w:themeColor="text1"/>
          <w:sz w:val="32"/>
          <w:szCs w:val="32"/>
          <w:lang w:eastAsia="zh-CN"/>
          <w14:textFill>
            <w14:solidFill>
              <w14:schemeClr w14:val="tx1"/>
            </w14:solidFill>
          </w14:textFill>
        </w:rPr>
        <w:t>为上级安排了驻武汉招商协作联络等工作，预算财政拨款收入增加</w:t>
      </w:r>
      <w:r>
        <w:rPr>
          <w:rFonts w:hint="eastAsia" w:asciiTheme="minorEastAsia" w:hAnsiTheme="minorEastAsia" w:eastAsiaTheme="minorEastAsia"/>
          <w:sz w:val="32"/>
          <w:szCs w:val="32"/>
          <w:lang w:eastAsia="zh-CN"/>
        </w:rPr>
        <w:t>。</w:t>
      </w:r>
    </w:p>
    <w:p>
      <w:pPr>
        <w:widowControl/>
        <w:ind w:firstLine="627" w:firstLineChars="196"/>
        <w:rPr>
          <w:rFonts w:asciiTheme="minorEastAsia" w:hAnsiTheme="minorEastAsia" w:eastAsiaTheme="minorEastAsia"/>
          <w:i/>
          <w:iCs/>
          <w:sz w:val="32"/>
          <w:szCs w:val="32"/>
        </w:rPr>
      </w:pPr>
      <w:r>
        <w:rPr>
          <w:rFonts w:hint="eastAsia" w:asciiTheme="minorEastAsia" w:hAnsiTheme="minorEastAsia" w:eastAsiaTheme="minorEastAsia"/>
          <w:sz w:val="32"/>
          <w:szCs w:val="32"/>
          <w:lang w:val="en-US"/>
        </w:rPr>
        <w:t>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lang w:val="en-US"/>
        </w:rPr>
        <w:t>年度财政拨款总支出</w:t>
      </w:r>
      <w:r>
        <w:rPr>
          <w:rFonts w:hint="eastAsia" w:asciiTheme="minorEastAsia" w:hAnsiTheme="minorEastAsia" w:eastAsiaTheme="minorEastAsia"/>
          <w:sz w:val="32"/>
          <w:szCs w:val="32"/>
          <w:lang w:val="en-US" w:eastAsia="zh-CN"/>
        </w:rPr>
        <w:t>371.8</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lang w:val="en-US" w:eastAsia="zh-CN"/>
        </w:rPr>
        <w:t>万元，与2020年度财政拨款支出351.38</w:t>
      </w:r>
      <w:r>
        <w:rPr>
          <w:rFonts w:hint="eastAsia" w:asciiTheme="minorEastAsia" w:hAnsiTheme="minorEastAsia" w:eastAsiaTheme="minorEastAsia"/>
          <w:sz w:val="32"/>
          <w:szCs w:val="32"/>
          <w:lang w:val="en-US"/>
        </w:rPr>
        <w:t>万元</w:t>
      </w:r>
      <w:r>
        <w:rPr>
          <w:rFonts w:hint="eastAsia" w:asciiTheme="minorEastAsia" w:hAnsiTheme="minorEastAsia" w:eastAsiaTheme="minorEastAsia"/>
          <w:sz w:val="32"/>
          <w:szCs w:val="32"/>
          <w:lang w:val="en-US" w:eastAsia="zh-CN"/>
        </w:rPr>
        <w:t>相比，增加支出20.42万元，全部</w:t>
      </w:r>
      <w:r>
        <w:rPr>
          <w:rFonts w:hint="eastAsia" w:asciiTheme="minorEastAsia" w:hAnsiTheme="minorEastAsia" w:eastAsiaTheme="minorEastAsia"/>
          <w:sz w:val="32"/>
          <w:szCs w:val="32"/>
        </w:rPr>
        <w:t>为一般公共预算财政拨款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。主要是因为</w:t>
      </w:r>
      <w:r>
        <w:rPr>
          <w:rFonts w:hint="eastAsia" w:asciiTheme="minorEastAsia" w:hAnsiTheme="minorEastAsia" w:eastAsiaTheme="minorEastAsia"/>
          <w:sz w:val="32"/>
          <w:szCs w:val="32"/>
          <w:lang w:val="zh-CN"/>
        </w:rPr>
        <w:t>上年末部分商家未结账直至</w:t>
      </w:r>
      <w:r>
        <w:rPr>
          <w:rFonts w:hint="eastAsia" w:asciiTheme="minorEastAsia" w:hAnsiTheme="minorEastAsia" w:eastAsiaTheme="minorEastAsia"/>
          <w:sz w:val="32"/>
          <w:szCs w:val="32"/>
          <w:lang w:val="en-US" w:eastAsia="zh-CN"/>
        </w:rPr>
        <w:t>2021年初才使用上年度结余结账，导致年度支出增加。</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i/>
          <w:iCs/>
          <w:color w:val="FF0000"/>
          <w:sz w:val="32"/>
          <w:szCs w:val="32"/>
          <w:lang w:val="en-US"/>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371.80</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20.42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5.81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zh-CN"/>
        </w:rPr>
        <w:t>主要是因为上年末部分商家未结账直至</w:t>
      </w:r>
      <w:r>
        <w:rPr>
          <w:rFonts w:hint="eastAsia" w:asciiTheme="minorEastAsia" w:hAnsiTheme="minorEastAsia" w:eastAsiaTheme="minorEastAsia"/>
          <w:sz w:val="32"/>
          <w:szCs w:val="32"/>
          <w:lang w:val="en-US" w:eastAsia="zh-CN"/>
        </w:rPr>
        <w:t>2021年初才使用上年度结余结账，导致年度支出增加。</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371.80</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316.32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eastAsia="zh-CN"/>
        </w:rPr>
        <w:t>总支出</w:t>
      </w:r>
      <w:r>
        <w:rPr>
          <w:rFonts w:hint="eastAsia" w:asciiTheme="minorEastAsia" w:hAnsiTheme="minorEastAsia" w:eastAsiaTheme="minorEastAsia"/>
          <w:sz w:val="32"/>
          <w:szCs w:val="32"/>
          <w:lang w:val="en-US" w:eastAsia="zh-CN"/>
        </w:rPr>
        <w:t>85.08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科学技术（类）支出</w:t>
      </w:r>
      <w:r>
        <w:rPr>
          <w:rFonts w:hint="eastAsia" w:asciiTheme="minorEastAsia" w:hAnsiTheme="minorEastAsia" w:eastAsiaTheme="minorEastAsia"/>
          <w:sz w:val="32"/>
          <w:szCs w:val="32"/>
          <w:lang w:val="en-US" w:eastAsia="zh-CN"/>
        </w:rPr>
        <w:t>10.08万元，占总支出2.71%；</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17.50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eastAsia="zh-CN"/>
        </w:rPr>
        <w:t>总支出</w:t>
      </w:r>
      <w:r>
        <w:rPr>
          <w:rFonts w:hint="eastAsia" w:asciiTheme="minorEastAsia" w:hAnsiTheme="minorEastAsia" w:eastAsiaTheme="minorEastAsia"/>
          <w:sz w:val="32"/>
          <w:szCs w:val="32"/>
          <w:lang w:val="en-US" w:eastAsia="zh-CN"/>
        </w:rPr>
        <w:t>4.71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卫生健康（类）支出</w:t>
      </w:r>
      <w:r>
        <w:rPr>
          <w:rFonts w:hint="eastAsia" w:asciiTheme="minorEastAsia" w:hAnsiTheme="minorEastAsia" w:eastAsiaTheme="minorEastAsia"/>
          <w:sz w:val="32"/>
          <w:szCs w:val="32"/>
          <w:lang w:val="en-US" w:eastAsia="zh-CN"/>
        </w:rPr>
        <w:t>7.52万元，占总支出2.02%；其他（类）支出20.37万元，占总支出5.48%。</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247.08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371.80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150.48</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asciiTheme="minorEastAsia" w:hAnsiTheme="minorEastAsia" w:eastAsiaTheme="minorEastAsia"/>
          <w:sz w:val="32"/>
          <w:szCs w:val="32"/>
          <w:lang w:eastAsia="zh-CN"/>
        </w:rPr>
        <w:t>民主党派及工商联事务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144.14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173.87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120.63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因</w:t>
      </w:r>
      <w:r>
        <w:rPr>
          <w:rFonts w:hint="eastAsia" w:asciiTheme="minorEastAsia" w:hAnsiTheme="minorEastAsia" w:eastAsiaTheme="minorEastAsia"/>
          <w:sz w:val="32"/>
          <w:szCs w:val="32"/>
        </w:rPr>
        <w:t>为</w:t>
      </w:r>
      <w:r>
        <w:rPr>
          <w:rFonts w:hint="eastAsia" w:asciiTheme="minorEastAsia" w:hAnsiTheme="minorEastAsia" w:eastAsiaTheme="minorEastAsia"/>
          <w:sz w:val="32"/>
          <w:szCs w:val="32"/>
          <w:lang w:eastAsia="zh-CN"/>
        </w:rPr>
        <w:t>年底追加的在职人员的上年度</w:t>
      </w:r>
      <w:r>
        <w:rPr>
          <w:rFonts w:hint="eastAsia" w:asciiTheme="minorEastAsia" w:hAnsiTheme="minorEastAsia" w:eastAsiaTheme="minorEastAsia"/>
          <w:sz w:val="32"/>
          <w:szCs w:val="32"/>
          <w:lang w:val="en-US" w:eastAsia="zh-CN"/>
        </w:rPr>
        <w:t>绩效考核奖、综治考核奖和第13个月工资。</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w:t>
      </w:r>
      <w:r>
        <w:rPr>
          <w:rFonts w:hint="eastAsia" w:asciiTheme="minorEastAsia" w:hAnsiTheme="minorEastAsia" w:eastAsiaTheme="minorEastAsia"/>
          <w:sz w:val="32"/>
          <w:szCs w:val="32"/>
          <w:lang w:eastAsia="zh-CN"/>
        </w:rPr>
        <w:t>民主党派及工商联事务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一般行政管理事务</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112.99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142.45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126.07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因</w:t>
      </w:r>
      <w:r>
        <w:rPr>
          <w:rFonts w:hint="eastAsia" w:asciiTheme="minorEastAsia" w:hAnsiTheme="minorEastAsia" w:eastAsiaTheme="minorEastAsia"/>
          <w:sz w:val="32"/>
          <w:szCs w:val="32"/>
        </w:rPr>
        <w:t>为</w:t>
      </w:r>
      <w:r>
        <w:rPr>
          <w:rFonts w:hint="eastAsia" w:asciiTheme="minorEastAsia" w:hAnsiTheme="minorEastAsia" w:eastAsiaTheme="minorEastAsia"/>
          <w:sz w:val="32"/>
          <w:szCs w:val="32"/>
          <w:lang w:eastAsia="zh-CN"/>
        </w:rPr>
        <w:t>本年度</w:t>
      </w:r>
      <w:r>
        <w:rPr>
          <w:rFonts w:hint="eastAsia" w:asciiTheme="minorEastAsia" w:hAnsiTheme="minorEastAsia" w:eastAsiaTheme="minorEastAsia"/>
          <w:sz w:val="32"/>
          <w:szCs w:val="32"/>
        </w:rPr>
        <w:t>追加的</w:t>
      </w:r>
      <w:r>
        <w:rPr>
          <w:rFonts w:hint="eastAsia" w:asciiTheme="minorEastAsia" w:hAnsiTheme="minorEastAsia" w:eastAsiaTheme="minorEastAsia"/>
          <w:sz w:val="32"/>
          <w:szCs w:val="32"/>
          <w:lang w:eastAsia="zh-CN"/>
        </w:rPr>
        <w:t>招商引资工作经费。</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217.42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188.12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86.52</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29.30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13.48</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25.07</w:t>
      </w:r>
      <w:r>
        <w:rPr>
          <w:rFonts w:hint="eastAsia" w:asciiTheme="minorEastAsia" w:hAnsiTheme="minorEastAsia" w:eastAsiaTheme="minorEastAsia"/>
          <w:sz w:val="32"/>
          <w:szCs w:val="32"/>
        </w:rPr>
        <w:t>%，其中：</w:t>
      </w:r>
    </w:p>
    <w:p>
      <w:pPr>
        <w:pStyle w:val="11"/>
        <w:ind w:firstLine="800" w:firstLineChars="250"/>
        <w:rPr>
          <w:rFonts w:hint="eastAsia" w:ascii="仿宋_GB2312" w:hAnsi="仿宋_GB2312" w:eastAsia="仿宋_GB2312" w:cs="仿宋_GB2312"/>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由于预算数为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无法计算百分比。</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于预算数的主要原因是</w:t>
      </w:r>
      <w:r>
        <w:rPr>
          <w:rFonts w:hint="eastAsia" w:asciiTheme="minorEastAsia" w:hAnsiTheme="minorEastAsia" w:eastAsiaTheme="minorEastAsia"/>
          <w:sz w:val="32"/>
          <w:szCs w:val="32"/>
          <w:lang w:eastAsia="zh-CN"/>
        </w:rPr>
        <w:t>由于疫情原因取消原定出国（境）计划</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由于疫情原因取消原定出国（境）计划</w:t>
      </w:r>
      <w:r>
        <w:rPr>
          <w:rFonts w:hint="eastAsia" w:ascii="仿宋_GB2312" w:hAnsi="仿宋_GB2312" w:eastAsia="仿宋_GB2312" w:cs="仿宋_GB2312"/>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11.35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于预算数的主要原因是</w:t>
      </w:r>
      <w:r>
        <w:rPr>
          <w:rFonts w:hint="eastAsia" w:asciiTheme="minorEastAsia" w:hAnsiTheme="minorEastAsia" w:eastAsiaTheme="minorEastAsia"/>
          <w:sz w:val="32"/>
          <w:szCs w:val="32"/>
          <w:lang w:eastAsia="zh-CN"/>
        </w:rPr>
        <w:t>由于疫情原因取消原定公务接待计划</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6.74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由于疫情原因取消原定公务接待计划。</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76.89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使用公车情况减少</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1.75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 xml:space="preserve"> 50.58</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督查工作增加导致使用公车外出情况增加</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1.93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35.81</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64.19</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1.93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调研活动和客商来岳考察发生的接待支出</w:t>
      </w:r>
      <w:r>
        <w:rPr>
          <w:rFonts w:hint="eastAsia" w:asciiTheme="minorEastAsia" w:hAnsiTheme="minorEastAsia" w:eastAsiaTheme="minorEastAsia"/>
          <w:sz w:val="32"/>
          <w:szCs w:val="32"/>
        </w:rPr>
        <w:t>。</w:t>
      </w:r>
    </w:p>
    <w:p>
      <w:pPr>
        <w:ind w:firstLine="800" w:firstLineChars="250"/>
        <w:rPr>
          <w:rFonts w:cs="黑体" w:asciiTheme="minorEastAsia" w:hAnsiTheme="minorEastAsia"/>
          <w:b w:val="0"/>
          <w:bCs w:val="0"/>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3.46</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岳阳市工商联</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3.46</w:t>
      </w:r>
      <w:r>
        <w:rPr>
          <w:rFonts w:hint="eastAsia" w:asciiTheme="minorEastAsia" w:hAnsiTheme="minorEastAsia"/>
          <w:sz w:val="32"/>
          <w:szCs w:val="32"/>
        </w:rPr>
        <w:t>万元，主要是</w:t>
      </w:r>
      <w:r>
        <w:rPr>
          <w:rFonts w:hint="eastAsia" w:asciiTheme="minorEastAsia" w:hAnsiTheme="minorEastAsia"/>
          <w:sz w:val="32"/>
          <w:szCs w:val="32"/>
          <w:lang w:eastAsia="zh-CN"/>
        </w:rPr>
        <w:t>油费、过路过桥费和维修保养等</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w:t>
      </w:r>
      <w:r>
        <w:rPr>
          <w:rFonts w:hint="eastAsia" w:asciiTheme="minorEastAsia" w:hAnsiTheme="minorEastAsia" w:eastAsiaTheme="minorEastAsia"/>
          <w:sz w:val="32"/>
          <w:szCs w:val="32"/>
          <w:lang w:eastAsia="zh-CN"/>
        </w:rPr>
        <w:t>收支。</w:t>
      </w:r>
    </w:p>
    <w:p>
      <w:pPr>
        <w:pStyle w:val="11"/>
        <w:numPr>
          <w:ilvl w:val="0"/>
          <w:numId w:val="1"/>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1"/>
        <w:ind w:firstLine="640" w:firstLineChars="200"/>
        <w:rPr>
          <w:rFonts w:hint="default" w:hAnsi="黑体"/>
          <w:b/>
          <w:sz w:val="32"/>
          <w:szCs w:val="32"/>
          <w:lang w:val="en-US"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本单位无国有资本经营预算财政拨款支出</w:t>
      </w:r>
      <w:r>
        <w:rPr>
          <w:rFonts w:hint="eastAsia" w:ascii="仿宋_GB2312" w:hAnsi="仿宋_GB2312" w:eastAsia="仿宋_GB2312" w:cs="仿宋_GB2312"/>
          <w:b w:val="0"/>
          <w:bCs w:val="0"/>
          <w:sz w:val="32"/>
          <w:szCs w:val="32"/>
          <w:lang w:eastAsia="zh-CN"/>
        </w:rPr>
        <w:t>。</w:t>
      </w:r>
    </w:p>
    <w:p>
      <w:pPr>
        <w:pStyle w:val="11"/>
        <w:rPr>
          <w:rFonts w:hAnsi="黑体"/>
          <w:b/>
          <w:sz w:val="32"/>
          <w:szCs w:val="32"/>
        </w:rPr>
      </w:pPr>
      <w:r>
        <w:rPr>
          <w:rFonts w:hint="eastAsia" w:hAnsi="黑体"/>
          <w:b/>
          <w:sz w:val="32"/>
          <w:szCs w:val="32"/>
        </w:rPr>
        <w:t>十、机关运行经费支出说明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28.65</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9.79</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25.47</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由于疫情原因原定出行计划和接待计划减少或取消，导致“三公”经费和差旅费等都减少</w:t>
      </w:r>
      <w:r>
        <w:rPr>
          <w:rFonts w:hint="eastAsia" w:ascii="仿宋_GB2312" w:hAnsi="仿宋_GB2312" w:eastAsia="仿宋_GB2312" w:cs="仿宋_GB2312"/>
          <w:sz w:val="32"/>
          <w:szCs w:val="32"/>
        </w:rPr>
        <w:t>。</w:t>
      </w: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1、市工商联（总商会）第九次代表大会，会议费1万元，约200人，内容为指导县市区工商联全面完成换届工作；2、企业家沙龙二期三期会议，会议费2万元，约100人，</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邀请经济专家来岳讲课并</w:t>
      </w:r>
      <w:r>
        <w:rPr>
          <w:rFonts w:hint="eastAsia" w:asciiTheme="minorEastAsia" w:hAnsiTheme="minorEastAsia" w:eastAsiaTheme="minorEastAsia"/>
          <w:sz w:val="32"/>
          <w:szCs w:val="32"/>
          <w:lang w:val="en-US" w:eastAsia="zh-CN"/>
        </w:rPr>
        <w:t>邀请中心城区各区、市直和中央省属驻岳各单位，民营企业家和商协会参会；3、开展市万企兴万村会议，会议费5万元，约200人，内容为引导民营企业参与乡村振兴。</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 xml:space="preserve"> 1 </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2021</w:t>
      </w:r>
      <w:r>
        <w:rPr>
          <w:rFonts w:hint="eastAsia" w:ascii="宋体" w:hAnsi="宋体" w:cs="黑体"/>
          <w:color w:val="000000"/>
          <w:kern w:val="0"/>
          <w:sz w:val="32"/>
          <w:szCs w:val="32"/>
        </w:rPr>
        <w:t>年度一般公共预算项目支出全面开展绩效自评，共涉及资金</w:t>
      </w:r>
      <w:r>
        <w:rPr>
          <w:rFonts w:hint="eastAsia" w:ascii="宋体" w:hAnsi="宋体" w:cs="黑体"/>
          <w:color w:val="000000"/>
          <w:kern w:val="0"/>
          <w:sz w:val="32"/>
          <w:szCs w:val="32"/>
          <w:lang w:val="en-US" w:eastAsia="zh-CN"/>
        </w:rPr>
        <w:t>154.37</w:t>
      </w:r>
      <w:r>
        <w:rPr>
          <w:rFonts w:hint="eastAsia" w:ascii="宋体" w:hAnsi="宋体" w:cs="黑体"/>
          <w:color w:val="000000"/>
          <w:kern w:val="0"/>
          <w:sz w:val="32"/>
          <w:szCs w:val="32"/>
        </w:rPr>
        <w:t>万元，占一般公共预算项目支出总额的</w:t>
      </w:r>
      <w:r>
        <w:rPr>
          <w:rFonts w:hint="eastAsia" w:ascii="宋体" w:hAnsi="宋体" w:cs="黑体"/>
          <w:color w:val="000000"/>
          <w:kern w:val="0"/>
          <w:sz w:val="32"/>
          <w:szCs w:val="32"/>
          <w:lang w:val="en-US" w:eastAsia="zh-CN"/>
        </w:rPr>
        <w:t>41.52</w:t>
      </w:r>
      <w:r>
        <w:rPr>
          <w:rFonts w:ascii="宋体" w:hAnsi="宋体" w:cs="黑体"/>
          <w:color w:val="000000"/>
          <w:kern w:val="0"/>
          <w:sz w:val="32"/>
          <w:szCs w:val="32"/>
        </w:rPr>
        <w:t>%</w:t>
      </w:r>
      <w:r>
        <w:rPr>
          <w:rFonts w:hint="eastAsia" w:ascii="宋体" w:hAnsi="宋体" w:cs="黑体"/>
          <w:color w:val="000000"/>
          <w:kern w:val="0"/>
          <w:sz w:val="32"/>
          <w:szCs w:val="32"/>
        </w:rPr>
        <w:t>。政府性基金预算项目支出</w:t>
      </w:r>
      <w:r>
        <w:rPr>
          <w:rFonts w:hint="eastAsia" w:ascii="宋体" w:hAnsi="宋体" w:cs="黑体"/>
          <w:color w:val="000000"/>
          <w:kern w:val="0"/>
          <w:sz w:val="32"/>
          <w:szCs w:val="32"/>
          <w:lang w:val="en-US" w:eastAsia="zh-CN"/>
        </w:rPr>
        <w:t>0万元</w:t>
      </w:r>
      <w:r>
        <w:rPr>
          <w:rFonts w:hint="eastAsia" w:ascii="宋体" w:hAnsi="宋体" w:cs="黑体"/>
          <w:color w:val="000000"/>
          <w:kern w:val="0"/>
          <w:sz w:val="32"/>
          <w:szCs w:val="32"/>
        </w:rPr>
        <w:t>，占政府性基金预算项目支出</w:t>
      </w:r>
      <w:r>
        <w:rPr>
          <w:rFonts w:hint="eastAsia" w:ascii="宋体" w:hAnsi="宋体" w:cs="黑体"/>
          <w:color w:val="000000"/>
          <w:kern w:val="0"/>
          <w:sz w:val="32"/>
          <w:szCs w:val="32"/>
          <w:lang w:val="en-US" w:eastAsia="zh-CN"/>
        </w:rPr>
        <w:t>0万元，</w:t>
      </w:r>
      <w:r>
        <w:rPr>
          <w:rFonts w:hint="eastAsia" w:ascii="宋体" w:hAnsi="宋体" w:cs="黑体"/>
          <w:color w:val="000000"/>
          <w:kern w:val="0"/>
          <w:sz w:val="32"/>
          <w:szCs w:val="32"/>
        </w:rPr>
        <w:t>国有资本经营预算项目支出</w:t>
      </w:r>
      <w:r>
        <w:rPr>
          <w:rFonts w:hint="eastAsia" w:ascii="宋体" w:hAnsi="宋体" w:cs="黑体"/>
          <w:color w:val="000000"/>
          <w:kern w:val="0"/>
          <w:sz w:val="32"/>
          <w:szCs w:val="32"/>
          <w:lang w:val="en-US" w:eastAsia="zh-CN"/>
        </w:rPr>
        <w:t>0万元，从评价情况来看，项目绩效目标完成较好。</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outlineLvl w:val="9"/>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keepNext w:val="0"/>
        <w:keepLines w:val="0"/>
        <w:pageBreakBefore w:val="0"/>
        <w:widowControl w:val="0"/>
        <w:kinsoku/>
        <w:wordWrap/>
        <w:overflowPunct/>
        <w:topLinePunct w:val="0"/>
        <w:bidi w:val="0"/>
        <w:snapToGrid/>
        <w:spacing w:line="240" w:lineRule="auto"/>
        <w:ind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调研维权经费项目绩效自评综述：根据年初设定的绩效目标，项目绩效自评得分为98分。项目全年预算数为16.2万元，执行数为16.2万元，完成预算的100%。项目绩效目标完成情况：一是完成各项课题调研，更好服务非公经济；二是为会员企业进行维权服务，每年开展一次法律培训班，有专门的法律顾问团为非公企业家服务。发现的主要问题及原因：一是预算编制有待更严格执行。预算编制与实际支出科目有的存在差异。二是指标下发应更及时。由于结余回收，指标不及时下发导致账目上显示结余过多，实际是由于时间下达太晚许多商家还没结账，账目显示情况与实际情况不符。下一步改进措施：一是预算财务分析常态化，定期做好预算支出财务分析，做好单位整体支出预算评价工作；二是专项资金按活动进程进行使用，按实际情况保留金额，而不是统一回收；三是及时下发追加指标，保证专项工作顺利开展进行。</w:t>
      </w:r>
    </w:p>
    <w:p>
      <w:pPr>
        <w:keepNext w:val="0"/>
        <w:keepLines w:val="0"/>
        <w:pageBreakBefore w:val="0"/>
        <w:widowControl w:val="0"/>
        <w:kinsoku/>
        <w:wordWrap/>
        <w:overflowPunct/>
        <w:topLinePunct w:val="0"/>
        <w:bidi w:val="0"/>
        <w:snapToGrid/>
        <w:spacing w:line="240" w:lineRule="auto"/>
        <w:ind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总工会房屋物业管理费等项目绩效自评综述：根据年初设定的绩效目标，项目绩效自评得分为100分。项目全年预算数为22.5万元，执行数为22.5万元，完成预算的100%。项目绩效目标完成情况：完成本年度租用市总工会办公楼缴纳房屋租金及物业管理费等。发现的主要问题及原因：一是预算编制有待更严格执行。预算编制与实际支出科目有的存在差异。二是指标下发应更及时。由于结余回收，指标不及时下发导致账目上显示结余过多，实际是由于时间下达太晚许多商家还没结账，账目显示情况与实际情况不符。下一步改进措施：一是预算财务分析常态化，定期做好预算支出财务分析，做好单位整体支出预算评价工作；二是专项资金按活动进程进行使用，按实际情况保留金额，而不是统一回收；三是及时下发追加指标，保证专项工作顺利开展进行。</w:t>
      </w:r>
    </w:p>
    <w:p>
      <w:pPr>
        <w:keepNext w:val="0"/>
        <w:keepLines w:val="0"/>
        <w:pageBreakBefore w:val="0"/>
        <w:widowControl w:val="0"/>
        <w:kinsoku/>
        <w:wordWrap/>
        <w:overflowPunct/>
        <w:topLinePunct w:val="0"/>
        <w:bidi w:val="0"/>
        <w:snapToGrid/>
        <w:spacing w:line="240" w:lineRule="auto"/>
        <w:ind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 原工商业者及其遗孀生活困难补助等项目绩效自评综述：根据年初设定的绩效目标，项目绩效自评得分为96分。项目全年预算数为1.3万元，执行数为0.99万元，完成预算的76.15%。项目绩效目标完成情况：完成本年度发放生活困难补助帮助解决原工商业者及其遗孀生活困难问题。发现的主要问题及原因：一是预算编制有待更严格执行。预算编制与实际支出科目有的存在差异。二是指标下发应更及时。由于结余回收，指标不及时下发导致账目上显示结余过多，实际是由于时间下达太晚许多商家还没结账，账目显示情况与实际情况不符。下一步改进措施：一是预算财务分析常态化，定期做好预算支出财务分析，做好单位整体支出预算评价工作；二是专项资金按活动进程进行使用，按实际情况保留金额，而不是统一回收；三是及时下发追加指标，保证专项工作顺利开展进行。</w:t>
      </w:r>
    </w:p>
    <w:p>
      <w:pPr>
        <w:keepNext w:val="0"/>
        <w:keepLines w:val="0"/>
        <w:pageBreakBefore w:val="0"/>
        <w:widowControl w:val="0"/>
        <w:kinsoku/>
        <w:wordWrap/>
        <w:overflowPunct/>
        <w:topLinePunct w:val="0"/>
        <w:bidi w:val="0"/>
        <w:snapToGrid/>
        <w:spacing w:line="240" w:lineRule="auto"/>
        <w:ind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专项业务经费项目绩效自评综述：根据年初设定的绩效目标，项目绩效自评得分为98分。项目全年预算数为26.6万元，执行数为26.6万元，完成预算的100%。项目绩效目标完成情况：一是完成课题调研，撰写调研报告；二是做好招商引资工作；三是切实加强机关党建和非公党建；四是抓实精准扶贫行动。发现的主要问题及原因：一是预算编制有待更严格执行。预算编制与实际支出科目有的存在差异。二是指标下发应更及时。由于结余回收，指标不及时下发导致账目上显示结余过多，实际是由于时间下达太晚许多商家还没结账，账目显示情况与实际情况不符。下一步改进措施：一是预算财务分析常态化，定期做好预算支出财务分析，做好单位整体支出预算评价工作；二是专项资金按活动进程进行使用，按实际情况保留金额，而不是统一回收；三是及时下发追加指标，保证专项工作顺利开展进行。</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ind w:firstLine="640" w:firstLineChars="200"/>
        <w:rPr>
          <w:rFonts w:hint="eastAsia"/>
          <w:sz w:val="32"/>
          <w:szCs w:val="32"/>
        </w:rPr>
      </w:pPr>
      <w:r>
        <w:rPr>
          <w:rFonts w:hint="eastAsia"/>
          <w:sz w:val="32"/>
          <w:szCs w:val="32"/>
        </w:rPr>
        <w:t>绩效管理工作开展顺利，部门决算中项目绩效自评结果为</w:t>
      </w:r>
      <w:r>
        <w:rPr>
          <w:rFonts w:hint="eastAsia"/>
          <w:sz w:val="32"/>
          <w:szCs w:val="32"/>
          <w:lang w:eastAsia="zh-CN"/>
        </w:rPr>
        <w:t>优秀</w:t>
      </w:r>
      <w:r>
        <w:rPr>
          <w:rFonts w:hint="eastAsia"/>
          <w:sz w:val="32"/>
          <w:szCs w:val="32"/>
        </w:rPr>
        <w:t>，部门评价项目绩效评价结果为</w:t>
      </w:r>
      <w:r>
        <w:rPr>
          <w:rFonts w:hint="eastAsia"/>
          <w:sz w:val="32"/>
          <w:szCs w:val="32"/>
          <w:lang w:eastAsia="zh-CN"/>
        </w:rPr>
        <w:t>优秀</w:t>
      </w:r>
      <w:r>
        <w:rPr>
          <w:rFonts w:hint="eastAsia"/>
          <w:sz w:val="32"/>
          <w:szCs w:val="32"/>
        </w:rPr>
        <w:t>，以部门为主体开展的重点绩效评价结果为</w:t>
      </w:r>
      <w:r>
        <w:rPr>
          <w:rFonts w:hint="eastAsia"/>
          <w:sz w:val="32"/>
          <w:szCs w:val="32"/>
          <w:lang w:eastAsia="zh-CN"/>
        </w:rPr>
        <w:t>优秀</w:t>
      </w:r>
      <w:r>
        <w:rPr>
          <w:rFonts w:hint="eastAsia"/>
          <w:sz w:val="32"/>
          <w:szCs w:val="32"/>
        </w:rPr>
        <w:t>。</w:t>
      </w:r>
    </w:p>
    <w:p>
      <w:pPr>
        <w:ind w:firstLine="640" w:firstLineChars="200"/>
        <w:rPr>
          <w:sz w:val="32"/>
          <w:szCs w:val="32"/>
        </w:rPr>
      </w:pPr>
      <w:r>
        <w:rPr>
          <w:rFonts w:hint="eastAsia"/>
          <w:sz w:val="32"/>
          <w:szCs w:val="32"/>
        </w:rPr>
        <w:t>预算绩效管理开展情况、绩效目标和绩效评价报告等，一并作为附件公开。</w:t>
      </w:r>
    </w:p>
    <w:p>
      <w:pPr>
        <w:keepNext w:val="0"/>
        <w:keepLines w:val="0"/>
        <w:pageBreakBefore w:val="0"/>
        <w:kinsoku/>
        <w:wordWrap/>
        <w:overflowPunct/>
        <w:topLinePunct w:val="0"/>
        <w:bidi w:val="0"/>
        <w:snapToGrid/>
        <w:spacing w:line="240" w:lineRule="auto"/>
        <w:ind w:left="0" w:leftChars="0" w:right="0" w:rightChars="0" w:firstLine="640" w:firstLineChars="200"/>
        <w:textAlignment w:val="auto"/>
        <w:outlineLvl w:val="9"/>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（公开绩效报告见附件二）</w:t>
      </w:r>
    </w:p>
    <w:p>
      <w:pPr>
        <w:pStyle w:val="11"/>
        <w:jc w:val="both"/>
        <w:rPr>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2"/>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1、基本支出：指为保障机构正常运转、完成日常工作任务而发生的各项支出，包括人员支出和公用支出。  </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项目支出：指在基本支出以外为完成相关行政任务和事业发展目标所发生的各项支出。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3、机关运行经费 ：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 </w:t>
      </w:r>
    </w:p>
    <w:p>
      <w:pPr>
        <w:pStyle w:val="6"/>
        <w:shd w:val="clear" w:color="auto" w:fill="FFFFFF"/>
        <w:spacing w:before="0" w:beforeAutospacing="0" w:after="0" w:afterAutospacing="0"/>
        <w:rPr>
          <w:sz w:val="72"/>
          <w:szCs w:val="72"/>
        </w:rPr>
      </w:pPr>
      <w:r>
        <w:rPr>
          <w:rFonts w:hint="eastAsia" w:cs="黑体" w:asciiTheme="minorEastAsia" w:hAnsiTheme="minorEastAsia" w:eastAsiaTheme="minorEastAsia"/>
          <w:color w:val="000000"/>
          <w:kern w:val="0"/>
          <w:sz w:val="32"/>
          <w:szCs w:val="32"/>
          <w:lang w:val="en-US" w:eastAsia="zh-CN" w:bidi="ar-SA"/>
        </w:rPr>
        <w:t>　　4、“三公”经费 ：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仿宋_GB2312" w:hAnsi="仿宋_GB2312" w:eastAsia="仿宋_GB2312" w:cs="仿宋_GB2312"/>
          <w:color w:val="auto"/>
          <w:sz w:val="32"/>
          <w:szCs w:val="32"/>
        </w:rPr>
        <w:t>。</w:t>
      </w: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b/>
          <w:color w:val="000000"/>
          <w:kern w:val="0"/>
          <w:sz w:val="32"/>
          <w:szCs w:val="32"/>
          <w:lang w:val="en-US" w:eastAsia="zh-CN"/>
        </w:rPr>
      </w:pPr>
    </w:p>
    <w:p>
      <w:pPr>
        <w:widowControl/>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bookmarkStart w:id="0" w:name="_GoBack"/>
      <w:bookmarkEnd w:id="0"/>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E18E1782"/>
    <w:multiLevelType w:val="singleLevel"/>
    <w:tmpl w:val="E18E1782"/>
    <w:lvl w:ilvl="0" w:tentative="0">
      <w:start w:val="2"/>
      <w:numFmt w:val="decimal"/>
      <w:suff w:val="nothing"/>
      <w:lvlText w:val="%1、"/>
      <w:lvlJc w:val="left"/>
      <w:pPr>
        <w:ind w:left="6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054C15"/>
    <w:rsid w:val="01F515AE"/>
    <w:rsid w:val="05633A58"/>
    <w:rsid w:val="06B411F0"/>
    <w:rsid w:val="06C04970"/>
    <w:rsid w:val="087403E0"/>
    <w:rsid w:val="0BE56081"/>
    <w:rsid w:val="10F60540"/>
    <w:rsid w:val="13BE003E"/>
    <w:rsid w:val="13EB533E"/>
    <w:rsid w:val="16C23A3D"/>
    <w:rsid w:val="17A87124"/>
    <w:rsid w:val="19E77CE9"/>
    <w:rsid w:val="1A66410E"/>
    <w:rsid w:val="1F953307"/>
    <w:rsid w:val="1FC644DB"/>
    <w:rsid w:val="23632FA4"/>
    <w:rsid w:val="2536418A"/>
    <w:rsid w:val="27372829"/>
    <w:rsid w:val="27DB542D"/>
    <w:rsid w:val="28AE00DA"/>
    <w:rsid w:val="2EC55B76"/>
    <w:rsid w:val="366364DD"/>
    <w:rsid w:val="370B6762"/>
    <w:rsid w:val="40053408"/>
    <w:rsid w:val="45F9639D"/>
    <w:rsid w:val="4774158B"/>
    <w:rsid w:val="47EA4C67"/>
    <w:rsid w:val="48ED43E7"/>
    <w:rsid w:val="4C0C71FE"/>
    <w:rsid w:val="504375AC"/>
    <w:rsid w:val="58735C18"/>
    <w:rsid w:val="59717C89"/>
    <w:rsid w:val="5AF241FC"/>
    <w:rsid w:val="5C22005D"/>
    <w:rsid w:val="5D5C5FCC"/>
    <w:rsid w:val="5E6B271A"/>
    <w:rsid w:val="5E93023F"/>
    <w:rsid w:val="60A907EA"/>
    <w:rsid w:val="6145544E"/>
    <w:rsid w:val="61803B6C"/>
    <w:rsid w:val="654316AB"/>
    <w:rsid w:val="664F6FA8"/>
    <w:rsid w:val="6B7A15E7"/>
    <w:rsid w:val="6B824F0E"/>
    <w:rsid w:val="6DDD4311"/>
    <w:rsid w:val="6E935A07"/>
    <w:rsid w:val="72953C9E"/>
    <w:rsid w:val="75BA6BAB"/>
    <w:rsid w:val="7AA4253E"/>
    <w:rsid w:val="7B10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customStyle="1" w:styleId="2">
    <w:name w:val="BodyText"/>
    <w:basedOn w:val="1"/>
    <w:next w:val="1"/>
    <w:qFormat/>
    <w:uiPriority w:val="0"/>
    <w:rPr>
      <w:rFonts w:ascii="宋体"/>
      <w:sz w:val="32"/>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1</TotalTime>
  <ScaleCrop>false</ScaleCrop>
  <LinksUpToDate>false</LinksUpToDate>
  <CharactersWithSpaces>9714</CharactersWithSpaces>
  <Application>WPS Office_10.8.2.7164_F1E327BC-269C-435d-A152-05C5408002CA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饭团</cp:lastModifiedBy>
  <cp:lastPrinted>2022-07-27T12:55:00Z</cp:lastPrinted>
  <dcterms:modified xsi:type="dcterms:W3CDTF">2023-09-22T11:15:02Z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2052-10.8.2.7164</vt:lpwstr>
  </property>
  <property fmtid="{D5CDD505-2E9C-101B-9397-08002B2CF9AE}" pid="3" name="ICV">
    <vt:lpwstr>C02081F76A1C414C807C3137DC2EA958</vt:lpwstr>
  </property>
</Properties>
</file>