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rFonts w:hint="eastAsia"/>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2021年度</w:t>
      </w:r>
    </w:p>
    <w:p>
      <w:pPr>
        <w:pStyle w:val="9"/>
        <w:jc w:val="center"/>
        <w:rPr>
          <w:rFonts w:hint="eastAsia"/>
          <w:sz w:val="84"/>
          <w:szCs w:val="84"/>
          <w:lang w:val="en-US" w:eastAsia="zh-CN"/>
        </w:rPr>
      </w:pPr>
      <w:r>
        <w:rPr>
          <w:rFonts w:hint="eastAsia"/>
          <w:sz w:val="84"/>
          <w:szCs w:val="84"/>
          <w:lang w:val="en-US" w:eastAsia="zh-CN"/>
        </w:rPr>
        <w:t>岳阳市污水处理监督中心</w:t>
      </w:r>
    </w:p>
    <w:p>
      <w:pPr>
        <w:pStyle w:val="9"/>
        <w:jc w:val="center"/>
        <w:rPr>
          <w:sz w:val="84"/>
          <w:szCs w:val="84"/>
        </w:rPr>
      </w:pPr>
      <w:r>
        <w:rPr>
          <w:rFonts w:hint="eastAsia"/>
          <w:sz w:val="84"/>
          <w:szCs w:val="84"/>
        </w:rPr>
        <w:t>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9"/>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岳阳市污水处理监督中心</w:t>
      </w:r>
      <w:r>
        <w:rPr>
          <w:rFonts w:hint="eastAsia"/>
          <w:b/>
          <w:sz w:val="28"/>
          <w:szCs w:val="28"/>
        </w:rPr>
        <w:t>单位概况</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hint="default" w:cs="仿宋_GB2312" w:asciiTheme="minorEastAsia" w:hAnsiTheme="minorEastAsia" w:eastAsiaTheme="minorEastAsia"/>
          <w:sz w:val="28"/>
          <w:szCs w:val="28"/>
          <w:lang w:val="en-US"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val="en-US" w:eastAsia="zh-CN"/>
        </w:rPr>
        <w:t>及决算单位构成</w:t>
      </w:r>
    </w:p>
    <w:p>
      <w:pPr>
        <w:pStyle w:val="9"/>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9"/>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rFonts w:hint="eastAsia"/>
          <w:sz w:val="84"/>
          <w:szCs w:val="84"/>
          <w:lang w:val="en-US" w:eastAsia="zh-CN"/>
        </w:rPr>
      </w:pPr>
      <w:r>
        <w:rPr>
          <w:rFonts w:hint="eastAsia"/>
          <w:sz w:val="84"/>
          <w:szCs w:val="84"/>
          <w:lang w:val="en-US" w:eastAsia="zh-CN"/>
        </w:rPr>
        <w:t>岳阳市污水处理监督中心</w:t>
      </w:r>
    </w:p>
    <w:p>
      <w:pPr>
        <w:pStyle w:val="9"/>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numPr>
          <w:ilvl w:val="0"/>
          <w:numId w:val="1"/>
        </w:numPr>
        <w:ind w:firstLineChars="0"/>
        <w:jc w:val="left"/>
        <w:rPr>
          <w:rFonts w:ascii="黑体" w:hAnsi="黑体" w:eastAsia="黑体"/>
          <w:sz w:val="32"/>
          <w:szCs w:val="32"/>
        </w:rPr>
      </w:pPr>
      <w:r>
        <w:rPr>
          <w:rFonts w:hint="eastAsia" w:ascii="黑体" w:hAnsi="黑体" w:eastAsia="黑体"/>
          <w:sz w:val="32"/>
          <w:szCs w:val="32"/>
          <w:lang w:val="en-US" w:eastAsia="zh-CN"/>
        </w:rPr>
        <w:t>单位</w:t>
      </w:r>
      <w:r>
        <w:rPr>
          <w:rFonts w:ascii="黑体" w:hAnsi="黑体" w:eastAsia="黑体"/>
          <w:sz w:val="32"/>
          <w:szCs w:val="32"/>
        </w:rPr>
        <w:t>职责</w:t>
      </w:r>
    </w:p>
    <w:p>
      <w:pPr>
        <w:widowControl/>
        <w:spacing w:line="600" w:lineRule="exact"/>
        <w:rPr>
          <w:rFonts w:hint="eastAsia" w:ascii="宋体"/>
          <w:sz w:val="32"/>
          <w:szCs w:val="32"/>
        </w:rPr>
      </w:pPr>
      <w:r>
        <w:rPr>
          <w:rFonts w:hint="eastAsia" w:ascii="宋体"/>
          <w:sz w:val="32"/>
          <w:szCs w:val="32"/>
        </w:rPr>
        <w:t>1、负责贯彻执行国家有关城市污水处理的法律法规和相关政策。</w:t>
      </w:r>
    </w:p>
    <w:p>
      <w:pPr>
        <w:widowControl/>
        <w:spacing w:line="600" w:lineRule="exact"/>
        <w:rPr>
          <w:rFonts w:hint="eastAsia" w:ascii="宋体"/>
          <w:sz w:val="32"/>
          <w:szCs w:val="32"/>
        </w:rPr>
      </w:pPr>
      <w:r>
        <w:rPr>
          <w:rFonts w:hint="eastAsia" w:ascii="宋体"/>
          <w:sz w:val="32"/>
          <w:szCs w:val="32"/>
        </w:rPr>
        <w:t>2、负责全市城市污水处理地方规范性文件的拟订与实施；参与制定全市城市污水处理规划。</w:t>
      </w:r>
    </w:p>
    <w:p>
      <w:pPr>
        <w:widowControl/>
        <w:spacing w:line="600" w:lineRule="exact"/>
        <w:rPr>
          <w:rFonts w:hint="eastAsia" w:ascii="宋体"/>
          <w:sz w:val="32"/>
          <w:szCs w:val="32"/>
        </w:rPr>
      </w:pPr>
      <w:r>
        <w:rPr>
          <w:rFonts w:hint="eastAsia" w:ascii="宋体"/>
          <w:sz w:val="32"/>
          <w:szCs w:val="32"/>
        </w:rPr>
        <w:t>3、负责全市城市污水排放许可制度的实施和许可证的颁发；对城区排入排水管网的污水以及接入污水管网的管道进行监督管理。</w:t>
      </w:r>
    </w:p>
    <w:p>
      <w:pPr>
        <w:widowControl/>
        <w:spacing w:line="600" w:lineRule="exact"/>
        <w:rPr>
          <w:rFonts w:hint="eastAsia" w:ascii="宋体"/>
          <w:sz w:val="32"/>
          <w:szCs w:val="32"/>
        </w:rPr>
      </w:pPr>
      <w:r>
        <w:rPr>
          <w:rFonts w:hint="eastAsia" w:ascii="宋体"/>
          <w:sz w:val="32"/>
          <w:szCs w:val="32"/>
        </w:rPr>
        <w:t>4、负责全市城市污水处理厂的监督与管理。</w:t>
      </w:r>
    </w:p>
    <w:p>
      <w:pPr>
        <w:widowControl/>
        <w:spacing w:line="600" w:lineRule="exact"/>
        <w:rPr>
          <w:rFonts w:hint="eastAsia" w:ascii="宋体"/>
          <w:sz w:val="32"/>
          <w:szCs w:val="32"/>
        </w:rPr>
      </w:pPr>
      <w:r>
        <w:rPr>
          <w:rFonts w:hint="eastAsia" w:ascii="宋体"/>
          <w:sz w:val="32"/>
          <w:szCs w:val="32"/>
        </w:rPr>
        <w:t>5、负责对市区污水处理厂污水处理水量的核定及出水水质的监测，核定污水处理厂的污水处理服务费。</w:t>
      </w:r>
    </w:p>
    <w:p>
      <w:pPr>
        <w:widowControl/>
        <w:spacing w:line="600" w:lineRule="exact"/>
        <w:rPr>
          <w:rFonts w:hint="eastAsia" w:ascii="宋体"/>
          <w:sz w:val="32"/>
          <w:szCs w:val="32"/>
        </w:rPr>
      </w:pPr>
      <w:r>
        <w:rPr>
          <w:rFonts w:hint="eastAsia" w:ascii="宋体"/>
          <w:sz w:val="32"/>
          <w:szCs w:val="32"/>
        </w:rPr>
        <w:t>6、负责市区范围内污水处理设施的新建、扩建改造工作；负责市区污水处理站的运行管理及维护。</w:t>
      </w:r>
    </w:p>
    <w:p>
      <w:pPr>
        <w:widowControl/>
        <w:spacing w:line="600" w:lineRule="exact"/>
        <w:rPr>
          <w:rFonts w:hint="eastAsia" w:ascii="宋体"/>
          <w:sz w:val="32"/>
          <w:szCs w:val="32"/>
        </w:rPr>
      </w:pPr>
      <w:r>
        <w:rPr>
          <w:rFonts w:hint="eastAsia" w:ascii="宋体"/>
          <w:sz w:val="32"/>
          <w:szCs w:val="32"/>
        </w:rPr>
        <w:t>7、参与审定市区范围内居民小区污水处理设施的规划、设计、竣工验收工作及建成后的运行监督管理。</w:t>
      </w:r>
    </w:p>
    <w:p>
      <w:pPr>
        <w:widowControl/>
        <w:spacing w:line="600" w:lineRule="exact"/>
        <w:rPr>
          <w:rFonts w:hint="eastAsia" w:ascii="宋体"/>
          <w:sz w:val="32"/>
          <w:szCs w:val="32"/>
        </w:rPr>
      </w:pPr>
      <w:r>
        <w:rPr>
          <w:rFonts w:hint="eastAsia" w:ascii="宋体"/>
          <w:sz w:val="32"/>
          <w:szCs w:val="32"/>
        </w:rPr>
        <w:t>8、负责全市污水处理行业管理和技术指导；负责专业技术人员和岗位操作人员的培训。</w:t>
      </w:r>
    </w:p>
    <w:p>
      <w:pPr>
        <w:widowControl/>
        <w:spacing w:line="600" w:lineRule="exact"/>
        <w:rPr>
          <w:rFonts w:hint="eastAsia" w:ascii="宋体"/>
          <w:sz w:val="32"/>
          <w:szCs w:val="32"/>
        </w:rPr>
      </w:pPr>
      <w:r>
        <w:rPr>
          <w:rFonts w:hint="eastAsia" w:ascii="宋体"/>
          <w:sz w:val="32"/>
          <w:szCs w:val="32"/>
        </w:rPr>
        <w:t>9、负责收缴市区傍水征收的污水处理费及市区范围内自备水源单位的污水处理费。配合物价部门定期测算污水处理厂的运行成本，监督污水处理运行经费的使用。</w:t>
      </w:r>
    </w:p>
    <w:p>
      <w:pPr>
        <w:widowControl/>
        <w:spacing w:line="600" w:lineRule="exact"/>
        <w:rPr>
          <w:rFonts w:hint="eastAsia" w:ascii="宋体"/>
          <w:sz w:val="32"/>
          <w:szCs w:val="32"/>
        </w:rPr>
      </w:pPr>
      <w:r>
        <w:rPr>
          <w:rFonts w:hint="eastAsia" w:ascii="宋体"/>
          <w:sz w:val="32"/>
          <w:szCs w:val="32"/>
        </w:rPr>
        <w:t>10、负责统计全市污水处理行业运行数据及运行情况综合呈报。</w:t>
      </w:r>
    </w:p>
    <w:p>
      <w:pPr>
        <w:widowControl/>
        <w:spacing w:line="600" w:lineRule="exact"/>
        <w:rPr>
          <w:rFonts w:hint="eastAsia" w:ascii="宋体"/>
          <w:sz w:val="32"/>
          <w:szCs w:val="32"/>
        </w:rPr>
      </w:pPr>
      <w:r>
        <w:rPr>
          <w:rFonts w:hint="eastAsia" w:ascii="宋体"/>
          <w:sz w:val="32"/>
          <w:szCs w:val="32"/>
        </w:rPr>
        <w:t>11、承办上级主管部门交办的其他事项。</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hint="eastAsia" w:ascii="宋体"/>
          <w:bCs/>
          <w:kern w:val="0"/>
          <w:sz w:val="32"/>
          <w:szCs w:val="32"/>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val="en-US" w:eastAsia="zh-CN"/>
        </w:rPr>
        <w:t>岳阳市污水处理监督中心</w:t>
      </w:r>
      <w:r>
        <w:rPr>
          <w:rFonts w:hint="eastAsia" w:asciiTheme="minorEastAsia" w:hAnsiTheme="minorEastAsia"/>
          <w:bCs/>
          <w:kern w:val="0"/>
          <w:sz w:val="32"/>
          <w:szCs w:val="32"/>
        </w:rPr>
        <w:t>内设机构包括：</w:t>
      </w:r>
      <w:r>
        <w:rPr>
          <w:rFonts w:hint="eastAsia" w:ascii="宋体"/>
          <w:bCs/>
          <w:kern w:val="0"/>
          <w:sz w:val="32"/>
          <w:szCs w:val="32"/>
        </w:rPr>
        <w:t>人秘股、财务股、排水许可管理股、污水处理费稽查管理股、污水处理监督管理股、水质监测监督管理股。</w:t>
      </w:r>
    </w:p>
    <w:p>
      <w:pPr>
        <w:widowControl/>
        <w:spacing w:line="600" w:lineRule="exact"/>
        <w:ind w:firstLine="960" w:firstLineChars="300"/>
        <w:rPr>
          <w:rFonts w:hint="eastAsia" w:asciiTheme="minorEastAsia" w:hAnsiTheme="minorEastAsia" w:eastAsiaTheme="minorEastAsia"/>
          <w:bCs/>
          <w:i/>
          <w:iCs/>
          <w:color w:val="FF0000"/>
          <w:kern w:val="0"/>
          <w:sz w:val="32"/>
          <w:szCs w:val="32"/>
          <w:lang w:eastAsia="zh-CN"/>
        </w:rPr>
      </w:pPr>
    </w:p>
    <w:p>
      <w:pPr>
        <w:widowControl/>
        <w:numPr>
          <w:ilvl w:val="0"/>
          <w:numId w:val="0"/>
        </w:numPr>
        <w:spacing w:line="600" w:lineRule="exact"/>
        <w:ind w:firstLine="640" w:firstLineChars="200"/>
        <w:rPr>
          <w:rFonts w:asciiTheme="minorEastAsia" w:hAnsiTheme="minorEastAsia"/>
          <w:bCs/>
          <w:i/>
          <w:iCs/>
          <w:kern w:val="0"/>
          <w:sz w:val="32"/>
          <w:szCs w:val="32"/>
        </w:rPr>
      </w:pPr>
      <w:r>
        <w:rPr>
          <w:rFonts w:hint="eastAsia" w:asciiTheme="minorEastAsia" w:hAnsiTheme="minorEastAsia"/>
          <w:bCs/>
          <w:kern w:val="0"/>
          <w:sz w:val="32"/>
          <w:szCs w:val="32"/>
          <w:lang w:eastAsia="zh-CN"/>
        </w:rPr>
        <w:t>（</w:t>
      </w:r>
      <w:r>
        <w:rPr>
          <w:rFonts w:hint="eastAsia" w:asciiTheme="minorEastAsia" w:hAnsiTheme="minorEastAsia"/>
          <w:bCs/>
          <w:kern w:val="0"/>
          <w:sz w:val="32"/>
          <w:szCs w:val="32"/>
          <w:lang w:val="en-US" w:eastAsia="zh-CN"/>
        </w:rPr>
        <w:t>二</w:t>
      </w:r>
      <w:r>
        <w:rPr>
          <w:rFonts w:hint="eastAsia" w:asciiTheme="minorEastAsia" w:hAnsiTheme="minorEastAsia"/>
          <w:bCs/>
          <w:kern w:val="0"/>
          <w:sz w:val="32"/>
          <w:szCs w:val="32"/>
          <w:lang w:eastAsia="zh-CN"/>
        </w:rPr>
        <w:t>）</w:t>
      </w:r>
      <w:r>
        <w:rPr>
          <w:rFonts w:hint="eastAsia" w:asciiTheme="minorEastAsia" w:hAnsiTheme="minorEastAsia"/>
          <w:bCs/>
          <w:kern w:val="0"/>
          <w:sz w:val="32"/>
          <w:szCs w:val="32"/>
        </w:rPr>
        <w:t>决算单位构成。</w:t>
      </w:r>
      <w:r>
        <w:rPr>
          <w:rFonts w:hint="eastAsia" w:asciiTheme="minorEastAsia" w:hAnsiTheme="minorEastAsia"/>
          <w:bCs/>
          <w:kern w:val="0"/>
          <w:sz w:val="32"/>
          <w:szCs w:val="32"/>
          <w:lang w:val="en-US" w:eastAsia="zh-CN"/>
        </w:rPr>
        <w:t>岳阳市污水处理监督中心</w:t>
      </w:r>
      <w:r>
        <w:rPr>
          <w:rFonts w:hint="eastAsia" w:asciiTheme="minorEastAsia" w:hAnsiTheme="minorEastAsia"/>
          <w:bCs/>
          <w:kern w:val="0"/>
          <w:sz w:val="32"/>
          <w:szCs w:val="32"/>
        </w:rPr>
        <w:t>单位</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w:t>
      </w:r>
      <w:r>
        <w:rPr>
          <w:rFonts w:hint="eastAsia" w:asciiTheme="minorEastAsia" w:hAnsiTheme="minorEastAsia"/>
          <w:bCs/>
          <w:kern w:val="0"/>
          <w:sz w:val="32"/>
          <w:szCs w:val="32"/>
          <w:lang w:val="en-US" w:eastAsia="zh-CN"/>
        </w:rPr>
        <w:t>岳阳市污水处理监督中心</w:t>
      </w:r>
      <w:r>
        <w:rPr>
          <w:rFonts w:hint="eastAsia" w:asciiTheme="minorEastAsia" w:hAnsiTheme="minorEastAsia"/>
          <w:bCs/>
          <w:kern w:val="0"/>
          <w:sz w:val="32"/>
          <w:szCs w:val="32"/>
        </w:rPr>
        <w:t>单位本级</w:t>
      </w:r>
      <w:r>
        <w:rPr>
          <w:rFonts w:hint="eastAsia" w:asciiTheme="minorEastAsia" w:hAnsiTheme="minorEastAsia"/>
          <w:bCs/>
          <w:kern w:val="0"/>
          <w:sz w:val="32"/>
          <w:szCs w:val="32"/>
          <w:lang w:eastAsia="zh-CN"/>
        </w:rPr>
        <w:t>。无下属机构。</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rFonts w:hint="eastAsia" w:ascii="黑体" w:hAnsi="黑体" w:eastAsia="黑体" w:cs="黑体"/>
          <w:sz w:val="72"/>
          <w:szCs w:val="72"/>
        </w:rPr>
      </w:pPr>
      <w:r>
        <w:rPr>
          <w:rFonts w:hint="eastAsia" w:ascii="黑体" w:hAnsi="黑体" w:eastAsia="黑体" w:cs="黑体"/>
          <w:sz w:val="72"/>
          <w:szCs w:val="72"/>
        </w:rPr>
        <w:t>第二部分</w:t>
      </w:r>
    </w:p>
    <w:p>
      <w:pPr>
        <w:jc w:val="center"/>
        <w:rPr>
          <w:rFonts w:hint="eastAsia" w:ascii="黑体" w:hAnsi="黑体" w:eastAsia="黑体" w:cs="黑体"/>
          <w:sz w:val="72"/>
          <w:szCs w:val="72"/>
        </w:rPr>
      </w:pPr>
    </w:p>
    <w:p>
      <w:pPr>
        <w:jc w:val="center"/>
        <w:rPr>
          <w:rFonts w:hint="eastAsia" w:ascii="黑体" w:hAnsi="黑体" w:eastAsia="黑体" w:cs="黑体"/>
          <w:sz w:val="72"/>
          <w:szCs w:val="72"/>
          <w:lang w:val="en-US" w:eastAsia="zh-CN"/>
        </w:rPr>
      </w:pPr>
      <w:r>
        <w:rPr>
          <w:rFonts w:hint="eastAsia" w:ascii="黑体" w:hAnsi="黑体" w:eastAsia="黑体" w:cs="黑体"/>
          <w:sz w:val="72"/>
          <w:szCs w:val="72"/>
          <w:lang w:val="en-US" w:eastAsia="zh-CN"/>
        </w:rPr>
        <w:t>岳阳市污水处理监督中心</w:t>
      </w:r>
    </w:p>
    <w:p>
      <w:pPr>
        <w:jc w:val="center"/>
        <w:rPr>
          <w:rFonts w:hint="eastAsia" w:ascii="黑体" w:hAnsi="黑体" w:eastAsia="黑体" w:cs="黑体"/>
          <w:sz w:val="72"/>
          <w:szCs w:val="72"/>
        </w:rPr>
      </w:pPr>
      <w:r>
        <w:rPr>
          <w:rFonts w:hint="eastAsia" w:ascii="黑体" w:hAnsi="黑体" w:eastAsia="黑体" w:cs="黑体"/>
          <w:sz w:val="72"/>
          <w:szCs w:val="72"/>
        </w:rPr>
        <w:t>部门决算表</w:t>
      </w:r>
    </w:p>
    <w:p>
      <w:pPr>
        <w:jc w:val="center"/>
        <w:rPr>
          <w:rFonts w:hint="eastAsia" w:ascii="黑体" w:hAnsi="黑体" w:eastAsia="黑体" w:cs="黑体"/>
          <w:sz w:val="72"/>
          <w:szCs w:val="72"/>
          <w:lang w:eastAsia="zh-CN"/>
        </w:rPr>
      </w:pPr>
      <w:r>
        <w:rPr>
          <w:rFonts w:hint="eastAsia" w:ascii="黑体" w:hAnsi="黑体" w:eastAsia="黑体" w:cs="黑体"/>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9"/>
        <w:jc w:val="both"/>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2021年度收、支总计</w:t>
      </w:r>
      <w:r>
        <w:rPr>
          <w:rFonts w:hint="eastAsia" w:asciiTheme="minorEastAsia" w:hAnsiTheme="minorEastAsia" w:eastAsiaTheme="minorEastAsia"/>
          <w:sz w:val="32"/>
          <w:szCs w:val="32"/>
          <w:lang w:val="en-US" w:eastAsia="zh-CN"/>
        </w:rPr>
        <w:t>577.73</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1667.63</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74.3</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单位专项项目减少。</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417.88</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417.88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577.73</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344.75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59.7</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232.98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40.3</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2021年度财政拨款收、支总计</w:t>
      </w:r>
      <w:r>
        <w:rPr>
          <w:rFonts w:hint="eastAsia" w:asciiTheme="minorEastAsia" w:hAnsiTheme="minorEastAsia" w:eastAsiaTheme="minorEastAsia"/>
          <w:sz w:val="32"/>
          <w:szCs w:val="32"/>
          <w:lang w:val="en-US" w:eastAsia="zh-CN"/>
        </w:rPr>
        <w:t>577.73</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1667.63</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74.3</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单位专项项目减少。</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577.73</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1667.63</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74.3</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单位专项项目减少。</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hint="default" w:ascii="宋体" w:eastAsia="宋体"/>
          <w:sz w:val="32"/>
          <w:szCs w:val="32"/>
          <w:lang w:val="en-US" w:eastAsia="zh-CN"/>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577.73</w:t>
      </w:r>
      <w:r>
        <w:rPr>
          <w:rFonts w:hint="eastAsia" w:asciiTheme="minorEastAsia" w:hAnsiTheme="minorEastAsia" w:eastAsiaTheme="minorEastAsia"/>
          <w:sz w:val="32"/>
          <w:szCs w:val="32"/>
        </w:rPr>
        <w:t>万元，主要用于以下方面：</w:t>
      </w:r>
      <w:r>
        <w:rPr>
          <w:rFonts w:hint="eastAsia" w:ascii="宋体" w:eastAsia="宋体"/>
          <w:sz w:val="32"/>
          <w:szCs w:val="32"/>
          <w:lang w:val="en-US" w:eastAsia="zh-CN"/>
        </w:rPr>
        <w:t>社会保障和就业</w:t>
      </w:r>
      <w:r>
        <w:rPr>
          <w:rFonts w:hint="eastAsia" w:ascii="宋体" w:eastAsia="宋体"/>
          <w:sz w:val="32"/>
          <w:szCs w:val="32"/>
        </w:rPr>
        <w:t>支出</w:t>
      </w:r>
      <w:r>
        <w:rPr>
          <w:rFonts w:hint="eastAsia" w:ascii="宋体" w:eastAsia="宋体"/>
          <w:sz w:val="32"/>
          <w:szCs w:val="32"/>
          <w:lang w:val="en-US" w:eastAsia="zh-CN"/>
        </w:rPr>
        <w:t>26.1</w:t>
      </w:r>
      <w:r>
        <w:rPr>
          <w:rFonts w:hint="eastAsia" w:ascii="宋体" w:eastAsia="宋体"/>
          <w:sz w:val="32"/>
          <w:szCs w:val="32"/>
        </w:rPr>
        <w:t>万元，占</w:t>
      </w:r>
      <w:r>
        <w:rPr>
          <w:rFonts w:hint="eastAsia" w:ascii="宋体" w:eastAsia="宋体"/>
          <w:sz w:val="32"/>
          <w:szCs w:val="32"/>
          <w:lang w:val="en-US" w:eastAsia="zh-CN"/>
        </w:rPr>
        <w:t>4.52</w:t>
      </w:r>
      <w:r>
        <w:rPr>
          <w:rFonts w:hint="eastAsia" w:ascii="宋体" w:eastAsia="宋体"/>
          <w:sz w:val="32"/>
          <w:szCs w:val="32"/>
        </w:rPr>
        <w:t>%；</w:t>
      </w:r>
      <w:r>
        <w:rPr>
          <w:rFonts w:hint="eastAsia" w:ascii="宋体" w:eastAsia="宋体"/>
          <w:sz w:val="32"/>
          <w:szCs w:val="32"/>
          <w:lang w:val="en-US" w:eastAsia="zh-CN"/>
        </w:rPr>
        <w:t>卫生健康支出11.08万元，占1.92%；城乡社区支出414.26万元，占71.7%；资源勘探工业信息等支出126.29万元，占21.86%</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182.4</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577.73</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316</w:t>
      </w:r>
      <w:r>
        <w:rPr>
          <w:rFonts w:hint="eastAsia" w:asciiTheme="minorEastAsia" w:hAnsiTheme="minorEastAsia" w:eastAsiaTheme="minorEastAsia"/>
          <w:sz w:val="32"/>
          <w:szCs w:val="32"/>
        </w:rPr>
        <w:t>%，其中：</w:t>
      </w:r>
    </w:p>
    <w:p>
      <w:pPr>
        <w:pStyle w:val="9"/>
        <w:ind w:firstLine="800" w:firstLineChars="250"/>
        <w:rPr>
          <w:rFonts w:hint="default" w:ascii="宋体" w:eastAsia="宋体"/>
          <w:sz w:val="32"/>
          <w:szCs w:val="32"/>
          <w:lang w:val="en-US" w:eastAsia="zh-CN"/>
        </w:rPr>
      </w:pPr>
      <w:r>
        <w:rPr>
          <w:rFonts w:hint="eastAsia" w:ascii="宋体" w:eastAsia="宋体"/>
          <w:sz w:val="32"/>
          <w:szCs w:val="32"/>
        </w:rPr>
        <w:t>1、</w:t>
      </w:r>
      <w:r>
        <w:rPr>
          <w:rFonts w:hint="eastAsia" w:ascii="宋体" w:hAnsi="宋体" w:eastAsia="宋体" w:cs="宋体"/>
          <w:i w:val="0"/>
          <w:iCs w:val="0"/>
          <w:caps w:val="0"/>
          <w:color w:val="000000"/>
          <w:spacing w:val="0"/>
          <w:sz w:val="32"/>
          <w:szCs w:val="32"/>
          <w:shd w:val="clear" w:fill="FFFFFF"/>
        </w:rPr>
        <w:t>社会保障和就业支出（类）行政事业单位养老支出（款）</w:t>
      </w:r>
      <w:r>
        <w:rPr>
          <w:rFonts w:hint="eastAsia" w:ascii="宋体" w:hAnsi="宋体" w:eastAsia="宋体" w:cs="宋体"/>
          <w:i w:val="0"/>
          <w:iCs w:val="0"/>
          <w:caps w:val="0"/>
          <w:color w:val="000000"/>
          <w:spacing w:val="0"/>
          <w:sz w:val="32"/>
          <w:szCs w:val="32"/>
          <w:shd w:val="clear" w:fill="FFFFFF"/>
          <w:lang w:val="en-US" w:eastAsia="zh-CN"/>
        </w:rPr>
        <w:t>机关事业单位基本养老保险缴费支出（项）</w:t>
      </w:r>
      <w:r>
        <w:rPr>
          <w:rFonts w:hint="eastAsia" w:ascii="宋体" w:hAnsi="宋体" w:eastAsia="宋体" w:cs="宋体"/>
          <w:sz w:val="32"/>
          <w:szCs w:val="32"/>
        </w:rPr>
        <w:t>。</w:t>
      </w:r>
      <w:r>
        <w:rPr>
          <w:rFonts w:hint="eastAsia" w:ascii="宋体" w:eastAsia="宋体"/>
          <w:sz w:val="32"/>
          <w:szCs w:val="32"/>
        </w:rPr>
        <w:t>年初预算为</w:t>
      </w:r>
      <w:r>
        <w:rPr>
          <w:rFonts w:hint="eastAsia" w:ascii="宋体" w:eastAsia="宋体"/>
          <w:sz w:val="32"/>
          <w:szCs w:val="32"/>
          <w:lang w:val="en-US" w:eastAsia="zh-CN"/>
        </w:rPr>
        <w:t>23.96</w:t>
      </w:r>
      <w:r>
        <w:rPr>
          <w:rFonts w:hint="eastAsia" w:ascii="宋体" w:eastAsia="宋体"/>
          <w:sz w:val="32"/>
          <w:szCs w:val="32"/>
        </w:rPr>
        <w:t>万元，支出决算为</w:t>
      </w:r>
      <w:r>
        <w:rPr>
          <w:rFonts w:hint="eastAsia" w:ascii="宋体" w:eastAsia="宋体"/>
          <w:sz w:val="32"/>
          <w:szCs w:val="32"/>
          <w:lang w:val="en-US" w:eastAsia="zh-CN"/>
        </w:rPr>
        <w:t>23.96</w:t>
      </w:r>
      <w:r>
        <w:rPr>
          <w:rFonts w:hint="eastAsia" w:ascii="宋体" w:eastAsia="宋体"/>
          <w:sz w:val="32"/>
          <w:szCs w:val="32"/>
        </w:rPr>
        <w:t>万元，完成年初预算的</w:t>
      </w:r>
      <w:r>
        <w:rPr>
          <w:rFonts w:hint="eastAsia" w:ascii="宋体" w:eastAsia="宋体"/>
          <w:sz w:val="32"/>
          <w:szCs w:val="32"/>
          <w:lang w:val="en-US" w:eastAsia="zh-CN"/>
        </w:rPr>
        <w:t>100</w:t>
      </w:r>
      <w:r>
        <w:rPr>
          <w:rFonts w:hint="eastAsia" w:ascii="宋体" w:eastAsia="宋体"/>
          <w:sz w:val="32"/>
          <w:szCs w:val="32"/>
        </w:rPr>
        <w:t>%</w:t>
      </w:r>
      <w:r>
        <w:rPr>
          <w:rFonts w:hint="eastAsia" w:ascii="宋体" w:eastAsia="宋体"/>
          <w:sz w:val="32"/>
          <w:szCs w:val="32"/>
          <w:lang w:eastAsia="zh-CN"/>
        </w:rPr>
        <w:t>，</w:t>
      </w:r>
      <w:r>
        <w:rPr>
          <w:rFonts w:hint="eastAsia" w:asciiTheme="minorEastAsia" w:hAnsiTheme="minorEastAsia" w:eastAsiaTheme="minorEastAsia"/>
          <w:color w:val="auto"/>
          <w:sz w:val="32"/>
          <w:szCs w:val="32"/>
          <w:lang w:eastAsia="zh-CN"/>
        </w:rPr>
        <w:t>预决算一致无差异</w:t>
      </w:r>
      <w:r>
        <w:rPr>
          <w:rFonts w:hint="eastAsia" w:ascii="宋体" w:eastAsia="宋体"/>
          <w:sz w:val="32"/>
          <w:szCs w:val="32"/>
          <w:lang w:val="en-US" w:eastAsia="zh-CN"/>
        </w:rPr>
        <w:t>。</w:t>
      </w:r>
    </w:p>
    <w:p>
      <w:pPr>
        <w:pStyle w:val="9"/>
        <w:ind w:firstLine="800" w:firstLineChars="250"/>
        <w:rPr>
          <w:rFonts w:hint="eastAsia" w:ascii="宋体" w:eastAsia="宋体"/>
          <w:sz w:val="32"/>
          <w:szCs w:val="32"/>
          <w:lang w:eastAsia="zh-CN"/>
        </w:rPr>
      </w:pPr>
      <w:r>
        <w:rPr>
          <w:rFonts w:hint="eastAsia" w:ascii="宋体" w:eastAsia="宋体"/>
          <w:sz w:val="32"/>
          <w:szCs w:val="32"/>
        </w:rPr>
        <w:t>2、</w:t>
      </w:r>
      <w:r>
        <w:rPr>
          <w:rFonts w:hint="eastAsia" w:ascii="宋体" w:hAnsi="宋体" w:eastAsia="宋体" w:cs="宋体"/>
          <w:i w:val="0"/>
          <w:iCs w:val="0"/>
          <w:caps w:val="0"/>
          <w:color w:val="000000"/>
          <w:spacing w:val="0"/>
          <w:sz w:val="32"/>
          <w:szCs w:val="32"/>
          <w:shd w:val="clear" w:fill="FFFFFF"/>
        </w:rPr>
        <w:t>社会保障和就业支出（类）</w:t>
      </w:r>
      <w:r>
        <w:rPr>
          <w:rFonts w:hint="eastAsia" w:ascii="宋体" w:hAnsi="宋体" w:eastAsia="宋体" w:cs="宋体"/>
          <w:i w:val="0"/>
          <w:iCs w:val="0"/>
          <w:caps w:val="0"/>
          <w:color w:val="000000"/>
          <w:spacing w:val="0"/>
          <w:sz w:val="32"/>
          <w:szCs w:val="32"/>
          <w:shd w:val="clear" w:fill="FFFFFF"/>
          <w:lang w:val="en-US" w:eastAsia="zh-CN"/>
        </w:rPr>
        <w:t>残疾人事业</w:t>
      </w:r>
      <w:r>
        <w:rPr>
          <w:rFonts w:hint="eastAsia" w:ascii="宋体" w:hAnsi="宋体" w:eastAsia="宋体" w:cs="宋体"/>
          <w:i w:val="0"/>
          <w:iCs w:val="0"/>
          <w:caps w:val="0"/>
          <w:color w:val="000000"/>
          <w:spacing w:val="0"/>
          <w:sz w:val="32"/>
          <w:szCs w:val="32"/>
          <w:shd w:val="clear" w:fill="FFFFFF"/>
        </w:rPr>
        <w:t>（款）</w:t>
      </w:r>
      <w:r>
        <w:rPr>
          <w:rFonts w:hint="eastAsia" w:ascii="宋体" w:hAnsi="宋体" w:eastAsia="宋体" w:cs="宋体"/>
          <w:i w:val="0"/>
          <w:iCs w:val="0"/>
          <w:caps w:val="0"/>
          <w:color w:val="000000"/>
          <w:spacing w:val="0"/>
          <w:sz w:val="32"/>
          <w:szCs w:val="32"/>
          <w:shd w:val="clear" w:fill="FFFFFF"/>
          <w:lang w:val="en-US" w:eastAsia="zh-CN"/>
        </w:rPr>
        <w:t>其他残疾人事业支出（项）</w:t>
      </w:r>
      <w:r>
        <w:rPr>
          <w:rFonts w:hint="eastAsia" w:ascii="宋体" w:hAnsi="宋体" w:eastAsia="宋体" w:cs="宋体"/>
          <w:sz w:val="32"/>
          <w:szCs w:val="32"/>
        </w:rPr>
        <w:t>。</w:t>
      </w:r>
      <w:r>
        <w:rPr>
          <w:rFonts w:hint="eastAsia" w:ascii="宋体" w:eastAsia="宋体"/>
          <w:sz w:val="32"/>
          <w:szCs w:val="32"/>
        </w:rPr>
        <w:t>年初预算为</w:t>
      </w:r>
      <w:r>
        <w:rPr>
          <w:rFonts w:hint="eastAsia" w:ascii="宋体" w:eastAsia="宋体"/>
          <w:sz w:val="32"/>
          <w:szCs w:val="32"/>
          <w:lang w:val="en-US" w:eastAsia="zh-CN"/>
        </w:rPr>
        <w:t>2.14</w:t>
      </w:r>
      <w:r>
        <w:rPr>
          <w:rFonts w:hint="eastAsia" w:ascii="宋体" w:eastAsia="宋体"/>
          <w:sz w:val="32"/>
          <w:szCs w:val="32"/>
        </w:rPr>
        <w:t>万元，支出决算为</w:t>
      </w:r>
      <w:r>
        <w:rPr>
          <w:rFonts w:hint="eastAsia" w:ascii="宋体" w:eastAsia="宋体"/>
          <w:sz w:val="32"/>
          <w:szCs w:val="32"/>
          <w:lang w:val="en-US" w:eastAsia="zh-CN"/>
        </w:rPr>
        <w:t>2.14</w:t>
      </w:r>
      <w:r>
        <w:rPr>
          <w:rFonts w:hint="eastAsia" w:ascii="宋体" w:eastAsia="宋体"/>
          <w:sz w:val="32"/>
          <w:szCs w:val="32"/>
        </w:rPr>
        <w:t>万元，完成年初预算的</w:t>
      </w:r>
      <w:r>
        <w:rPr>
          <w:rFonts w:hint="eastAsia" w:ascii="宋体" w:eastAsia="宋体"/>
          <w:sz w:val="32"/>
          <w:szCs w:val="32"/>
          <w:lang w:val="en-US" w:eastAsia="zh-CN"/>
        </w:rPr>
        <w:t>100</w:t>
      </w:r>
      <w:r>
        <w:rPr>
          <w:rFonts w:hint="eastAsia" w:ascii="宋体" w:eastAsia="宋体"/>
          <w:sz w:val="32"/>
          <w:szCs w:val="32"/>
        </w:rPr>
        <w:t>%</w:t>
      </w:r>
      <w:r>
        <w:rPr>
          <w:rFonts w:hint="eastAsia" w:ascii="宋体" w:eastAsia="宋体"/>
          <w:sz w:val="32"/>
          <w:szCs w:val="32"/>
          <w:lang w:eastAsia="zh-CN"/>
        </w:rPr>
        <w:t>，</w:t>
      </w:r>
      <w:r>
        <w:rPr>
          <w:rFonts w:hint="eastAsia" w:asciiTheme="minorEastAsia" w:hAnsiTheme="minorEastAsia" w:eastAsiaTheme="minorEastAsia"/>
          <w:color w:val="auto"/>
          <w:sz w:val="32"/>
          <w:szCs w:val="32"/>
          <w:lang w:eastAsia="zh-CN"/>
        </w:rPr>
        <w:t>预决算一致无差异</w:t>
      </w:r>
      <w:r>
        <w:rPr>
          <w:rFonts w:hint="eastAsia" w:ascii="宋体" w:eastAsia="宋体"/>
          <w:sz w:val="32"/>
          <w:szCs w:val="32"/>
          <w:lang w:eastAsia="zh-CN"/>
        </w:rPr>
        <w:t>。</w:t>
      </w:r>
    </w:p>
    <w:p>
      <w:pPr>
        <w:pStyle w:val="9"/>
        <w:ind w:firstLine="800" w:firstLineChars="250"/>
        <w:rPr>
          <w:rFonts w:hint="eastAsia" w:ascii="宋体" w:eastAsia="宋体"/>
          <w:sz w:val="32"/>
          <w:szCs w:val="32"/>
          <w:lang w:eastAsia="zh-CN"/>
        </w:rPr>
      </w:pPr>
      <w:r>
        <w:rPr>
          <w:rFonts w:hint="eastAsia" w:ascii="宋体" w:eastAsia="宋体"/>
          <w:sz w:val="32"/>
          <w:szCs w:val="32"/>
          <w:lang w:val="en-US" w:eastAsia="zh-CN"/>
        </w:rPr>
        <w:t>3、卫生健康支出（类）行政事业单位医疗（款）事业单位医疗（项）。年初预算为11.08万元，支出决算为11.08万元，</w:t>
      </w:r>
      <w:r>
        <w:rPr>
          <w:rFonts w:hint="eastAsia" w:ascii="宋体" w:eastAsia="宋体"/>
          <w:sz w:val="32"/>
          <w:szCs w:val="32"/>
        </w:rPr>
        <w:t>完成年初预算的</w:t>
      </w:r>
      <w:r>
        <w:rPr>
          <w:rFonts w:hint="eastAsia" w:ascii="宋体" w:eastAsia="宋体"/>
          <w:sz w:val="32"/>
          <w:szCs w:val="32"/>
          <w:lang w:val="en-US" w:eastAsia="zh-CN"/>
        </w:rPr>
        <w:t>100</w:t>
      </w:r>
      <w:r>
        <w:rPr>
          <w:rFonts w:hint="eastAsia" w:ascii="宋体" w:eastAsia="宋体"/>
          <w:sz w:val="32"/>
          <w:szCs w:val="32"/>
        </w:rPr>
        <w:t>%</w:t>
      </w:r>
      <w:r>
        <w:rPr>
          <w:rFonts w:hint="eastAsia" w:ascii="宋体" w:eastAsia="宋体"/>
          <w:sz w:val="32"/>
          <w:szCs w:val="32"/>
          <w:lang w:eastAsia="zh-CN"/>
        </w:rPr>
        <w:t>，</w:t>
      </w:r>
      <w:r>
        <w:rPr>
          <w:rFonts w:hint="eastAsia" w:asciiTheme="minorEastAsia" w:hAnsiTheme="minorEastAsia" w:eastAsiaTheme="minorEastAsia"/>
          <w:color w:val="auto"/>
          <w:sz w:val="32"/>
          <w:szCs w:val="32"/>
          <w:lang w:eastAsia="zh-CN"/>
        </w:rPr>
        <w:t>预决算一致无差异</w:t>
      </w:r>
      <w:r>
        <w:rPr>
          <w:rFonts w:hint="eastAsia" w:ascii="宋体" w:eastAsia="宋体"/>
          <w:sz w:val="32"/>
          <w:szCs w:val="32"/>
          <w:lang w:eastAsia="zh-CN"/>
        </w:rPr>
        <w:t>。</w:t>
      </w:r>
    </w:p>
    <w:p>
      <w:pPr>
        <w:pStyle w:val="9"/>
        <w:ind w:firstLine="800" w:firstLineChars="250"/>
        <w:rPr>
          <w:rFonts w:hint="default" w:ascii="宋体" w:eastAsiaTheme="minorEastAsia"/>
          <w:sz w:val="32"/>
          <w:szCs w:val="32"/>
          <w:lang w:val="en-US" w:eastAsia="zh-CN"/>
        </w:rPr>
      </w:pPr>
      <w:r>
        <w:rPr>
          <w:rFonts w:hint="eastAsia" w:ascii="宋体" w:eastAsia="宋体"/>
          <w:sz w:val="32"/>
          <w:szCs w:val="32"/>
          <w:lang w:val="en-US" w:eastAsia="zh-CN"/>
        </w:rPr>
        <w:t>4、城乡社区支出（类）城乡社区管理事务（款）其他城乡社区管理事务支出（项）。年初预算为0万元，支出决算为36万元（由于预算数为0，无法计算百分比），</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val="en-US" w:eastAsia="zh-CN"/>
        </w:rPr>
        <w:t>财政追加安排城东南路污水初处理站设备升级改造设计费支出。</w:t>
      </w:r>
    </w:p>
    <w:p>
      <w:pPr>
        <w:pStyle w:val="9"/>
        <w:ind w:firstLine="800" w:firstLineChars="250"/>
        <w:rPr>
          <w:rFonts w:hint="default" w:asciiTheme="minorEastAsia" w:hAnsiTheme="minorEastAsia" w:eastAsiaTheme="minorEastAsia"/>
          <w:sz w:val="32"/>
          <w:szCs w:val="32"/>
          <w:lang w:val="en-US" w:eastAsia="zh-CN"/>
        </w:rPr>
      </w:pPr>
      <w:r>
        <w:rPr>
          <w:rFonts w:hint="eastAsia" w:ascii="宋体" w:eastAsia="宋体"/>
          <w:sz w:val="32"/>
          <w:szCs w:val="32"/>
          <w:lang w:val="en-US" w:eastAsia="zh-CN"/>
        </w:rPr>
        <w:t>5、城乡社区支出（类）城乡社区公共设施（款）其他城乡社区公共设施支出（项）。年初预算为0万元，支出决算为367.29万元（由于预算数为0，无法计算百分比），</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val="en-US" w:eastAsia="zh-CN"/>
        </w:rPr>
        <w:t>财政追加安排单位人员绩效工资及</w:t>
      </w:r>
      <w:r>
        <w:rPr>
          <w:rFonts w:hint="eastAsia" w:asciiTheme="minorEastAsia" w:hAnsiTheme="minorEastAsia" w:eastAsiaTheme="minorEastAsia" w:cstheme="minorEastAsia"/>
          <w:sz w:val="32"/>
          <w:highlight w:val="none"/>
          <w:lang w:eastAsia="zh-CN"/>
        </w:rPr>
        <w:t>年终绩效考评奖励、平安建设奖励</w:t>
      </w:r>
      <w:r>
        <w:rPr>
          <w:rFonts w:hint="eastAsia" w:asciiTheme="minorEastAsia" w:hAnsiTheme="minorEastAsia" w:eastAsiaTheme="minorEastAsia" w:cstheme="minorEastAsia"/>
          <w:sz w:val="32"/>
          <w:highlight w:val="none"/>
          <w:lang w:val="en-US" w:eastAsia="zh-CN"/>
        </w:rPr>
        <w:t>等经费。</w:t>
      </w:r>
    </w:p>
    <w:p>
      <w:pPr>
        <w:pStyle w:val="9"/>
        <w:ind w:firstLine="800" w:firstLineChars="250"/>
        <w:rPr>
          <w:rFonts w:hint="eastAsia" w:ascii="宋体" w:eastAsia="宋体"/>
          <w:sz w:val="32"/>
          <w:szCs w:val="32"/>
          <w:lang w:val="en-US" w:eastAsia="zh-CN"/>
        </w:rPr>
      </w:pPr>
      <w:r>
        <w:rPr>
          <w:rFonts w:hint="eastAsia" w:ascii="宋体" w:eastAsia="宋体"/>
          <w:sz w:val="32"/>
          <w:szCs w:val="32"/>
          <w:lang w:val="en-US" w:eastAsia="zh-CN"/>
        </w:rPr>
        <w:t>6、城乡社区支出（类）其他城乡社区支出（款）其他城乡社区支出（项）。年初预算为0万元，支出决算为10.97万元（由于预算数为0，无法计算百分比），</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val="en-US" w:eastAsia="zh-CN"/>
        </w:rPr>
        <w:t>财政追加安排职工基本医疗保险缴费、其他社会保障缴费及住房公积金经费</w:t>
      </w:r>
      <w:r>
        <w:rPr>
          <w:rFonts w:hint="eastAsia" w:ascii="宋体" w:eastAsia="宋体"/>
          <w:sz w:val="32"/>
          <w:szCs w:val="32"/>
          <w:lang w:val="en-US" w:eastAsia="zh-CN"/>
        </w:rPr>
        <w:t>。</w:t>
      </w:r>
    </w:p>
    <w:p>
      <w:pPr>
        <w:pStyle w:val="9"/>
        <w:ind w:firstLine="800" w:firstLineChars="250"/>
        <w:rPr>
          <w:rFonts w:asciiTheme="minorEastAsia" w:hAnsiTheme="minorEastAsia" w:eastAsiaTheme="minorEastAsia"/>
          <w:sz w:val="32"/>
          <w:szCs w:val="32"/>
        </w:rPr>
      </w:pPr>
      <w:r>
        <w:rPr>
          <w:rFonts w:hint="eastAsia" w:ascii="宋体" w:eastAsia="宋体"/>
          <w:sz w:val="32"/>
          <w:szCs w:val="32"/>
          <w:lang w:val="en-US" w:eastAsia="zh-CN"/>
        </w:rPr>
        <w:t>7、资源勘探工业信息等支出（类）建筑业（款）行政运行（项）。年初预算为126.29万元，支出决算为126.29万元，完成年初预算的100%</w:t>
      </w:r>
      <w:r>
        <w:rPr>
          <w:rFonts w:hint="eastAsia" w:ascii="宋体" w:eastAsia="宋体"/>
          <w:sz w:val="32"/>
          <w:szCs w:val="32"/>
          <w:lang w:eastAsia="zh-CN"/>
        </w:rPr>
        <w:t>，</w:t>
      </w:r>
      <w:r>
        <w:rPr>
          <w:rFonts w:hint="eastAsia" w:asciiTheme="minorEastAsia" w:hAnsiTheme="minorEastAsia" w:eastAsiaTheme="minorEastAsia"/>
          <w:color w:val="auto"/>
          <w:sz w:val="32"/>
          <w:szCs w:val="32"/>
          <w:lang w:eastAsia="zh-CN"/>
        </w:rPr>
        <w:t>预决算一致无差异</w:t>
      </w:r>
      <w:r>
        <w:rPr>
          <w:rFonts w:hint="eastAsia" w:ascii="宋体" w:eastAsia="宋体"/>
          <w:sz w:val="32"/>
          <w:szCs w:val="32"/>
          <w:lang w:val="en-US" w:eastAsia="zh-CN"/>
        </w:rPr>
        <w:t>。</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344.75</w:t>
      </w:r>
      <w:r>
        <w:rPr>
          <w:rFonts w:hint="eastAsia" w:asciiTheme="minorEastAsia" w:hAnsiTheme="minorEastAsia" w:eastAsiaTheme="minorEastAsia"/>
          <w:sz w:val="32"/>
          <w:szCs w:val="32"/>
        </w:rPr>
        <w:t>万元，其中：</w:t>
      </w:r>
      <w:r>
        <w:rPr>
          <w:rFonts w:hint="eastAsia" w:asciiTheme="minorEastAsia" w:hAnsiTheme="minorEastAsia" w:eastAsiaTheme="minorEastAsia"/>
          <w:b/>
          <w:bCs/>
          <w:sz w:val="32"/>
          <w:szCs w:val="32"/>
        </w:rPr>
        <w:t>人员经费</w:t>
      </w:r>
      <w:r>
        <w:rPr>
          <w:rFonts w:hint="eastAsia" w:asciiTheme="minorEastAsia" w:hAnsiTheme="minorEastAsia" w:eastAsiaTheme="minorEastAsia"/>
          <w:sz w:val="32"/>
          <w:szCs w:val="32"/>
          <w:lang w:val="en-US" w:eastAsia="zh-CN"/>
        </w:rPr>
        <w:t>297.62</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86.3</w:t>
      </w:r>
      <w:r>
        <w:rPr>
          <w:rFonts w:hint="eastAsia" w:asciiTheme="minorEastAsia" w:hAnsiTheme="minorEastAsia" w:eastAsiaTheme="minorEastAsia"/>
          <w:sz w:val="32"/>
          <w:szCs w:val="32"/>
        </w:rPr>
        <w:t>%,主要包括主要包括基本工资</w:t>
      </w:r>
      <w:r>
        <w:rPr>
          <w:rFonts w:hint="eastAsia" w:asciiTheme="minorEastAsia" w:hAnsiTheme="minorEastAsia" w:eastAsiaTheme="minorEastAsia"/>
          <w:sz w:val="32"/>
          <w:szCs w:val="32"/>
          <w:lang w:val="en-US" w:eastAsia="zh-CN"/>
        </w:rPr>
        <w:t>84.68万元</w:t>
      </w:r>
      <w:r>
        <w:rPr>
          <w:rFonts w:hint="eastAsia" w:asciiTheme="minorEastAsia" w:hAnsiTheme="minorEastAsia" w:eastAsiaTheme="minorEastAsia"/>
          <w:sz w:val="32"/>
          <w:szCs w:val="32"/>
        </w:rPr>
        <w:t>、津贴补贴</w:t>
      </w:r>
      <w:r>
        <w:rPr>
          <w:rFonts w:hint="eastAsia" w:asciiTheme="minorEastAsia" w:hAnsiTheme="minorEastAsia" w:eastAsiaTheme="minorEastAsia"/>
          <w:sz w:val="32"/>
          <w:szCs w:val="32"/>
          <w:lang w:val="en-US" w:eastAsia="zh-CN"/>
        </w:rPr>
        <w:t>5.66万元</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zh-CN"/>
        </w:rPr>
        <w:t>奖金</w:t>
      </w:r>
      <w:r>
        <w:rPr>
          <w:rFonts w:hint="eastAsia" w:asciiTheme="minorEastAsia" w:hAnsiTheme="minorEastAsia" w:eastAsiaTheme="minorEastAsia"/>
          <w:sz w:val="32"/>
          <w:szCs w:val="32"/>
          <w:lang w:val="en-US" w:eastAsia="zh-CN"/>
        </w:rPr>
        <w:t>101.88万元</w:t>
      </w:r>
      <w:r>
        <w:rPr>
          <w:rFonts w:hint="eastAsia" w:asciiTheme="minorEastAsia" w:hAnsiTheme="minorEastAsia" w:eastAsiaTheme="minorEastAsia"/>
          <w:sz w:val="32"/>
          <w:szCs w:val="32"/>
          <w:lang w:val="zh-CN"/>
        </w:rPr>
        <w:t>、伙食补助费</w:t>
      </w:r>
      <w:r>
        <w:rPr>
          <w:rFonts w:hint="eastAsia" w:asciiTheme="minorEastAsia" w:hAnsiTheme="minorEastAsia" w:eastAsiaTheme="minorEastAsia"/>
          <w:sz w:val="32"/>
          <w:szCs w:val="32"/>
          <w:lang w:val="en-US" w:eastAsia="zh-CN"/>
        </w:rPr>
        <w:t>5.78万元</w:t>
      </w:r>
      <w:r>
        <w:rPr>
          <w:rFonts w:hint="eastAsia" w:asciiTheme="minorEastAsia" w:hAnsiTheme="minorEastAsia" w:eastAsiaTheme="minorEastAsia"/>
          <w:sz w:val="32"/>
          <w:szCs w:val="32"/>
          <w:lang w:val="zh-CN"/>
        </w:rPr>
        <w:t>、绩效工资</w:t>
      </w:r>
      <w:r>
        <w:rPr>
          <w:rFonts w:hint="eastAsia" w:asciiTheme="minorEastAsia" w:hAnsiTheme="minorEastAsia" w:eastAsiaTheme="minorEastAsia"/>
          <w:sz w:val="32"/>
          <w:szCs w:val="32"/>
          <w:lang w:val="en-US" w:eastAsia="zh-CN"/>
        </w:rPr>
        <w:t>32万元</w:t>
      </w:r>
      <w:r>
        <w:rPr>
          <w:rFonts w:hint="eastAsia" w:asciiTheme="minorEastAsia" w:hAnsiTheme="minorEastAsia" w:eastAsiaTheme="minorEastAsia"/>
          <w:sz w:val="32"/>
          <w:szCs w:val="32"/>
          <w:lang w:val="zh-CN"/>
        </w:rPr>
        <w:t>、机关事业单位基本养老保险缴费</w:t>
      </w:r>
      <w:r>
        <w:rPr>
          <w:rFonts w:hint="eastAsia" w:asciiTheme="minorEastAsia" w:hAnsiTheme="minorEastAsia" w:eastAsiaTheme="minorEastAsia"/>
          <w:sz w:val="32"/>
          <w:szCs w:val="32"/>
          <w:lang w:val="en-US" w:eastAsia="zh-CN"/>
        </w:rPr>
        <w:t>23.06万元</w:t>
      </w:r>
      <w:r>
        <w:rPr>
          <w:rFonts w:hint="eastAsia" w:asciiTheme="minorEastAsia" w:hAnsiTheme="minorEastAsia" w:eastAsiaTheme="minorEastAsia"/>
          <w:sz w:val="32"/>
          <w:szCs w:val="32"/>
          <w:lang w:val="zh-CN"/>
        </w:rPr>
        <w:t>、职工基本医疗保险缴费</w:t>
      </w:r>
      <w:r>
        <w:rPr>
          <w:rFonts w:hint="eastAsia" w:asciiTheme="minorEastAsia" w:hAnsiTheme="minorEastAsia" w:eastAsiaTheme="minorEastAsia"/>
          <w:sz w:val="32"/>
          <w:szCs w:val="32"/>
          <w:lang w:val="en-US" w:eastAsia="zh-CN"/>
        </w:rPr>
        <w:t>11.44万元</w:t>
      </w:r>
      <w:r>
        <w:rPr>
          <w:rFonts w:hint="eastAsia" w:asciiTheme="minorEastAsia" w:hAnsiTheme="minorEastAsia" w:eastAsiaTheme="minorEastAsia"/>
          <w:sz w:val="32"/>
          <w:szCs w:val="32"/>
          <w:lang w:val="zh-CN"/>
        </w:rPr>
        <w:t>、公务员医疗补助缴费</w:t>
      </w:r>
      <w:r>
        <w:rPr>
          <w:rFonts w:hint="eastAsia" w:asciiTheme="minorEastAsia" w:hAnsiTheme="minorEastAsia" w:eastAsiaTheme="minorEastAsia"/>
          <w:sz w:val="32"/>
          <w:szCs w:val="32"/>
          <w:lang w:val="en-US" w:eastAsia="zh-CN"/>
        </w:rPr>
        <w:t>4.23万元</w:t>
      </w:r>
      <w:r>
        <w:rPr>
          <w:rFonts w:hint="eastAsia" w:asciiTheme="minorEastAsia" w:hAnsiTheme="minorEastAsia" w:eastAsiaTheme="minorEastAsia"/>
          <w:sz w:val="32"/>
          <w:szCs w:val="32"/>
          <w:lang w:val="zh-CN"/>
        </w:rPr>
        <w:t>、其他社会保障缴费</w:t>
      </w:r>
      <w:r>
        <w:rPr>
          <w:rFonts w:hint="eastAsia" w:asciiTheme="minorEastAsia" w:hAnsiTheme="minorEastAsia" w:eastAsiaTheme="minorEastAsia"/>
          <w:sz w:val="32"/>
          <w:szCs w:val="32"/>
          <w:lang w:val="en-US" w:eastAsia="zh-CN"/>
        </w:rPr>
        <w:t>3.85万元</w:t>
      </w:r>
      <w:r>
        <w:rPr>
          <w:rFonts w:hint="eastAsia" w:asciiTheme="minorEastAsia" w:hAnsiTheme="minorEastAsia" w:eastAsiaTheme="minorEastAsia"/>
          <w:sz w:val="32"/>
          <w:szCs w:val="32"/>
          <w:lang w:val="zh-CN"/>
        </w:rPr>
        <w:t>、住房公积金</w:t>
      </w:r>
      <w:r>
        <w:rPr>
          <w:rFonts w:hint="eastAsia" w:asciiTheme="minorEastAsia" w:hAnsiTheme="minorEastAsia" w:eastAsiaTheme="minorEastAsia"/>
          <w:sz w:val="32"/>
          <w:szCs w:val="32"/>
          <w:lang w:val="en-US" w:eastAsia="zh-CN"/>
        </w:rPr>
        <w:t>13.16</w:t>
      </w:r>
      <w:r>
        <w:rPr>
          <w:rFonts w:hint="eastAsia" w:asciiTheme="minorEastAsia" w:hAnsiTheme="minorEastAsia" w:eastAsiaTheme="minorEastAsia"/>
          <w:sz w:val="32"/>
          <w:szCs w:val="32"/>
          <w:lang w:val="zh-CN"/>
        </w:rPr>
        <w:t>、医疗费</w:t>
      </w:r>
      <w:r>
        <w:rPr>
          <w:rFonts w:hint="eastAsia" w:asciiTheme="minorEastAsia" w:hAnsiTheme="minorEastAsia" w:eastAsiaTheme="minorEastAsia"/>
          <w:sz w:val="32"/>
          <w:szCs w:val="32"/>
          <w:lang w:val="en-US" w:eastAsia="zh-CN"/>
        </w:rPr>
        <w:t>8.38</w:t>
      </w:r>
      <w:r>
        <w:rPr>
          <w:rFonts w:hint="eastAsia" w:asciiTheme="minorEastAsia" w:hAnsiTheme="minorEastAsia" w:eastAsiaTheme="minorEastAsia"/>
          <w:sz w:val="32"/>
          <w:szCs w:val="32"/>
          <w:lang w:val="zh-CN"/>
        </w:rPr>
        <w:t>、退休费</w:t>
      </w:r>
      <w:r>
        <w:rPr>
          <w:rFonts w:hint="eastAsia" w:asciiTheme="minorEastAsia" w:hAnsiTheme="minorEastAsia" w:eastAsiaTheme="minorEastAsia"/>
          <w:sz w:val="32"/>
          <w:szCs w:val="32"/>
          <w:lang w:val="en-US" w:eastAsia="zh-CN"/>
        </w:rPr>
        <w:t>2.19万元</w:t>
      </w:r>
      <w:r>
        <w:rPr>
          <w:rFonts w:hint="eastAsia" w:asciiTheme="minorEastAsia" w:hAnsiTheme="minorEastAsia" w:eastAsiaTheme="minorEastAsia"/>
          <w:sz w:val="32"/>
          <w:szCs w:val="32"/>
          <w:lang w:val="zh-CN"/>
        </w:rPr>
        <w:t>、生活补助</w:t>
      </w:r>
      <w:r>
        <w:rPr>
          <w:rFonts w:hint="eastAsia" w:asciiTheme="minorEastAsia" w:hAnsiTheme="minorEastAsia" w:eastAsiaTheme="minorEastAsia"/>
          <w:sz w:val="32"/>
          <w:szCs w:val="32"/>
          <w:lang w:val="en-US" w:eastAsia="zh-CN"/>
        </w:rPr>
        <w:t>0.45万元、</w:t>
      </w:r>
      <w:r>
        <w:rPr>
          <w:rFonts w:hint="eastAsia" w:asciiTheme="minorEastAsia" w:hAnsiTheme="minorEastAsia" w:eastAsiaTheme="minorEastAsia"/>
          <w:sz w:val="32"/>
          <w:szCs w:val="32"/>
          <w:lang w:val="zh-CN"/>
        </w:rPr>
        <w:t>其他对个人和家庭的补助</w:t>
      </w:r>
      <w:r>
        <w:rPr>
          <w:rFonts w:hint="eastAsia" w:asciiTheme="minorEastAsia" w:hAnsiTheme="minorEastAsia" w:eastAsiaTheme="minorEastAsia"/>
          <w:sz w:val="32"/>
          <w:szCs w:val="32"/>
          <w:lang w:val="en-US" w:eastAsia="zh-CN"/>
        </w:rPr>
        <w:t>0.85万元</w:t>
      </w:r>
      <w:r>
        <w:rPr>
          <w:rFonts w:hint="eastAsia" w:asciiTheme="minorEastAsia" w:hAnsiTheme="minorEastAsia" w:eastAsiaTheme="minorEastAsia"/>
          <w:sz w:val="32"/>
          <w:szCs w:val="32"/>
        </w:rPr>
        <w:t>；</w:t>
      </w:r>
      <w:r>
        <w:rPr>
          <w:rFonts w:hint="eastAsia" w:asciiTheme="minorEastAsia" w:hAnsiTheme="minorEastAsia" w:eastAsiaTheme="minorEastAsia"/>
          <w:b/>
          <w:bCs/>
          <w:sz w:val="32"/>
          <w:szCs w:val="32"/>
        </w:rPr>
        <w:t>公用经费</w:t>
      </w:r>
      <w:r>
        <w:rPr>
          <w:rFonts w:hint="eastAsia" w:asciiTheme="minorEastAsia" w:hAnsiTheme="minorEastAsia" w:eastAsiaTheme="minorEastAsia"/>
          <w:sz w:val="32"/>
          <w:szCs w:val="32"/>
          <w:lang w:val="en-US" w:eastAsia="zh-CN"/>
        </w:rPr>
        <w:t>47.13</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13.7</w:t>
      </w:r>
      <w:r>
        <w:rPr>
          <w:rFonts w:hint="eastAsia" w:asciiTheme="minorEastAsia" w:hAnsiTheme="minorEastAsia" w:eastAsiaTheme="minorEastAsia"/>
          <w:sz w:val="32"/>
          <w:szCs w:val="32"/>
        </w:rPr>
        <w:t>%，主要包括办公费</w:t>
      </w:r>
      <w:r>
        <w:rPr>
          <w:rFonts w:hint="eastAsia" w:asciiTheme="minorEastAsia" w:hAnsiTheme="minorEastAsia" w:eastAsiaTheme="minorEastAsia"/>
          <w:sz w:val="32"/>
          <w:szCs w:val="32"/>
          <w:lang w:val="en-US" w:eastAsia="zh-CN"/>
        </w:rPr>
        <w:t>2.48万元</w:t>
      </w:r>
      <w:r>
        <w:rPr>
          <w:rFonts w:hint="eastAsia" w:asciiTheme="minorEastAsia" w:hAnsiTheme="minorEastAsia" w:eastAsiaTheme="minorEastAsia"/>
          <w:sz w:val="32"/>
          <w:szCs w:val="32"/>
        </w:rPr>
        <w:t>、印刷费</w:t>
      </w:r>
      <w:r>
        <w:rPr>
          <w:rFonts w:hint="eastAsia" w:asciiTheme="minorEastAsia" w:hAnsiTheme="minorEastAsia" w:eastAsiaTheme="minorEastAsia"/>
          <w:sz w:val="32"/>
          <w:szCs w:val="32"/>
          <w:lang w:val="en-US" w:eastAsia="zh-CN"/>
        </w:rPr>
        <w:t>3.91万元</w:t>
      </w:r>
      <w:r>
        <w:rPr>
          <w:rFonts w:hint="eastAsia" w:asciiTheme="minorEastAsia" w:hAnsiTheme="minorEastAsia" w:eastAsiaTheme="minorEastAsia"/>
          <w:sz w:val="32"/>
          <w:szCs w:val="32"/>
        </w:rPr>
        <w:t>、手续费</w:t>
      </w:r>
      <w:r>
        <w:rPr>
          <w:rFonts w:hint="eastAsia" w:asciiTheme="minorEastAsia" w:hAnsiTheme="minorEastAsia" w:eastAsiaTheme="minorEastAsia"/>
          <w:sz w:val="32"/>
          <w:szCs w:val="32"/>
          <w:lang w:val="en-US" w:eastAsia="zh-CN"/>
        </w:rPr>
        <w:t>0.1万元</w:t>
      </w:r>
      <w:r>
        <w:rPr>
          <w:rFonts w:hint="eastAsia" w:asciiTheme="minorEastAsia" w:hAnsiTheme="minorEastAsia" w:eastAsiaTheme="minorEastAsia"/>
          <w:sz w:val="32"/>
          <w:szCs w:val="32"/>
        </w:rPr>
        <w:t>、电费</w:t>
      </w:r>
      <w:r>
        <w:rPr>
          <w:rFonts w:hint="eastAsia" w:asciiTheme="minorEastAsia" w:hAnsiTheme="minorEastAsia" w:eastAsiaTheme="minorEastAsia"/>
          <w:sz w:val="32"/>
          <w:szCs w:val="32"/>
          <w:lang w:val="en-US" w:eastAsia="zh-CN"/>
        </w:rPr>
        <w:t>5.18万元</w:t>
      </w:r>
      <w:r>
        <w:rPr>
          <w:rFonts w:hint="eastAsia" w:asciiTheme="minorEastAsia" w:hAnsiTheme="minorEastAsia" w:eastAsiaTheme="minorEastAsia"/>
          <w:sz w:val="32"/>
          <w:szCs w:val="32"/>
        </w:rPr>
        <w:t>、邮电费</w:t>
      </w:r>
      <w:r>
        <w:rPr>
          <w:rFonts w:hint="eastAsia" w:asciiTheme="minorEastAsia" w:hAnsiTheme="minorEastAsia" w:eastAsiaTheme="minorEastAsia"/>
          <w:sz w:val="32"/>
          <w:szCs w:val="32"/>
          <w:lang w:val="en-US" w:eastAsia="zh-CN"/>
        </w:rPr>
        <w:t>0.6万元</w:t>
      </w:r>
      <w:r>
        <w:rPr>
          <w:rFonts w:hint="eastAsia" w:asciiTheme="minorEastAsia" w:hAnsiTheme="minorEastAsia" w:eastAsiaTheme="minorEastAsia"/>
          <w:sz w:val="32"/>
          <w:szCs w:val="32"/>
        </w:rPr>
        <w:t>、差旅费</w:t>
      </w:r>
      <w:r>
        <w:rPr>
          <w:rFonts w:hint="eastAsia" w:asciiTheme="minorEastAsia" w:hAnsiTheme="minorEastAsia" w:eastAsiaTheme="minorEastAsia"/>
          <w:sz w:val="32"/>
          <w:szCs w:val="32"/>
          <w:lang w:val="en-US" w:eastAsia="zh-CN"/>
        </w:rPr>
        <w:t>3.61万元</w:t>
      </w:r>
      <w:r>
        <w:rPr>
          <w:rFonts w:hint="eastAsia" w:asciiTheme="minorEastAsia" w:hAnsiTheme="minorEastAsia" w:eastAsiaTheme="minorEastAsia"/>
          <w:sz w:val="32"/>
          <w:szCs w:val="32"/>
        </w:rPr>
        <w:t>、维修（护）费</w:t>
      </w:r>
      <w:r>
        <w:rPr>
          <w:rFonts w:hint="eastAsia" w:asciiTheme="minorEastAsia" w:hAnsiTheme="minorEastAsia" w:eastAsiaTheme="minorEastAsia"/>
          <w:sz w:val="32"/>
          <w:szCs w:val="32"/>
          <w:lang w:val="en-US" w:eastAsia="zh-CN"/>
        </w:rPr>
        <w:t>4.78万元</w:t>
      </w:r>
      <w:r>
        <w:rPr>
          <w:rFonts w:hint="eastAsia" w:asciiTheme="minorEastAsia" w:hAnsiTheme="minorEastAsia" w:eastAsiaTheme="minorEastAsia"/>
          <w:sz w:val="32"/>
          <w:szCs w:val="32"/>
        </w:rPr>
        <w:t>、租赁费</w:t>
      </w:r>
      <w:r>
        <w:rPr>
          <w:rFonts w:hint="eastAsia" w:asciiTheme="minorEastAsia" w:hAnsiTheme="minorEastAsia" w:eastAsiaTheme="minorEastAsia"/>
          <w:sz w:val="32"/>
          <w:szCs w:val="32"/>
          <w:lang w:val="en-US" w:eastAsia="zh-CN"/>
        </w:rPr>
        <w:t>0.12万元</w:t>
      </w:r>
      <w:r>
        <w:rPr>
          <w:rFonts w:hint="eastAsia" w:asciiTheme="minorEastAsia" w:hAnsiTheme="minorEastAsia" w:eastAsiaTheme="minorEastAsia"/>
          <w:sz w:val="32"/>
          <w:szCs w:val="32"/>
        </w:rPr>
        <w:t>、培训费</w:t>
      </w:r>
      <w:r>
        <w:rPr>
          <w:rFonts w:hint="eastAsia" w:asciiTheme="minorEastAsia" w:hAnsiTheme="minorEastAsia" w:eastAsiaTheme="minorEastAsia"/>
          <w:sz w:val="32"/>
          <w:szCs w:val="32"/>
          <w:lang w:val="en-US" w:eastAsia="zh-CN"/>
        </w:rPr>
        <w:t>0.08万元</w:t>
      </w:r>
      <w:r>
        <w:rPr>
          <w:rFonts w:hint="eastAsia" w:asciiTheme="minorEastAsia" w:hAnsiTheme="minorEastAsia" w:eastAsiaTheme="minorEastAsia"/>
          <w:sz w:val="32"/>
          <w:szCs w:val="32"/>
        </w:rPr>
        <w:t>、专用</w:t>
      </w:r>
      <w:r>
        <w:rPr>
          <w:rFonts w:hint="eastAsia" w:asciiTheme="minorEastAsia" w:hAnsiTheme="minorEastAsia" w:eastAsiaTheme="minorEastAsia"/>
          <w:sz w:val="32"/>
          <w:szCs w:val="32"/>
          <w:lang w:val="en-US" w:eastAsia="zh-CN"/>
        </w:rPr>
        <w:t>燃料</w:t>
      </w:r>
      <w:r>
        <w:rPr>
          <w:rFonts w:hint="eastAsia" w:asciiTheme="minorEastAsia" w:hAnsiTheme="minorEastAsia" w:eastAsiaTheme="minorEastAsia"/>
          <w:sz w:val="32"/>
          <w:szCs w:val="32"/>
        </w:rPr>
        <w:t>费</w:t>
      </w:r>
      <w:r>
        <w:rPr>
          <w:rFonts w:hint="eastAsia" w:asciiTheme="minorEastAsia" w:hAnsiTheme="minorEastAsia" w:eastAsiaTheme="minorEastAsia"/>
          <w:sz w:val="32"/>
          <w:szCs w:val="32"/>
          <w:lang w:val="en-US" w:eastAsia="zh-CN"/>
        </w:rPr>
        <w:t>1万元</w:t>
      </w:r>
      <w:r>
        <w:rPr>
          <w:rFonts w:hint="eastAsia" w:asciiTheme="minorEastAsia" w:hAnsiTheme="minorEastAsia" w:eastAsiaTheme="minorEastAsia"/>
          <w:sz w:val="32"/>
          <w:szCs w:val="32"/>
        </w:rPr>
        <w:t>、劳务费</w:t>
      </w:r>
      <w:r>
        <w:rPr>
          <w:rFonts w:hint="eastAsia" w:asciiTheme="minorEastAsia" w:hAnsiTheme="minorEastAsia" w:eastAsiaTheme="minorEastAsia"/>
          <w:sz w:val="32"/>
          <w:szCs w:val="32"/>
          <w:lang w:val="en-US" w:eastAsia="zh-CN"/>
        </w:rPr>
        <w:t>5.71万元</w:t>
      </w:r>
      <w:r>
        <w:rPr>
          <w:rFonts w:hint="eastAsia" w:asciiTheme="minorEastAsia" w:hAnsiTheme="minorEastAsia" w:eastAsiaTheme="minorEastAsia"/>
          <w:sz w:val="32"/>
          <w:szCs w:val="32"/>
        </w:rPr>
        <w:t>、工会经费</w:t>
      </w:r>
      <w:r>
        <w:rPr>
          <w:rFonts w:hint="eastAsia" w:asciiTheme="minorEastAsia" w:hAnsiTheme="minorEastAsia" w:eastAsiaTheme="minorEastAsia"/>
          <w:sz w:val="32"/>
          <w:szCs w:val="32"/>
          <w:lang w:val="en-US" w:eastAsia="zh-CN"/>
        </w:rPr>
        <w:t>2.93万元</w:t>
      </w:r>
      <w:r>
        <w:rPr>
          <w:rFonts w:hint="eastAsia" w:asciiTheme="minorEastAsia" w:hAnsiTheme="minorEastAsia" w:eastAsiaTheme="minorEastAsia"/>
          <w:sz w:val="32"/>
          <w:szCs w:val="32"/>
        </w:rPr>
        <w:t>、公务用车运行维护费</w:t>
      </w:r>
      <w:r>
        <w:rPr>
          <w:rFonts w:hint="eastAsia" w:asciiTheme="minorEastAsia" w:hAnsiTheme="minorEastAsia" w:eastAsiaTheme="minorEastAsia"/>
          <w:sz w:val="32"/>
          <w:szCs w:val="32"/>
          <w:lang w:val="en-US" w:eastAsia="zh-CN"/>
        </w:rPr>
        <w:t>2.08万元</w:t>
      </w:r>
      <w:r>
        <w:rPr>
          <w:rFonts w:hint="eastAsia" w:asciiTheme="minorEastAsia" w:hAnsiTheme="minorEastAsia" w:eastAsiaTheme="minorEastAsia"/>
          <w:sz w:val="32"/>
          <w:szCs w:val="32"/>
        </w:rPr>
        <w:t>、其他商品和服务支出</w:t>
      </w:r>
      <w:r>
        <w:rPr>
          <w:rFonts w:hint="eastAsia" w:asciiTheme="minorEastAsia" w:hAnsiTheme="minorEastAsia" w:eastAsiaTheme="minorEastAsia"/>
          <w:sz w:val="32"/>
          <w:szCs w:val="32"/>
          <w:lang w:val="en-US" w:eastAsia="zh-CN"/>
        </w:rPr>
        <w:t>12.7万元</w:t>
      </w:r>
      <w:r>
        <w:rPr>
          <w:rFonts w:hint="eastAsia" w:asciiTheme="minorEastAsia" w:hAnsiTheme="minorEastAsia" w:eastAsiaTheme="minorEastAsia"/>
          <w:sz w:val="32"/>
          <w:szCs w:val="32"/>
        </w:rPr>
        <w:t>、办公设备购置</w:t>
      </w:r>
      <w:r>
        <w:rPr>
          <w:rFonts w:hint="eastAsia" w:asciiTheme="minorEastAsia" w:hAnsiTheme="minorEastAsia" w:eastAsiaTheme="minorEastAsia"/>
          <w:sz w:val="32"/>
          <w:szCs w:val="32"/>
          <w:lang w:val="en-US" w:eastAsia="zh-CN"/>
        </w:rPr>
        <w:t>1.86万元</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3.69</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92.25</w:t>
      </w:r>
      <w:r>
        <w:rPr>
          <w:rFonts w:hint="eastAsia" w:asciiTheme="minorEastAsia" w:hAnsiTheme="minorEastAsia" w:eastAsiaTheme="minorEastAsia"/>
          <w:sz w:val="32"/>
          <w:szCs w:val="32"/>
        </w:rPr>
        <w:t>%，其中：</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w:t>
      </w:r>
      <w:r>
        <w:rPr>
          <w:rFonts w:hint="eastAsia" w:ascii="宋体" w:eastAsia="宋体"/>
          <w:sz w:val="32"/>
          <w:szCs w:val="32"/>
          <w:lang w:val="en-US" w:eastAsia="zh-CN"/>
        </w:rPr>
        <w:t>（由于预算数为0，无法计算百分比）</w:t>
      </w:r>
      <w:r>
        <w:rPr>
          <w:rFonts w:hint="eastAsia" w:asciiTheme="minorEastAsia" w:hAnsiTheme="minorEastAsia" w:eastAsiaTheme="minorEastAsia"/>
          <w:sz w:val="32"/>
          <w:szCs w:val="32"/>
        </w:rPr>
        <w:t>，决算数与预算数一致无变化，主要原因是认真贯彻落实中央“八项规定”精神和厉行节约要求，从严控制“三公”经费开支，未作出国（境）公务安排。与上年相比无增减变化，主要原因是持续认真贯彻落实中央“八项规定”精神和厉行节约要求，从严控制“三公”经费开支，未作出国（境）公务安排。</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w:t>
      </w:r>
      <w:r>
        <w:rPr>
          <w:rFonts w:hint="eastAsia" w:ascii="宋体" w:eastAsia="宋体"/>
          <w:sz w:val="32"/>
          <w:szCs w:val="32"/>
          <w:lang w:val="en-US" w:eastAsia="zh-CN"/>
        </w:rPr>
        <w:t>（由于预算数为0，无法计算百分比）</w:t>
      </w:r>
      <w:r>
        <w:rPr>
          <w:rFonts w:hint="eastAsia" w:asciiTheme="minorEastAsia" w:hAnsiTheme="minorEastAsia" w:eastAsiaTheme="minorEastAsia"/>
          <w:sz w:val="32"/>
          <w:szCs w:val="32"/>
        </w:rPr>
        <w:t>，决算数与预算数一致无变化，主要原因是认真贯彻落实中央“八项规定”精神和厉行节约要求，从严控制“三公”经费开支，未作公务接待安排。与上年相比无增减变化，主要原因是认真贯彻落实中央“八项规定”精神和厉行节约要求，从严控制“三公”经费开支，未作公务接待安排。</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w:t>
      </w:r>
      <w:r>
        <w:rPr>
          <w:rFonts w:hint="eastAsia" w:ascii="宋体" w:eastAsia="宋体"/>
          <w:sz w:val="32"/>
          <w:szCs w:val="32"/>
          <w:lang w:val="en-US" w:eastAsia="zh-CN"/>
        </w:rPr>
        <w:t>（由于预算数为0，无法计算百分比）</w:t>
      </w:r>
      <w:r>
        <w:rPr>
          <w:rFonts w:hint="eastAsia" w:asciiTheme="minorEastAsia" w:hAnsiTheme="minorEastAsia" w:eastAsiaTheme="minorEastAsia"/>
          <w:sz w:val="32"/>
          <w:szCs w:val="32"/>
        </w:rPr>
        <w:t>，决算数与预算数一致无变化，主要原因是认真贯彻落实中央“八项规定”精神和厉行节约要求，从严控制“三公”经费开支，未作公务用车购置安排。与上年相比无增减变化，主要原因是持续认真贯彻落实中央“八项规定”精神和厉行节约要求，从严控制“三公”经费开支，未作公务用车购置安排。</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3.69</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92.25</w:t>
      </w:r>
      <w:r>
        <w:rPr>
          <w:rFonts w:hint="eastAsia" w:asciiTheme="minorEastAsia" w:hAnsiTheme="minorEastAsia" w:eastAsiaTheme="minorEastAsia"/>
          <w:sz w:val="32"/>
          <w:szCs w:val="32"/>
        </w:rPr>
        <w:t>%，决算数小于预算数的主要原因是</w:t>
      </w:r>
      <w:r>
        <w:rPr>
          <w:rFonts w:hint="eastAsia" w:ascii="宋体" w:eastAsia="宋体"/>
          <w:sz w:val="32"/>
          <w:szCs w:val="32"/>
          <w:lang w:val="en-US" w:eastAsia="zh-CN"/>
        </w:rPr>
        <w:t>认真贯彻落实中央“八项规定”精神和厉行节约要求，从严控制“三公”经费开支，全年实际支出比预算有所节约。</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3.91</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51.4</w:t>
      </w:r>
      <w:r>
        <w:rPr>
          <w:rFonts w:hint="eastAsia" w:asciiTheme="minorEastAsia" w:hAnsiTheme="minorEastAsia" w:eastAsiaTheme="minorEastAsia"/>
          <w:sz w:val="32"/>
          <w:szCs w:val="32"/>
        </w:rPr>
        <w:t>%,减少的主要原因是</w:t>
      </w:r>
      <w:r>
        <w:rPr>
          <w:rFonts w:hint="eastAsia" w:ascii="宋体" w:eastAsia="宋体"/>
          <w:sz w:val="32"/>
          <w:szCs w:val="32"/>
          <w:lang w:val="en-US" w:eastAsia="zh-CN"/>
        </w:rPr>
        <w:t>认真贯彻落实中央“八项规定”精神和厉行节约要求，从严控制“三公”经费开支。</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3.69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9"/>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3.69</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val="en-US" w:eastAsia="zh-CN"/>
        </w:rPr>
        <w:t>单位本机</w:t>
      </w:r>
      <w:r>
        <w:rPr>
          <w:rFonts w:hint="eastAsia" w:asciiTheme="minorEastAsia" w:hAnsiTheme="minorEastAsia"/>
          <w:sz w:val="32"/>
          <w:szCs w:val="32"/>
        </w:rPr>
        <w:t>更新公务用车</w:t>
      </w:r>
      <w:r>
        <w:rPr>
          <w:rFonts w:hint="eastAsia" w:asciiTheme="minorEastAsia" w:hAnsiTheme="minorEastAsia"/>
          <w:sz w:val="32"/>
          <w:szCs w:val="32"/>
          <w:lang w:val="en-US" w:eastAsia="zh-CN"/>
        </w:rPr>
        <w:t>0</w:t>
      </w:r>
      <w:r>
        <w:rPr>
          <w:rFonts w:hint="eastAsia" w:asciiTheme="minorEastAsia" w:hAnsiTheme="minorEastAsia"/>
          <w:sz w:val="32"/>
          <w:szCs w:val="32"/>
        </w:rPr>
        <w:t>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3.69</w:t>
      </w:r>
      <w:r>
        <w:rPr>
          <w:rFonts w:hint="eastAsia" w:asciiTheme="minorEastAsia" w:hAnsiTheme="minorEastAsia"/>
          <w:sz w:val="32"/>
          <w:szCs w:val="32"/>
        </w:rPr>
        <w:t>万元，主要是</w:t>
      </w:r>
      <w:r>
        <w:rPr>
          <w:rFonts w:hint="eastAsia" w:ascii="宋体"/>
          <w:sz w:val="32"/>
          <w:szCs w:val="32"/>
        </w:rPr>
        <w:t>公务用车维修，油料购置、车辆保险购置等</w:t>
      </w:r>
      <w:r>
        <w:rPr>
          <w:rFonts w:hint="eastAsia" w:ascii="宋体"/>
          <w:sz w:val="32"/>
          <w:szCs w:val="32"/>
          <w:lang w:val="en-US" w:eastAsia="zh-CN"/>
        </w:rPr>
        <w:t>支出</w:t>
      </w:r>
      <w:r>
        <w:rPr>
          <w:rFonts w:hint="eastAsia" w:asciiTheme="minorEastAsia" w:hAnsiTheme="minorEastAsia"/>
          <w:sz w:val="32"/>
          <w:szCs w:val="32"/>
        </w:rPr>
        <w:t>，截止2021年12月31日，我单位开支财政拨款的公务用车保有量为</w:t>
      </w:r>
      <w:r>
        <w:rPr>
          <w:rFonts w:hint="eastAsia" w:asciiTheme="minorEastAsia" w:hAnsiTheme="minorEastAsia"/>
          <w:sz w:val="32"/>
          <w:szCs w:val="32"/>
          <w:lang w:val="en-US" w:eastAsia="zh-CN"/>
        </w:rPr>
        <w:t>2</w:t>
      </w:r>
      <w:r>
        <w:rPr>
          <w:rFonts w:hint="eastAsia" w:asciiTheme="minorEastAsia" w:hAnsiTheme="minorEastAsia"/>
          <w:sz w:val="32"/>
          <w:szCs w:val="32"/>
        </w:rPr>
        <w:t>辆。</w:t>
      </w:r>
    </w:p>
    <w:p>
      <w:pPr>
        <w:pStyle w:val="9"/>
        <w:rPr>
          <w:rFonts w:hAnsi="黑体"/>
          <w:b/>
          <w:sz w:val="32"/>
          <w:szCs w:val="32"/>
        </w:rPr>
      </w:pPr>
      <w:r>
        <w:rPr>
          <w:rFonts w:hint="eastAsia" w:hAnsi="黑体"/>
          <w:b/>
          <w:sz w:val="32"/>
          <w:szCs w:val="32"/>
        </w:rPr>
        <w:t>八、政府性基金预算收入支出决算情况</w:t>
      </w:r>
    </w:p>
    <w:p>
      <w:pPr>
        <w:pStyle w:val="9"/>
        <w:ind w:firstLine="640" w:firstLineChars="200"/>
        <w:rPr>
          <w:rFonts w:hint="eastAsia" w:ascii="宋体" w:eastAsia="宋体"/>
          <w:b w:val="0"/>
          <w:bCs w:val="0"/>
          <w:i w:val="0"/>
          <w:iCs/>
          <w:color w:val="000000" w:themeColor="text1"/>
          <w:sz w:val="32"/>
          <w:szCs w:val="32"/>
          <w:lang w:eastAsia="zh-CN"/>
          <w14:textFill>
            <w14:solidFill>
              <w14:schemeClr w14:val="tx1"/>
            </w14:solidFill>
          </w14:textFill>
        </w:rPr>
      </w:pPr>
      <w:r>
        <w:rPr>
          <w:rFonts w:hint="eastAsia" w:asciiTheme="minorEastAsia" w:hAnsiTheme="minorEastAsia" w:eastAsiaTheme="minorEastAsia"/>
          <w:sz w:val="32"/>
          <w:szCs w:val="32"/>
        </w:rPr>
        <w:t>2021年度政府性基金预算财政拨款收入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宋体" w:eastAsia="宋体"/>
          <w:b w:val="0"/>
          <w:bCs w:val="0"/>
          <w:i w:val="0"/>
          <w:iCs/>
          <w:color w:val="000000" w:themeColor="text1"/>
          <w:sz w:val="32"/>
          <w:szCs w:val="32"/>
          <w14:textFill>
            <w14:solidFill>
              <w14:schemeClr w14:val="tx1"/>
            </w14:solidFill>
          </w14:textFill>
        </w:rPr>
        <w:t>（本单位无政府性基金收支）</w:t>
      </w:r>
      <w:r>
        <w:rPr>
          <w:rFonts w:hint="eastAsia" w:ascii="宋体" w:eastAsia="宋体"/>
          <w:b w:val="0"/>
          <w:bCs w:val="0"/>
          <w:i w:val="0"/>
          <w:iCs/>
          <w:color w:val="000000" w:themeColor="text1"/>
          <w:sz w:val="32"/>
          <w:szCs w:val="32"/>
          <w:lang w:eastAsia="zh-CN"/>
          <w14:textFill>
            <w14:solidFill>
              <w14:schemeClr w14:val="tx1"/>
            </w14:solidFill>
          </w14:textFill>
        </w:rPr>
        <w:t>。</w:t>
      </w:r>
    </w:p>
    <w:p>
      <w:pPr>
        <w:pStyle w:val="9"/>
        <w:numPr>
          <w:ilvl w:val="0"/>
          <w:numId w:val="2"/>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9"/>
        <w:ind w:firstLine="640" w:firstLineChars="200"/>
        <w:rPr>
          <w:rFonts w:hint="eastAsia" w:hAnsi="黑体" w:eastAsiaTheme="minorEastAsia"/>
          <w:b/>
          <w:i w:val="0"/>
          <w:iCs/>
          <w:color w:val="auto"/>
          <w:sz w:val="32"/>
          <w:szCs w:val="32"/>
          <w:lang w:val="en-US" w:eastAsia="zh-CN"/>
        </w:rPr>
      </w:pPr>
      <w:r>
        <w:rPr>
          <w:rFonts w:hint="eastAsia" w:asciiTheme="minorEastAsia" w:hAnsiTheme="minorEastAsia" w:eastAsiaTheme="minorEastAsia"/>
          <w:sz w:val="32"/>
          <w:szCs w:val="32"/>
        </w:rPr>
        <w:t>2021年度国有资本经营预算财政拨款</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i w:val="0"/>
          <w:iCs/>
          <w:color w:val="auto"/>
          <w:sz w:val="32"/>
          <w:szCs w:val="32"/>
        </w:rPr>
        <w:t>本单位无国有资本经营预算财政拨款支出）</w:t>
      </w:r>
      <w:r>
        <w:rPr>
          <w:rFonts w:hint="eastAsia" w:asciiTheme="minorEastAsia" w:hAnsiTheme="minorEastAsia" w:eastAsiaTheme="minorEastAsia"/>
          <w:i w:val="0"/>
          <w:iCs/>
          <w:color w:val="auto"/>
          <w:sz w:val="32"/>
          <w:szCs w:val="32"/>
          <w:lang w:eastAsia="zh-CN"/>
        </w:rPr>
        <w:t>。</w:t>
      </w:r>
    </w:p>
    <w:p>
      <w:pPr>
        <w:pStyle w:val="9"/>
        <w:rPr>
          <w:rFonts w:hAnsi="黑体"/>
          <w:b/>
          <w:sz w:val="32"/>
          <w:szCs w:val="32"/>
        </w:rPr>
      </w:pPr>
      <w:r>
        <w:rPr>
          <w:rFonts w:hint="eastAsia" w:hAnsi="黑体"/>
          <w:b/>
          <w:sz w:val="32"/>
          <w:szCs w:val="32"/>
        </w:rPr>
        <w:t>十、机关运行经费支出说明</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w:t>
      </w:r>
      <w:r>
        <w:rPr>
          <w:rFonts w:hint="eastAsia" w:asciiTheme="minorEastAsia" w:hAnsiTheme="minorEastAsia" w:eastAsiaTheme="minorEastAsia"/>
          <w:sz w:val="32"/>
          <w:szCs w:val="32"/>
          <w:lang w:val="en-US" w:eastAsia="zh-CN"/>
        </w:rPr>
        <w:t>单位</w:t>
      </w:r>
      <w:r>
        <w:rPr>
          <w:rFonts w:hint="eastAsia" w:asciiTheme="minorEastAsia" w:hAnsiTheme="minorEastAsia" w:eastAsiaTheme="minorEastAsia"/>
          <w:sz w:val="32"/>
          <w:szCs w:val="32"/>
        </w:rPr>
        <w:t>2021年度机关运行经费支出0万元，比上年决算数无增减变化。主要原因是本单位非行政单位和参照公务员法管理事业单位，部门决算报表没有机关运行经费统计数据。</w:t>
      </w:r>
    </w:p>
    <w:p>
      <w:pPr>
        <w:pStyle w:val="9"/>
        <w:rPr>
          <w:rFonts w:hAnsi="黑体"/>
          <w:b/>
          <w:sz w:val="32"/>
          <w:szCs w:val="32"/>
        </w:rPr>
      </w:pPr>
      <w:r>
        <w:rPr>
          <w:rFonts w:hint="eastAsia" w:hAnsi="黑体"/>
          <w:b/>
          <w:sz w:val="32"/>
          <w:szCs w:val="32"/>
        </w:rPr>
        <w:t>十一、一般性支出情况说明</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2021年本</w:t>
      </w:r>
      <w:r>
        <w:rPr>
          <w:rFonts w:hint="eastAsia" w:asciiTheme="minorEastAsia" w:hAnsiTheme="minorEastAsia" w:eastAsiaTheme="minorEastAsia"/>
          <w:sz w:val="32"/>
          <w:szCs w:val="32"/>
          <w:lang w:val="en-US" w:eastAsia="zh-CN"/>
        </w:rPr>
        <w:t>单位</w:t>
      </w:r>
      <w:r>
        <w:rPr>
          <w:rFonts w:hint="eastAsia" w:asciiTheme="minorEastAsia" w:hAnsiTheme="minorEastAsia" w:eastAsiaTheme="minorEastAsia"/>
          <w:sz w:val="32"/>
          <w:szCs w:val="32"/>
        </w:rPr>
        <w:t>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万元，用于召开</w:t>
      </w:r>
      <w:r>
        <w:rPr>
          <w:rFonts w:hint="eastAsia" w:asciiTheme="minorEastAsia" w:hAnsiTheme="minorEastAsia" w:eastAsiaTheme="minorEastAsia"/>
          <w:sz w:val="32"/>
          <w:szCs w:val="32"/>
          <w:lang w:val="en-US" w:eastAsia="zh-CN"/>
        </w:rPr>
        <w:t>0次</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人；开支培训费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w:t>
      </w:r>
      <w:r>
        <w:rPr>
          <w:rFonts w:hint="eastAsia" w:asciiTheme="minorEastAsia" w:hAnsiTheme="minorEastAsia" w:eastAsiaTheme="minorEastAsia"/>
          <w:sz w:val="32"/>
          <w:szCs w:val="32"/>
          <w:lang w:val="en-US" w:eastAsia="zh-CN"/>
        </w:rPr>
        <w:t>本单位2021年度未</w:t>
      </w:r>
      <w:r>
        <w:rPr>
          <w:rFonts w:hint="eastAsia" w:asciiTheme="minorEastAsia" w:hAnsiTheme="minorEastAsia" w:eastAsiaTheme="minorEastAsia"/>
          <w:sz w:val="32"/>
          <w:szCs w:val="32"/>
        </w:rPr>
        <w:t>举办节庆、晚会、论坛、赛事</w:t>
      </w:r>
      <w:r>
        <w:rPr>
          <w:rFonts w:hint="eastAsia" w:asciiTheme="minorEastAsia" w:hAnsiTheme="minorEastAsia" w:eastAsiaTheme="minorEastAsia"/>
          <w:sz w:val="32"/>
          <w:szCs w:val="32"/>
          <w:lang w:val="en-US" w:eastAsia="zh-CN"/>
        </w:rPr>
        <w:t>等</w:t>
      </w:r>
      <w:r>
        <w:rPr>
          <w:rFonts w:hint="eastAsia" w:asciiTheme="minorEastAsia" w:hAnsiTheme="minorEastAsia" w:eastAsiaTheme="minorEastAsia"/>
          <w:sz w:val="32"/>
          <w:szCs w:val="32"/>
        </w:rPr>
        <w:t>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9"/>
        <w:rPr>
          <w:rFonts w:hAnsi="黑体"/>
          <w:b/>
          <w:sz w:val="32"/>
          <w:szCs w:val="32"/>
        </w:rPr>
      </w:pPr>
      <w:r>
        <w:rPr>
          <w:rFonts w:hint="eastAsia" w:hAnsi="黑体"/>
          <w:b/>
          <w:sz w:val="32"/>
          <w:szCs w:val="32"/>
        </w:rPr>
        <w:t>十二、政府采购支出说明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w:t>
      </w:r>
      <w:r>
        <w:rPr>
          <w:rFonts w:hint="eastAsia" w:asciiTheme="minorEastAsia" w:hAnsiTheme="minorEastAsia" w:eastAsiaTheme="minorEastAsia"/>
          <w:sz w:val="32"/>
          <w:szCs w:val="32"/>
          <w:lang w:val="en-US" w:eastAsia="zh-CN"/>
        </w:rPr>
        <w:t>单位</w:t>
      </w:r>
      <w:r>
        <w:rPr>
          <w:rFonts w:hint="eastAsia" w:asciiTheme="minorEastAsia" w:hAnsiTheme="minorEastAsia" w:eastAsiaTheme="minorEastAsia"/>
          <w:sz w:val="32"/>
          <w:szCs w:val="32"/>
        </w:rPr>
        <w:t>2021年度政府采购支出总额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numPr>
          <w:ilvl w:val="0"/>
          <w:numId w:val="3"/>
        </w:numPr>
        <w:rPr>
          <w:rFonts w:hint="eastAsia" w:hAnsi="黑体"/>
          <w:b/>
          <w:sz w:val="32"/>
          <w:szCs w:val="32"/>
        </w:rPr>
      </w:pPr>
      <w:r>
        <w:rPr>
          <w:rFonts w:hint="eastAsia" w:hAnsi="黑体"/>
          <w:b/>
          <w:sz w:val="32"/>
          <w:szCs w:val="32"/>
        </w:rPr>
        <w:t>国有资产占用情况说明</w:t>
      </w:r>
    </w:p>
    <w:p>
      <w:pPr>
        <w:pStyle w:val="9"/>
        <w:ind w:firstLine="640" w:firstLineChars="200"/>
        <w:rPr>
          <w:rFonts w:hint="eastAsia" w:asciiTheme="minorEastAsia" w:hAnsiTheme="minorEastAsia" w:eastAsiaTheme="minorEastAsia"/>
          <w:sz w:val="32"/>
          <w:szCs w:val="32"/>
        </w:rPr>
      </w:pPr>
      <w:r>
        <w:rPr>
          <w:rFonts w:hint="eastAsia" w:hAnsi="黑体"/>
          <w:b/>
          <w:sz w:val="32"/>
          <w:szCs w:val="32"/>
          <w:lang w:val="en-US" w:eastAsia="zh-CN"/>
        </w:rPr>
        <w:t xml:space="preserve"> </w:t>
      </w:r>
      <w:r>
        <w:rPr>
          <w:rFonts w:hint="eastAsia" w:asciiTheme="minorEastAsia" w:hAnsiTheme="minorEastAsia" w:eastAsiaTheme="minorEastAsia"/>
          <w:sz w:val="32"/>
          <w:szCs w:val="32"/>
        </w:rPr>
        <w:t>截至2021年12月31日，部门（单位）共有车辆</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宋体" w:hAnsi="Times New Roman" w:eastAsia="宋体"/>
          <w:sz w:val="32"/>
        </w:rPr>
        <w:t>主要是用于机要通信和应急保障之外公务用途的车辆</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台（套）。</w:t>
      </w:r>
    </w:p>
    <w:p>
      <w:pPr>
        <w:pStyle w:val="9"/>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both"/>
        <w:rPr>
          <w:rFonts w:ascii="宋体" w:hAnsi="宋体" w:cs="黑体"/>
          <w:color w:val="000000"/>
          <w:kern w:val="0"/>
          <w:sz w:val="32"/>
          <w:szCs w:val="32"/>
        </w:rPr>
      </w:pPr>
      <w:r>
        <w:rPr>
          <w:rFonts w:hint="eastAsia" w:ascii="宋体" w:hAnsi="宋体" w:cs="黑体"/>
          <w:b/>
          <w:color w:val="000000"/>
          <w:kern w:val="0"/>
          <w:sz w:val="32"/>
          <w:szCs w:val="32"/>
        </w:rPr>
        <w:t>（1）绩效管理评价工作开展情况</w:t>
      </w:r>
      <w:r>
        <w:rPr>
          <w:rFonts w:hint="eastAsia" w:ascii="宋体" w:hAnsi="宋体" w:cs="黑体"/>
          <w:color w:val="000000"/>
          <w:kern w:val="0"/>
          <w:sz w:val="32"/>
          <w:szCs w:val="32"/>
        </w:rPr>
        <w:t>。</w:t>
      </w:r>
    </w:p>
    <w:p>
      <w:pPr>
        <w:autoSpaceDE w:val="0"/>
        <w:autoSpaceDN w:val="0"/>
        <w:adjustRightInd w:val="0"/>
        <w:ind w:firstLine="640" w:firstLineChars="200"/>
        <w:jc w:val="both"/>
        <w:rPr>
          <w:rFonts w:ascii="宋体" w:hAnsi="宋体" w:cs="黑体"/>
          <w:color w:val="000000"/>
          <w:kern w:val="0"/>
          <w:sz w:val="32"/>
          <w:szCs w:val="32"/>
        </w:rPr>
      </w:pPr>
      <w:r>
        <w:rPr>
          <w:rFonts w:hint="eastAsia" w:ascii="宋体" w:hAnsi="宋体" w:cs="黑体"/>
          <w:color w:val="000000"/>
          <w:kern w:val="0"/>
          <w:sz w:val="32"/>
          <w:szCs w:val="32"/>
        </w:rPr>
        <w:t>根据预算绩效管理要求，我</w:t>
      </w:r>
      <w:r>
        <w:rPr>
          <w:rFonts w:hint="eastAsia" w:ascii="宋体" w:hAnsi="宋体" w:cs="黑体"/>
          <w:color w:val="000000"/>
          <w:kern w:val="0"/>
          <w:sz w:val="32"/>
          <w:szCs w:val="32"/>
          <w:lang w:val="en-US" w:eastAsia="zh-CN"/>
        </w:rPr>
        <w:t>部门</w:t>
      </w:r>
      <w:r>
        <w:rPr>
          <w:rFonts w:hint="eastAsia" w:ascii="宋体" w:hAnsi="宋体" w:cs="黑体"/>
          <w:color w:val="000000"/>
          <w:kern w:val="0"/>
          <w:sz w:val="32"/>
          <w:szCs w:val="32"/>
        </w:rPr>
        <w:t>组织对</w:t>
      </w:r>
      <w:r>
        <w:rPr>
          <w:rFonts w:ascii="宋体" w:hAnsi="宋体" w:cs="黑体"/>
          <w:color w:val="000000"/>
          <w:kern w:val="0"/>
          <w:sz w:val="32"/>
          <w:szCs w:val="32"/>
        </w:rPr>
        <w:t xml:space="preserve">2021 </w:t>
      </w:r>
      <w:r>
        <w:rPr>
          <w:rFonts w:hint="eastAsia" w:ascii="宋体" w:hAnsi="宋体" w:cs="黑体"/>
          <w:color w:val="000000"/>
          <w:kern w:val="0"/>
          <w:sz w:val="32"/>
          <w:szCs w:val="32"/>
        </w:rPr>
        <w:t>年度一般公共预算项目支出全面开展绩效自评，共涉及资金</w:t>
      </w:r>
      <w:r>
        <w:rPr>
          <w:rFonts w:hint="eastAsia" w:ascii="宋体" w:hAnsi="宋体" w:cs="黑体"/>
          <w:color w:val="000000"/>
          <w:kern w:val="0"/>
          <w:sz w:val="32"/>
          <w:szCs w:val="32"/>
          <w:lang w:val="en-US" w:eastAsia="zh-CN"/>
        </w:rPr>
        <w:t>196.98</w:t>
      </w:r>
      <w:r>
        <w:rPr>
          <w:rFonts w:ascii="宋体" w:hAnsi="宋体" w:cs="黑体"/>
          <w:color w:val="000000"/>
          <w:kern w:val="0"/>
          <w:sz w:val="32"/>
          <w:szCs w:val="32"/>
        </w:rPr>
        <w:t xml:space="preserve"> </w:t>
      </w:r>
      <w:r>
        <w:rPr>
          <w:rFonts w:hint="eastAsia" w:ascii="宋体" w:hAnsi="宋体" w:cs="黑体"/>
          <w:color w:val="000000"/>
          <w:kern w:val="0"/>
          <w:sz w:val="32"/>
          <w:szCs w:val="32"/>
        </w:rPr>
        <w:t>万元，占一般公共预算项目支出总额的</w:t>
      </w:r>
      <w:r>
        <w:rPr>
          <w:rFonts w:hint="eastAsia" w:ascii="宋体" w:hAnsi="宋体" w:cs="黑体"/>
          <w:color w:val="000000"/>
          <w:kern w:val="0"/>
          <w:sz w:val="32"/>
          <w:szCs w:val="32"/>
          <w:lang w:val="en-US" w:eastAsia="zh-CN"/>
        </w:rPr>
        <w:t>84.55</w:t>
      </w:r>
      <w:r>
        <w:rPr>
          <w:rFonts w:ascii="宋体" w:hAnsi="宋体" w:cs="黑体"/>
          <w:color w:val="000000"/>
          <w:kern w:val="0"/>
          <w:sz w:val="32"/>
          <w:szCs w:val="32"/>
        </w:rPr>
        <w:t>%</w:t>
      </w:r>
      <w:r>
        <w:rPr>
          <w:rFonts w:hint="eastAsia" w:ascii="宋体" w:hAnsi="宋体" w:cs="黑体"/>
          <w:color w:val="000000"/>
          <w:kern w:val="0"/>
          <w:sz w:val="32"/>
          <w:szCs w:val="32"/>
        </w:rPr>
        <w:t>。组织对</w:t>
      </w:r>
      <w:r>
        <w:rPr>
          <w:rFonts w:ascii="宋体" w:hAnsi="宋体" w:cs="黑体"/>
          <w:color w:val="000000"/>
          <w:kern w:val="0"/>
          <w:sz w:val="32"/>
          <w:szCs w:val="32"/>
        </w:rPr>
        <w:t>2021</w:t>
      </w:r>
      <w:r>
        <w:rPr>
          <w:rFonts w:hint="eastAsia" w:ascii="宋体" w:hAnsi="宋体" w:cs="黑体"/>
          <w:color w:val="000000"/>
          <w:kern w:val="0"/>
          <w:sz w:val="32"/>
          <w:szCs w:val="32"/>
        </w:rPr>
        <w:t>年度</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个政府性基金预算项目支出开展绩效自评，共涉及资金</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我单位无</w:t>
      </w:r>
      <w:r>
        <w:rPr>
          <w:rFonts w:hint="eastAsia" w:ascii="宋体" w:hAnsi="宋体" w:cs="黑体"/>
          <w:color w:val="000000"/>
          <w:kern w:val="0"/>
          <w:sz w:val="32"/>
          <w:szCs w:val="32"/>
        </w:rPr>
        <w:t>政府性基金预算项目支出</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rPr>
        <w:t>。组织对</w:t>
      </w:r>
      <w:r>
        <w:rPr>
          <w:rFonts w:ascii="宋体" w:hAnsi="宋体" w:cs="黑体"/>
          <w:color w:val="000000"/>
          <w:kern w:val="0"/>
          <w:sz w:val="32"/>
          <w:szCs w:val="32"/>
        </w:rPr>
        <w:t xml:space="preserve">2021 </w:t>
      </w:r>
      <w:r>
        <w:rPr>
          <w:rFonts w:hint="eastAsia" w:ascii="宋体" w:hAnsi="宋体" w:cs="黑体"/>
          <w:color w:val="000000"/>
          <w:kern w:val="0"/>
          <w:sz w:val="32"/>
          <w:szCs w:val="32"/>
        </w:rPr>
        <w:t>年度</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个国有资本经营预算项目支出开展绩效自评，共涉及资金</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我单位无</w:t>
      </w:r>
      <w:r>
        <w:rPr>
          <w:rFonts w:hint="eastAsia" w:ascii="宋体" w:hAnsi="宋体" w:cs="黑体"/>
          <w:color w:val="000000"/>
          <w:kern w:val="0"/>
          <w:sz w:val="32"/>
          <w:szCs w:val="32"/>
        </w:rPr>
        <w:t>国有资本经营预算项目支出</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rPr>
        <w:t>。</w:t>
      </w:r>
    </w:p>
    <w:p>
      <w:pPr>
        <w:autoSpaceDE w:val="0"/>
        <w:autoSpaceDN w:val="0"/>
        <w:adjustRightInd w:val="0"/>
        <w:ind w:firstLine="640" w:firstLineChars="200"/>
        <w:jc w:val="both"/>
        <w:rPr>
          <w:rFonts w:ascii="宋体" w:hAnsi="宋体" w:cs="黑体"/>
          <w:color w:val="000000"/>
          <w:kern w:val="0"/>
          <w:sz w:val="32"/>
          <w:szCs w:val="32"/>
        </w:rPr>
      </w:pPr>
      <w:r>
        <w:rPr>
          <w:rFonts w:hint="eastAsia" w:ascii="宋体" w:hAnsi="宋体" w:cs="黑体"/>
          <w:color w:val="000000"/>
          <w:kern w:val="0"/>
          <w:sz w:val="32"/>
          <w:szCs w:val="32"/>
        </w:rPr>
        <w:t>组织对</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专项检测检验费</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桃花源污水处理站运行经费</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2</w:t>
      </w:r>
      <w:r>
        <w:rPr>
          <w:rFonts w:hint="eastAsia" w:ascii="宋体" w:hAnsi="宋体" w:cs="黑体"/>
          <w:color w:val="000000"/>
          <w:kern w:val="0"/>
          <w:sz w:val="32"/>
          <w:szCs w:val="32"/>
        </w:rPr>
        <w:t>个项目开展了部门评价，涉及一般公共预算支出</w:t>
      </w:r>
      <w:r>
        <w:rPr>
          <w:rFonts w:hint="eastAsia" w:ascii="宋体" w:hAnsi="宋体" w:cs="黑体"/>
          <w:color w:val="000000"/>
          <w:kern w:val="0"/>
          <w:sz w:val="32"/>
          <w:szCs w:val="32"/>
          <w:lang w:val="en-US" w:eastAsia="zh-CN"/>
        </w:rPr>
        <w:t>50.82</w:t>
      </w:r>
      <w:r>
        <w:rPr>
          <w:rFonts w:hint="eastAsia" w:ascii="宋体" w:hAnsi="宋体" w:cs="黑体"/>
          <w:color w:val="000000"/>
          <w:kern w:val="0"/>
          <w:sz w:val="32"/>
          <w:szCs w:val="32"/>
        </w:rPr>
        <w:t>万元，政府性基金预算支出</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万元，国有资本经营预算支出</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万元。从评价情况来看，</w:t>
      </w:r>
      <w:r>
        <w:rPr>
          <w:rFonts w:hint="eastAsia" w:ascii="宋体" w:hAnsi="宋体" w:cs="黑体"/>
          <w:color w:val="000000"/>
          <w:kern w:val="0"/>
          <w:sz w:val="32"/>
          <w:szCs w:val="32"/>
          <w:lang w:val="en-US" w:eastAsia="zh-CN"/>
        </w:rPr>
        <w:t>专项资金能有效使用，并达到年初预期绩效目标，保证项目正常运转</w:t>
      </w:r>
      <w:r>
        <w:rPr>
          <w:rFonts w:hint="eastAsia" w:ascii="宋体" w:hAnsi="宋体" w:cs="黑体"/>
          <w:color w:val="000000"/>
          <w:kern w:val="0"/>
          <w:sz w:val="32"/>
          <w:szCs w:val="32"/>
        </w:rPr>
        <w:t>。</w:t>
      </w:r>
    </w:p>
    <w:p>
      <w:pPr>
        <w:autoSpaceDE w:val="0"/>
        <w:autoSpaceDN w:val="0"/>
        <w:adjustRightInd w:val="0"/>
        <w:ind w:firstLine="640" w:firstLineChars="200"/>
        <w:jc w:val="both"/>
        <w:rPr>
          <w:rFonts w:ascii="宋体" w:hAnsi="宋体" w:cs="黑体"/>
          <w:b/>
          <w:color w:val="000000"/>
          <w:kern w:val="0"/>
          <w:sz w:val="32"/>
          <w:szCs w:val="32"/>
        </w:rPr>
      </w:pPr>
      <w:r>
        <w:rPr>
          <w:rFonts w:hint="eastAsia" w:ascii="宋体" w:hAnsi="宋体" w:cs="黑体"/>
          <w:b/>
          <w:color w:val="000000"/>
          <w:kern w:val="0"/>
          <w:sz w:val="32"/>
          <w:szCs w:val="32"/>
        </w:rPr>
        <w:t>（2）部门决算中项目绩效自评结果。</w:t>
      </w:r>
    </w:p>
    <w:p>
      <w:pPr>
        <w:autoSpaceDE w:val="0"/>
        <w:autoSpaceDN w:val="0"/>
        <w:adjustRightInd w:val="0"/>
        <w:ind w:firstLine="640" w:firstLineChars="200"/>
        <w:jc w:val="both"/>
        <w:rPr>
          <w:rFonts w:hint="default" w:ascii="宋体" w:hAnsi="宋体" w:eastAsia="宋体" w:cs="黑体"/>
          <w:color w:val="000000"/>
          <w:kern w:val="0"/>
          <w:sz w:val="32"/>
          <w:szCs w:val="32"/>
          <w:lang w:val="en-US" w:eastAsia="zh-CN"/>
        </w:rPr>
      </w:pPr>
      <w:r>
        <w:rPr>
          <w:rFonts w:hint="eastAsia" w:ascii="宋体" w:hAnsi="宋体" w:cs="黑体"/>
          <w:color w:val="000000"/>
          <w:kern w:val="0"/>
          <w:sz w:val="32"/>
          <w:szCs w:val="32"/>
          <w:lang w:val="en-US" w:eastAsia="zh-CN"/>
        </w:rPr>
        <w:t>专项检测检验费</w:t>
      </w:r>
      <w:r>
        <w:rPr>
          <w:rFonts w:hint="eastAsia" w:ascii="宋体" w:hAnsi="宋体" w:cs="黑体"/>
          <w:color w:val="000000"/>
          <w:kern w:val="0"/>
          <w:sz w:val="32"/>
          <w:szCs w:val="32"/>
        </w:rPr>
        <w:t>项目绩效自评综述：根据年初设定的绩效目标，项目绩效自评得分为</w:t>
      </w:r>
      <w:r>
        <w:rPr>
          <w:rFonts w:hint="eastAsia" w:ascii="宋体" w:hAnsi="宋体" w:cs="黑体"/>
          <w:color w:val="000000"/>
          <w:kern w:val="0"/>
          <w:sz w:val="32"/>
          <w:szCs w:val="32"/>
          <w:lang w:val="en-US" w:eastAsia="zh-CN"/>
        </w:rPr>
        <w:t>100</w:t>
      </w:r>
      <w:r>
        <w:rPr>
          <w:rFonts w:hint="eastAsia" w:ascii="宋体" w:hAnsi="宋体" w:cs="黑体"/>
          <w:color w:val="000000"/>
          <w:kern w:val="0"/>
          <w:sz w:val="32"/>
          <w:szCs w:val="32"/>
        </w:rPr>
        <w:t>分。项目全年</w:t>
      </w:r>
      <w:r>
        <w:rPr>
          <w:rFonts w:hint="eastAsia" w:ascii="宋体" w:hAnsi="宋体" w:cs="黑体"/>
          <w:color w:val="000000"/>
          <w:kern w:val="0"/>
          <w:sz w:val="32"/>
          <w:szCs w:val="32"/>
          <w:lang w:val="en-US" w:eastAsia="zh-CN"/>
        </w:rPr>
        <w:t>计划资金30万元，实际到位资金</w:t>
      </w:r>
      <w:r>
        <w:rPr>
          <w:rFonts w:hint="eastAsia" w:ascii="宋体" w:hAnsi="宋体" w:cs="黑体"/>
          <w:color w:val="000000"/>
          <w:kern w:val="0"/>
          <w:sz w:val="32"/>
          <w:szCs w:val="32"/>
        </w:rPr>
        <w:t>为</w:t>
      </w:r>
      <w:r>
        <w:rPr>
          <w:rFonts w:hint="eastAsia" w:ascii="宋体" w:hAnsi="宋体" w:cs="黑体"/>
          <w:color w:val="000000"/>
          <w:kern w:val="0"/>
          <w:sz w:val="32"/>
          <w:szCs w:val="32"/>
          <w:lang w:val="en-US" w:eastAsia="zh-CN"/>
        </w:rPr>
        <w:t>26.21</w:t>
      </w:r>
      <w:r>
        <w:rPr>
          <w:rFonts w:hint="eastAsia" w:ascii="宋体" w:hAnsi="宋体" w:cs="黑体"/>
          <w:color w:val="000000"/>
          <w:kern w:val="0"/>
          <w:sz w:val="32"/>
          <w:szCs w:val="32"/>
        </w:rPr>
        <w:t>万元，执行数为</w:t>
      </w:r>
      <w:r>
        <w:rPr>
          <w:rFonts w:hint="eastAsia" w:ascii="宋体" w:hAnsi="宋体" w:cs="黑体"/>
          <w:color w:val="000000"/>
          <w:kern w:val="0"/>
          <w:sz w:val="32"/>
          <w:szCs w:val="32"/>
          <w:lang w:val="en-US" w:eastAsia="zh-CN"/>
        </w:rPr>
        <w:t>26.21</w:t>
      </w:r>
      <w:r>
        <w:rPr>
          <w:rFonts w:hint="eastAsia" w:ascii="宋体" w:hAnsi="宋体" w:cs="黑体"/>
          <w:color w:val="000000"/>
          <w:kern w:val="0"/>
          <w:sz w:val="32"/>
          <w:szCs w:val="32"/>
        </w:rPr>
        <w:t>万元，</w:t>
      </w:r>
      <w:r>
        <w:rPr>
          <w:rFonts w:hint="eastAsia" w:ascii="宋体" w:hAnsi="宋体" w:cs="黑体"/>
          <w:color w:val="000000"/>
          <w:kern w:val="0"/>
          <w:sz w:val="32"/>
          <w:szCs w:val="32"/>
          <w:lang w:val="en-US" w:eastAsia="zh-CN"/>
        </w:rPr>
        <w:t>执行完成率100</w:t>
      </w:r>
      <w:r>
        <w:rPr>
          <w:rFonts w:ascii="宋体" w:hAnsi="宋体" w:cs="黑体"/>
          <w:color w:val="000000"/>
          <w:kern w:val="0"/>
          <w:sz w:val="32"/>
          <w:szCs w:val="32"/>
        </w:rPr>
        <w:t>%</w:t>
      </w:r>
      <w:r>
        <w:rPr>
          <w:rFonts w:hint="eastAsia" w:ascii="宋体" w:hAnsi="宋体" w:cs="黑体"/>
          <w:color w:val="000000"/>
          <w:kern w:val="0"/>
          <w:sz w:val="32"/>
          <w:szCs w:val="32"/>
        </w:rPr>
        <w:t>。项目绩效目标完成情况：每月不定期对中心城区投入运行的7家污水处理厂进水、出水及污泥进行抽样监测，2021年共计抽样监测108个批次，累计出具检测报告296份。严格要求各污水处理厂按照《城镇污水处理厂运行技术规范》做好化验室的基础建设、日常化验检测工作，以及各项化验检测数据的规范填写与上报工作，确保污水处理厂的正常生产及稳定运行，对不符合运行规范的污水厂进行了通报或通知整改，全年累计下发1份通报和4份整改通知。我中心于5月14日集中组织中心城区各污水处理厂化验员开展了粪大肠菌群检测方法的专题培训，取得了良好的培训效果。另外，依据生态环境监测机构的要求，更新了实验室的质量管理体系，向湖南省市场监督管理局申请了实验室计量认证资质复评审，12月20日顺利通过了专家组资质认定复查评审工作，为确保顺利取得实验室计量认证资质打下了良好的基础。发现的主要问题及原因：是项目中执行过程中不确定因素较多，因而造成预算编制数和实际执行数存在一定的差异。下一步改进措施：一是提高思想认识。增强科室人员对绩效考核的重视度；二是建立良好的沟通和反馈机制。建</w:t>
      </w:r>
      <w:bookmarkStart w:id="0" w:name="_GoBack"/>
      <w:bookmarkEnd w:id="0"/>
      <w:r>
        <w:rPr>
          <w:rFonts w:hint="eastAsia" w:ascii="宋体" w:hAnsi="宋体" w:cs="黑体"/>
          <w:color w:val="000000"/>
          <w:kern w:val="0"/>
          <w:sz w:val="32"/>
          <w:szCs w:val="32"/>
        </w:rPr>
        <w:t>立健全规范的制度保障系统，可以使各类信息能上传下达，相互协调，提高工作效率和效能，增强各污水厂水质检测部门的交流，了解各污水厂水质检测部门的基本情况与其相关需求，促进各污水厂水质检测部门检测水平的提高；三是加强单位预算的绩效评价。建立财政支出预算绩效考评制度是加强预算管理、提高财政资金使用效益的重要制度保障，结合本单位的实际将绩效考评结果作为预算安排的依据，要不断完善绩效考评办法，提高财政资金使用的规范性、安全性和有效性。</w:t>
      </w:r>
    </w:p>
    <w:p>
      <w:pPr>
        <w:autoSpaceDE w:val="0"/>
        <w:autoSpaceDN w:val="0"/>
        <w:adjustRightInd w:val="0"/>
        <w:ind w:firstLine="640" w:firstLineChars="200"/>
        <w:jc w:val="both"/>
        <w:rPr>
          <w:rFonts w:hint="eastAsia" w:ascii="宋体" w:hAnsi="宋体" w:cs="黑体"/>
          <w:color w:val="000000"/>
          <w:kern w:val="0"/>
          <w:sz w:val="32"/>
          <w:szCs w:val="32"/>
        </w:rPr>
      </w:pPr>
      <w:r>
        <w:rPr>
          <w:rFonts w:hint="eastAsia" w:ascii="宋体" w:hAnsi="宋体" w:cs="黑体"/>
          <w:color w:val="000000"/>
          <w:kern w:val="0"/>
          <w:sz w:val="32"/>
          <w:szCs w:val="32"/>
          <w:lang w:val="en-US" w:eastAsia="zh-CN"/>
        </w:rPr>
        <w:t>桃花源污水处理站运行经费</w:t>
      </w:r>
      <w:r>
        <w:rPr>
          <w:rFonts w:hint="eastAsia" w:ascii="宋体" w:hAnsi="宋体" w:cs="黑体"/>
          <w:color w:val="000000"/>
          <w:kern w:val="0"/>
          <w:sz w:val="32"/>
          <w:szCs w:val="32"/>
        </w:rPr>
        <w:t>项目绩效自评综述：根据年初设定的绩效目标，项目绩效自评得分为</w:t>
      </w:r>
      <w:r>
        <w:rPr>
          <w:rFonts w:hint="eastAsia" w:ascii="宋体" w:hAnsi="宋体" w:cs="黑体"/>
          <w:color w:val="000000"/>
          <w:kern w:val="0"/>
          <w:sz w:val="32"/>
          <w:szCs w:val="32"/>
          <w:lang w:val="en-US" w:eastAsia="zh-CN"/>
        </w:rPr>
        <w:t>98</w:t>
      </w:r>
      <w:r>
        <w:rPr>
          <w:rFonts w:hint="eastAsia" w:ascii="宋体" w:hAnsi="宋体" w:cs="黑体"/>
          <w:color w:val="000000"/>
          <w:kern w:val="0"/>
          <w:sz w:val="32"/>
          <w:szCs w:val="32"/>
        </w:rPr>
        <w:t>分。项目全年</w:t>
      </w:r>
      <w:r>
        <w:rPr>
          <w:rFonts w:hint="eastAsia" w:ascii="宋体" w:hAnsi="宋体" w:cs="黑体"/>
          <w:color w:val="000000"/>
          <w:kern w:val="0"/>
          <w:sz w:val="32"/>
          <w:szCs w:val="32"/>
          <w:lang w:val="en-US" w:eastAsia="zh-CN"/>
        </w:rPr>
        <w:t>计划资金50万元，实际到位资金</w:t>
      </w:r>
      <w:r>
        <w:rPr>
          <w:rFonts w:hint="eastAsia" w:ascii="宋体" w:hAnsi="宋体" w:cs="黑体"/>
          <w:color w:val="000000"/>
          <w:kern w:val="0"/>
          <w:sz w:val="32"/>
          <w:szCs w:val="32"/>
        </w:rPr>
        <w:t>为</w:t>
      </w:r>
      <w:r>
        <w:rPr>
          <w:rFonts w:hint="eastAsia" w:ascii="宋体" w:hAnsi="宋体" w:cs="黑体"/>
          <w:color w:val="000000"/>
          <w:kern w:val="0"/>
          <w:sz w:val="32"/>
          <w:szCs w:val="32"/>
          <w:lang w:val="en-US" w:eastAsia="zh-CN"/>
        </w:rPr>
        <w:t>24.61</w:t>
      </w:r>
      <w:r>
        <w:rPr>
          <w:rFonts w:hint="eastAsia" w:ascii="宋体" w:hAnsi="宋体" w:cs="黑体"/>
          <w:color w:val="000000"/>
          <w:kern w:val="0"/>
          <w:sz w:val="32"/>
          <w:szCs w:val="32"/>
        </w:rPr>
        <w:t>万元，执行数为</w:t>
      </w:r>
      <w:r>
        <w:rPr>
          <w:rFonts w:hint="eastAsia" w:ascii="宋体" w:hAnsi="宋体" w:cs="黑体"/>
          <w:color w:val="000000"/>
          <w:kern w:val="0"/>
          <w:sz w:val="32"/>
          <w:szCs w:val="32"/>
          <w:lang w:val="en-US" w:eastAsia="zh-CN"/>
        </w:rPr>
        <w:t>24.61</w:t>
      </w:r>
      <w:r>
        <w:rPr>
          <w:rFonts w:hint="eastAsia" w:ascii="宋体" w:hAnsi="宋体" w:cs="黑体"/>
          <w:color w:val="000000"/>
          <w:kern w:val="0"/>
          <w:sz w:val="32"/>
          <w:szCs w:val="32"/>
        </w:rPr>
        <w:t>万元，</w:t>
      </w:r>
      <w:r>
        <w:rPr>
          <w:rFonts w:hint="eastAsia" w:ascii="宋体" w:hAnsi="宋体" w:cs="黑体"/>
          <w:color w:val="000000"/>
          <w:kern w:val="0"/>
          <w:sz w:val="32"/>
          <w:szCs w:val="32"/>
          <w:lang w:val="en-US" w:eastAsia="zh-CN"/>
        </w:rPr>
        <w:t>执行完成率100</w:t>
      </w:r>
      <w:r>
        <w:rPr>
          <w:rFonts w:ascii="宋体" w:hAnsi="宋体" w:cs="黑体"/>
          <w:color w:val="000000"/>
          <w:kern w:val="0"/>
          <w:sz w:val="32"/>
          <w:szCs w:val="32"/>
        </w:rPr>
        <w:t>%</w:t>
      </w:r>
      <w:r>
        <w:rPr>
          <w:rFonts w:hint="eastAsia" w:ascii="宋体" w:hAnsi="宋体" w:cs="黑体"/>
          <w:color w:val="000000"/>
          <w:kern w:val="0"/>
          <w:sz w:val="32"/>
          <w:szCs w:val="32"/>
        </w:rPr>
        <w:t>。项目绩效目标完成情况：确保了桃花源污水初处理站的正常运行及维护，有效处理片区内生活污水，全年实施无害化处置，水质达标排放，避免了生活污水直接流入南湖水域，未造成二次污染。发现的主要问题及原因：</w:t>
      </w:r>
      <w:r>
        <w:rPr>
          <w:rFonts w:hint="eastAsia" w:ascii="宋体" w:hAnsi="宋体" w:cs="黑体"/>
          <w:color w:val="000000"/>
          <w:kern w:val="0"/>
          <w:sz w:val="32"/>
          <w:szCs w:val="32"/>
          <w:lang w:val="en-US" w:eastAsia="zh-CN"/>
        </w:rPr>
        <w:t>一是年初制定资金使用计划还不够详尽，资金有效使用率不高；二是项目中执行过程中不确定因素较多，因而造成预算编制数和实际执行数存在差异</w:t>
      </w:r>
      <w:r>
        <w:rPr>
          <w:rFonts w:hint="eastAsia" w:ascii="宋体" w:hAnsi="宋体" w:cs="黑体"/>
          <w:color w:val="000000"/>
          <w:kern w:val="0"/>
          <w:sz w:val="32"/>
          <w:szCs w:val="32"/>
        </w:rPr>
        <w:t>。下一步改进措施：</w:t>
      </w:r>
      <w:r>
        <w:rPr>
          <w:rFonts w:hint="eastAsia" w:ascii="宋体" w:hAnsi="宋体" w:cs="黑体"/>
          <w:color w:val="000000"/>
          <w:kern w:val="0"/>
          <w:sz w:val="32"/>
          <w:szCs w:val="32"/>
          <w:lang w:val="en-US" w:eastAsia="zh-CN"/>
        </w:rPr>
        <w:t>一是</w:t>
      </w:r>
      <w:r>
        <w:rPr>
          <w:rFonts w:hint="eastAsia" w:ascii="宋体" w:hAnsi="宋体" w:cs="黑体"/>
          <w:color w:val="000000"/>
          <w:kern w:val="0"/>
          <w:sz w:val="32"/>
          <w:szCs w:val="32"/>
        </w:rPr>
        <w:t>提高思想认识。增强科室人员对绩效考核的重视度</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二是</w:t>
      </w:r>
      <w:r>
        <w:rPr>
          <w:rFonts w:hint="eastAsia" w:ascii="宋体" w:hAnsi="宋体" w:cs="黑体"/>
          <w:color w:val="000000"/>
          <w:kern w:val="0"/>
          <w:sz w:val="32"/>
          <w:szCs w:val="32"/>
        </w:rPr>
        <w:t>建立良好的沟通和反馈机制。建立健全规范的制度保障系统，可以使各类信息能上传下达，相互协调，提高工作效率和效能，增强各科室之间的沟通，了解各科室的基本情况与其相关需求</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三是</w:t>
      </w:r>
      <w:r>
        <w:rPr>
          <w:rFonts w:hint="eastAsia" w:ascii="宋体" w:hAnsi="宋体" w:cs="黑体"/>
          <w:color w:val="000000"/>
          <w:kern w:val="0"/>
          <w:sz w:val="32"/>
          <w:szCs w:val="32"/>
        </w:rPr>
        <w:t>加强单位预算的绩效评价。建立财政支出预算绩效考评制度是加强预算管理、提高财政资金使用效益的重要制度保障，结合本单位的实际将绩效考评结果作为预算安排的依据，要不断完善绩效考评办法，提高财政资金使用的规范性、安全性和有效性。</w:t>
      </w:r>
    </w:p>
    <w:p>
      <w:pPr>
        <w:autoSpaceDE w:val="0"/>
        <w:autoSpaceDN w:val="0"/>
        <w:adjustRightInd w:val="0"/>
        <w:jc w:val="both"/>
        <w:rPr>
          <w:rFonts w:ascii="宋体" w:hAnsi="宋体" w:cs="黑体"/>
          <w:color w:val="000000"/>
          <w:kern w:val="0"/>
          <w:sz w:val="32"/>
          <w:szCs w:val="32"/>
        </w:rPr>
      </w:pPr>
      <w:r>
        <w:rPr>
          <w:rFonts w:hint="eastAsia" w:ascii="宋体" w:hAnsi="宋体" w:cs="黑体"/>
          <w:color w:val="000000"/>
          <w:kern w:val="0"/>
          <w:sz w:val="32"/>
          <w:szCs w:val="32"/>
          <w:lang w:val="en-US" w:eastAsia="zh-CN"/>
        </w:rPr>
        <w:t xml:space="preserve">    </w:t>
      </w:r>
      <w:r>
        <w:rPr>
          <w:rFonts w:hint="eastAsia" w:ascii="宋体" w:hAnsi="宋体" w:cs="黑体"/>
          <w:b/>
          <w:color w:val="000000"/>
          <w:kern w:val="0"/>
          <w:sz w:val="32"/>
          <w:szCs w:val="32"/>
        </w:rPr>
        <w:t>（</w:t>
      </w:r>
      <w:r>
        <w:rPr>
          <w:rFonts w:ascii="宋体" w:hAnsi="宋体" w:cs="黑体"/>
          <w:b/>
          <w:color w:val="000000"/>
          <w:kern w:val="0"/>
          <w:sz w:val="32"/>
          <w:szCs w:val="32"/>
        </w:rPr>
        <w:t>3</w:t>
      </w:r>
      <w:r>
        <w:rPr>
          <w:rFonts w:hint="eastAsia" w:ascii="宋体" w:hAnsi="宋体" w:cs="黑体"/>
          <w:b/>
          <w:color w:val="000000"/>
          <w:kern w:val="0"/>
          <w:sz w:val="32"/>
          <w:szCs w:val="32"/>
        </w:rPr>
        <w:t>）部门评价项目绩效评价结果。</w:t>
      </w:r>
    </w:p>
    <w:p>
      <w:pPr>
        <w:ind w:firstLine="640" w:firstLineChars="200"/>
        <w:jc w:val="both"/>
        <w:rPr>
          <w:sz w:val="72"/>
          <w:szCs w:val="72"/>
        </w:rPr>
      </w:pPr>
      <w:r>
        <w:rPr>
          <w:rFonts w:hint="eastAsia"/>
          <w:sz w:val="32"/>
          <w:szCs w:val="32"/>
        </w:rPr>
        <w:t>绩效管理工作开展顺利，部门决算中项目绩效自评结果为</w:t>
      </w:r>
      <w:r>
        <w:rPr>
          <w:rFonts w:hint="eastAsia"/>
          <w:sz w:val="32"/>
          <w:szCs w:val="32"/>
          <w:lang w:val="en-US" w:eastAsia="zh-CN"/>
        </w:rPr>
        <w:t>优</w:t>
      </w:r>
      <w:r>
        <w:rPr>
          <w:rFonts w:hint="eastAsia"/>
          <w:sz w:val="32"/>
          <w:szCs w:val="32"/>
        </w:rPr>
        <w:t>，部门评价项目绩效评价结果为</w:t>
      </w:r>
      <w:r>
        <w:rPr>
          <w:rFonts w:hint="eastAsia" w:ascii="宋体" w:hAnsi="宋体" w:cs="黑体"/>
          <w:color w:val="000000"/>
          <w:kern w:val="0"/>
          <w:sz w:val="32"/>
          <w:szCs w:val="32"/>
          <w:lang w:val="en-US" w:eastAsia="zh-CN"/>
        </w:rPr>
        <w:t>优</w:t>
      </w:r>
      <w:r>
        <w:rPr>
          <w:rFonts w:hint="eastAsia"/>
          <w:sz w:val="32"/>
          <w:szCs w:val="32"/>
        </w:rPr>
        <w:t>。</w:t>
      </w: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both"/>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财政拨款收入：指本级财政当年拨付的资金。</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政府性基金预算财政拨款收入：指本级财政当年拨付的政府性基金预算资金。</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上年结转和结余：指以前年度尚未完成、结转到本年按有关规定继续使用的资金。</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年末结转和结余资金：指本年度或以前年度预算安排、因客观条件发生变化无法按原计划实施，需要延迟到以后年度按有关规定继续使用的资金。</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卫生健康支出（类）：是指用于医疗卫生与计划生育方面的支出，包括保障机构正常运转、完成日常和特定的工作任务或事业发展目标的支出。</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城乡社区支出（类）：是指用于城乡社区事务支出，包括保障机构正常运转、完成日常和特定的工作任务或事业发展目标的支出。</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资源勘探工业信息等支出（类）：是指用于资源勘探、制造业、建筑业、工业信息等方面支出，包括保障机构正常运转、完成日常和特定的工作任务或事业发展目标的支出。</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基本支出：指保障机构正常运转、完成支日常工作任务而发生的人员支出和公用支出。</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项目支出：指在基本支出之外为完成特定行政任务和事业发展目标所发生的支出。</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工资福利支出：反映单位开支的在职职工和编制外长期聘用人员的各类劳动报酬，以及为上述人员缴纳的各项社会保险费等。</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奖金：反映机关工作人员年终一次性奖金。</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伙食补助费：反映单位发给职工的伙食补助费，如误餐补助等。</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绩效工资：反映事业单位工作人员的绩效工资。</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机关事业单位基本养老保险缴费：反映机关事业单位缴纳的基本养老保险费。由单位代扣的工作人员基本养老保险缴费，不在此科目反映。</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职业年金缴费：反映机关事业单位实际缴纳的职业年金支出。由单位代扣的工作人员职业年金缴费，不在此科目反映。</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职工基本医疗保险缴费：反映单位为职工缴纳的基本医疗保险费。</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其他社会保障缴费：反映单位为职工缴纳的基本医疗、失业、工伤、生育等社会保险费，残疾人就业保障金，军队（含武警）为军人缴纳的伤亡、退役医疗等社会保险费。</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住房公积金：反映行政事业单位按人力资源和社会保障部、财政部规定的基本工资和津贴补贴以及规定比例为职工缴纳的住房公积金。</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医疗费：反映未参加医疗保险单位的医疗经费和单位按规定为职工支出的其他医疗费用。</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商品和服务支出：反映单位购买商品和服务的支出（不包括用于购置固定资产的支出、战略性和应急储备支出）。</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办公费：反映单位购买按财务会计制度规定不符合固定资产确认标准的日常办公用品、书报杂志等支出。</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电费：反映单位的电费支出。</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物业管理费：反映单位开支的办公用房以及未实行职工住宅物业服务改革的在职职工和离退休人员宿舍等的物业管理费，包括综合治理、绿化、卫生等方面的支出。</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差旅费：反映单位工作人员出差发生的城市间交通费、住宿费、伙食补贴费和市内交通费。</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因公出国（境）费用：反映单位公务出国（境）的国际旅费、国外城市间交通费、住宿费、伙食费、培训费、公杂费等支出。</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会议费：反映单位在会议期间按规定开支的住宿费、伙食费、会议场地租金、交通费、文件印刷费、医药费等。</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公务接待费：反映单位按规定开支的各类公务接待（含外宾接待）费用。</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维修(护)费：反映单位日常开支的固定资产（不包括车船等交通工具）修理和维护费用，网络信息系统运行与维护费用，以及按规定提取的修购基金。</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培训费：反映除因公出国（境）培训费以外的各类培训支出。</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劳务费：反映支付给单位和个人的劳务费用，如临时聘用人员、钟点工工资，稿费、翻译费，评审费等。</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委托业务费：反映因委托外单位办理业务而支付的委托业务费。</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工会经费：反映单位按规定提取的工会经费。</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福利费：反映单位按规定提取的福利费。</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其他交通费用：反映单位除公务用车运行维护费以外的其他交通费用。如公务交通补贴，租车费用、出租车费用，飞机、船舶等的燃料费、维修费、保险费等。</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其他商品和服务支出：反映上述科目未包括的日常公用支出。如行政赔偿费和诉讼费、国内组织的会员费、来访费、广告宣传、其他劳务费及离休人员特需费、公用经费等。</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对个人和家庭的补助：反映政府用于对个人和家庭的补助支出。</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退休费：反映行政事业单位和军队移交政府安置的退休人员的退休费和其他补贴。</w:t>
      </w:r>
    </w:p>
    <w:p>
      <w:pPr>
        <w:widowControl/>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pStyle w:val="9"/>
        <w:ind w:firstLine="640" w:firstLineChars="200"/>
        <w:jc w:val="both"/>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办公设备购置：反映用于购置并按财务会计制度规定纳入固定资产核算范围的办公家具和办公设备的支出，以及按规定提取的修购基金。</w:t>
      </w:r>
    </w:p>
    <w:p>
      <w:pPr>
        <w:pStyle w:val="9"/>
        <w:ind w:firstLine="640" w:firstLineChars="200"/>
        <w:jc w:val="both"/>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1、2021年岳阳市污水处理监督中心决算公开表格</w:t>
      </w:r>
    </w:p>
    <w:p>
      <w:pPr>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2021年度单位整体支出绩效情况表</w:t>
      </w: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jc w:val="left"/>
        <w:rPr>
          <w:rFonts w:hint="eastAsia" w:cs="黑体" w:asciiTheme="minorEastAsia" w:hAnsiTheme="minorEastAsia"/>
          <w:b/>
          <w:color w:val="000000"/>
          <w:kern w:val="0"/>
          <w:sz w:val="32"/>
          <w:szCs w:val="32"/>
        </w:rPr>
      </w:pPr>
    </w:p>
    <w:p>
      <w:pPr>
        <w:jc w:val="left"/>
        <w:rPr>
          <w:rFonts w:hint="eastAsia" w:cs="黑体" w:asciiTheme="minorEastAsia" w:hAnsiTheme="minorEastAsia"/>
          <w:b/>
          <w:color w:val="000000"/>
          <w:kern w:val="0"/>
          <w:sz w:val="32"/>
          <w:szCs w:val="32"/>
        </w:rPr>
      </w:pPr>
    </w:p>
    <w:p>
      <w:pPr>
        <w:jc w:val="left"/>
        <w:rPr>
          <w:rFonts w:hint="eastAsia" w:cs="黑体" w:asciiTheme="minorEastAsia" w:hAnsiTheme="minorEastAsia"/>
          <w:b/>
          <w:color w:val="000000"/>
          <w:kern w:val="0"/>
          <w:sz w:val="32"/>
          <w:szCs w:val="32"/>
        </w:rPr>
        <w:sectPr>
          <w:pgSz w:w="11906" w:h="16838"/>
          <w:pgMar w:top="720" w:right="720" w:bottom="720" w:left="720" w:header="851" w:footer="992" w:gutter="0"/>
          <w:cols w:space="425" w:num="1"/>
          <w:docGrid w:type="linesAndChars" w:linePitch="312" w:charSpace="0"/>
        </w:sectPr>
      </w:pPr>
    </w:p>
    <w:tbl>
      <w:tblPr>
        <w:tblStyle w:val="5"/>
        <w:tblW w:w="1608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54"/>
        <w:gridCol w:w="1040"/>
        <w:gridCol w:w="1284"/>
        <w:gridCol w:w="4823"/>
        <w:gridCol w:w="830"/>
        <w:gridCol w:w="2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jc w:val="center"/>
        </w:trPr>
        <w:tc>
          <w:tcPr>
            <w:tcW w:w="16087" w:type="dxa"/>
            <w:gridSpan w:val="6"/>
            <w:tcBorders>
              <w:top w:val="nil"/>
              <w:left w:val="nil"/>
              <w:bottom w:val="nil"/>
              <w:right w:val="nil"/>
            </w:tcBorders>
            <w:shd w:val="clear" w:color="auto" w:fill="auto"/>
            <w:noWrap/>
            <w:vAlign w:val="bottom"/>
          </w:tcPr>
          <w:p>
            <w:pPr>
              <w:keepNext w:val="0"/>
              <w:keepLines w:val="0"/>
              <w:pageBreakBefore w:val="0"/>
              <w:widowControl/>
              <w:suppressLineNumbers w:val="0"/>
              <w:tabs>
                <w:tab w:val="left" w:pos="3360"/>
              </w:tabs>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000000"/>
                <w:kern w:val="0"/>
                <w:sz w:val="28"/>
                <w:szCs w:val="28"/>
                <w:u w:val="none"/>
                <w:lang w:val="en-US" w:eastAsia="zh-CN" w:bidi="ar"/>
              </w:rPr>
            </w:pPr>
          </w:p>
          <w:p>
            <w:pPr>
              <w:keepNext w:val="0"/>
              <w:keepLines w:val="0"/>
              <w:pageBreakBefore w:val="0"/>
              <w:widowControl/>
              <w:suppressLineNumbers w:val="0"/>
              <w:tabs>
                <w:tab w:val="left" w:pos="3360"/>
              </w:tabs>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000000"/>
                <w:kern w:val="0"/>
                <w:sz w:val="28"/>
                <w:szCs w:val="28"/>
                <w:u w:val="none"/>
                <w:lang w:val="en-US" w:eastAsia="zh-CN" w:bidi="ar"/>
              </w:rPr>
            </w:pPr>
          </w:p>
          <w:p>
            <w:pPr>
              <w:keepNext w:val="0"/>
              <w:keepLines w:val="0"/>
              <w:pageBreakBefore w:val="0"/>
              <w:widowControl/>
              <w:suppressLineNumbers w:val="0"/>
              <w:tabs>
                <w:tab w:val="left" w:pos="3360"/>
              </w:tabs>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8"/>
                <w:szCs w:val="28"/>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 w:hRule="atLeast"/>
          <w:jc w:val="center"/>
        </w:trPr>
        <w:tc>
          <w:tcPr>
            <w:tcW w:w="5754"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60" w:lineRule="exact"/>
              <w:rPr>
                <w:rFonts w:hint="eastAsia" w:ascii="Arial" w:hAnsi="Arial" w:cs="Arial"/>
                <w:i w:val="0"/>
                <w:iCs w:val="0"/>
                <w:color w:val="000000"/>
                <w:sz w:val="21"/>
                <w:szCs w:val="21"/>
                <w:u w:val="none"/>
              </w:rPr>
            </w:pPr>
          </w:p>
        </w:tc>
        <w:tc>
          <w:tcPr>
            <w:tcW w:w="1040"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60" w:lineRule="exact"/>
              <w:rPr>
                <w:rFonts w:hint="default" w:ascii="Arial" w:hAnsi="Arial" w:cs="Arial"/>
                <w:i w:val="0"/>
                <w:iCs w:val="0"/>
                <w:color w:val="000000"/>
                <w:sz w:val="21"/>
                <w:szCs w:val="21"/>
                <w:u w:val="none"/>
              </w:rPr>
            </w:pPr>
          </w:p>
        </w:tc>
        <w:tc>
          <w:tcPr>
            <w:tcW w:w="1284"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60" w:lineRule="exact"/>
              <w:rPr>
                <w:rFonts w:hint="default" w:ascii="Arial" w:hAnsi="Arial" w:cs="Arial"/>
                <w:i w:val="0"/>
                <w:iCs w:val="0"/>
                <w:color w:val="000000"/>
                <w:sz w:val="21"/>
                <w:szCs w:val="21"/>
                <w:u w:val="none"/>
              </w:rPr>
            </w:pPr>
          </w:p>
        </w:tc>
        <w:tc>
          <w:tcPr>
            <w:tcW w:w="4823"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60" w:lineRule="exact"/>
              <w:rPr>
                <w:rFonts w:hint="default" w:ascii="Arial" w:hAnsi="Arial" w:cs="Arial"/>
                <w:i w:val="0"/>
                <w:iCs w:val="0"/>
                <w:color w:val="000000"/>
                <w:sz w:val="21"/>
                <w:szCs w:val="21"/>
                <w:u w:val="none"/>
              </w:rPr>
            </w:pPr>
          </w:p>
        </w:tc>
        <w:tc>
          <w:tcPr>
            <w:tcW w:w="830"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60" w:lineRule="exact"/>
              <w:rPr>
                <w:rFonts w:hint="default" w:ascii="Arial" w:hAnsi="Arial" w:cs="Arial"/>
                <w:i w:val="0"/>
                <w:iCs w:val="0"/>
                <w:color w:val="000000"/>
                <w:sz w:val="21"/>
                <w:szCs w:val="21"/>
                <w:u w:val="none"/>
              </w:rPr>
            </w:pPr>
          </w:p>
        </w:tc>
        <w:tc>
          <w:tcPr>
            <w:tcW w:w="2356" w:type="dxa"/>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60" w:lineRule="exact"/>
              <w:jc w:val="right"/>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 w:hRule="atLeast"/>
          <w:jc w:val="center"/>
        </w:trPr>
        <w:tc>
          <w:tcPr>
            <w:tcW w:w="5754" w:type="dxa"/>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部门：岳阳市污水处理监督中心</w:t>
            </w:r>
          </w:p>
        </w:tc>
        <w:tc>
          <w:tcPr>
            <w:tcW w:w="1040"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60" w:lineRule="exact"/>
              <w:rPr>
                <w:rFonts w:hint="default" w:ascii="Arial" w:hAnsi="Arial" w:cs="Arial"/>
                <w:i w:val="0"/>
                <w:iCs w:val="0"/>
                <w:color w:val="000000"/>
                <w:sz w:val="21"/>
                <w:szCs w:val="21"/>
                <w:u w:val="none"/>
              </w:rPr>
            </w:pPr>
          </w:p>
        </w:tc>
        <w:tc>
          <w:tcPr>
            <w:tcW w:w="1284"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60" w:lineRule="exact"/>
              <w:rPr>
                <w:rFonts w:hint="default" w:ascii="Arial" w:hAnsi="Arial" w:cs="Arial"/>
                <w:i w:val="0"/>
                <w:iCs w:val="0"/>
                <w:color w:val="000000"/>
                <w:sz w:val="21"/>
                <w:szCs w:val="21"/>
                <w:u w:val="none"/>
              </w:rPr>
            </w:pPr>
          </w:p>
        </w:tc>
        <w:tc>
          <w:tcPr>
            <w:tcW w:w="4823"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60" w:lineRule="exact"/>
              <w:rPr>
                <w:rFonts w:hint="default" w:ascii="Arial" w:hAnsi="Arial" w:cs="Arial"/>
                <w:i w:val="0"/>
                <w:iCs w:val="0"/>
                <w:color w:val="000000"/>
                <w:sz w:val="21"/>
                <w:szCs w:val="21"/>
                <w:u w:val="none"/>
              </w:rPr>
            </w:pPr>
          </w:p>
        </w:tc>
        <w:tc>
          <w:tcPr>
            <w:tcW w:w="830"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60" w:lineRule="exact"/>
              <w:rPr>
                <w:rFonts w:hint="default" w:ascii="Arial" w:hAnsi="Arial" w:cs="Arial"/>
                <w:i w:val="0"/>
                <w:iCs w:val="0"/>
                <w:color w:val="000000"/>
                <w:sz w:val="21"/>
                <w:szCs w:val="21"/>
                <w:u w:val="none"/>
              </w:rPr>
            </w:pPr>
          </w:p>
        </w:tc>
        <w:tc>
          <w:tcPr>
            <w:tcW w:w="2356" w:type="dxa"/>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60" w:lineRule="exact"/>
              <w:jc w:val="right"/>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8078" w:type="dxa"/>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w:t>
            </w:r>
          </w:p>
        </w:tc>
        <w:tc>
          <w:tcPr>
            <w:tcW w:w="8009" w:type="dxa"/>
            <w:gridSpan w:val="3"/>
            <w:tcBorders>
              <w:top w:val="single" w:color="000000" w:sz="4" w:space="0"/>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w:t>
            </w: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行次</w:t>
            </w:r>
          </w:p>
        </w:tc>
        <w:tc>
          <w:tcPr>
            <w:tcW w:w="1284"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金额</w:t>
            </w: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行次</w:t>
            </w:r>
          </w:p>
        </w:tc>
        <w:tc>
          <w:tcPr>
            <w:tcW w:w="23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栏次</w:t>
            </w: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1"/>
                <w:szCs w:val="21"/>
                <w:u w:val="none"/>
              </w:rPr>
            </w:pPr>
          </w:p>
        </w:tc>
        <w:tc>
          <w:tcPr>
            <w:tcW w:w="1284"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栏次</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1"/>
                <w:szCs w:val="21"/>
                <w:u w:val="none"/>
              </w:rPr>
            </w:pPr>
          </w:p>
        </w:tc>
        <w:tc>
          <w:tcPr>
            <w:tcW w:w="23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一、一般公共预算财政拨款收入</w:t>
            </w: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417.88</w:t>
            </w: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一、一般公共服务支出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二、政府性基金预算财政拨款收入</w:t>
            </w: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二、外交支出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三、国有资本经营预算财政拨款收入</w:t>
            </w: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三、国防支出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四、上级补助收入</w:t>
            </w: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四、公共安全支出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五、事业收入</w:t>
            </w: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五、教育支出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六、经营收入</w:t>
            </w: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六、科学技术支出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七、附属单位上缴收入</w:t>
            </w: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七、文化旅游体育与传媒支出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八、其他收入</w:t>
            </w: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八、社会保障和就业支出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九、卫生健康支出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十、节能环保支出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十一、城乡社区支出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414.26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十二、农林水支出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十三、交通运输支出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十四、资源勘探工业信息等支出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126.29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十五、商业服务业等支出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十六、金融支出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十七、援助其他地区支出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十八、自然资源海洋气象等支出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十九、住房保障支出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二十、粮油物资储备支出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二十一、国有资本经营预算支出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二十二、灾害防治及应急管理支出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二十三、其他支出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宋体" w:hAnsi="宋体" w:eastAsia="宋体" w:cs="宋体"/>
                <w:b/>
                <w:bCs/>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二十四、债务还本支出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二十五、债务付息支出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二十六、抗疫特别国债安排的支出</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本年收入合计</w:t>
            </w: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417.88</w:t>
            </w: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本年支出合计</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577.73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使用非财政拨款结余</w:t>
            </w: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结余分配</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年初结转和结余</w:t>
            </w: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159.85</w:t>
            </w: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年末结转和结余</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104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right"/>
              <w:rPr>
                <w:rFonts w:hint="eastAsia" w:ascii="宋体" w:hAnsi="宋体" w:eastAsia="宋体" w:cs="宋体"/>
                <w:i w:val="0"/>
                <w:iCs w:val="0"/>
                <w:color w:val="000000"/>
                <w:sz w:val="21"/>
                <w:szCs w:val="21"/>
                <w:u w:val="none"/>
              </w:rPr>
            </w:pP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jc w:val="center"/>
        </w:trPr>
        <w:tc>
          <w:tcPr>
            <w:tcW w:w="575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总计</w:t>
            </w:r>
          </w:p>
        </w:tc>
        <w:tc>
          <w:tcPr>
            <w:tcW w:w="1040" w:type="dxa"/>
            <w:tcBorders>
              <w:top w:val="nil"/>
              <w:left w:val="nil"/>
              <w:bottom w:val="single" w:color="000000" w:sz="8"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12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577.73</w:t>
            </w:r>
          </w:p>
        </w:tc>
        <w:tc>
          <w:tcPr>
            <w:tcW w:w="482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总计</w:t>
            </w:r>
          </w:p>
        </w:tc>
        <w:tc>
          <w:tcPr>
            <w:tcW w:w="83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2356"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577.73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 w:hRule="atLeast"/>
          <w:jc w:val="center"/>
        </w:trPr>
        <w:tc>
          <w:tcPr>
            <w:tcW w:w="16087" w:type="dxa"/>
            <w:gridSpan w:val="6"/>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注：本表反映部门本年度的总收支和年末结转结余情况。本套报表金额单位转换时可能存在尾数误差。</w:t>
            </w:r>
          </w:p>
        </w:tc>
      </w:tr>
    </w:tbl>
    <w:p>
      <w:pPr>
        <w:jc w:val="left"/>
        <w:rPr>
          <w:rFonts w:cs="黑体" w:asciiTheme="minorEastAsia" w:hAnsiTheme="minorEastAsia"/>
          <w:color w:val="000000"/>
          <w:kern w:val="0"/>
          <w:sz w:val="21"/>
          <w:szCs w:val="21"/>
        </w:rPr>
      </w:pPr>
    </w:p>
    <w:tbl>
      <w:tblPr>
        <w:tblStyle w:val="5"/>
        <w:tblW w:w="156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16"/>
        <w:gridCol w:w="222"/>
        <w:gridCol w:w="222"/>
        <w:gridCol w:w="3956"/>
        <w:gridCol w:w="1490"/>
        <w:gridCol w:w="1490"/>
        <w:gridCol w:w="818"/>
        <w:gridCol w:w="946"/>
        <w:gridCol w:w="928"/>
        <w:gridCol w:w="909"/>
        <w:gridCol w:w="16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5614" w:type="dxa"/>
            <w:gridSpan w:val="11"/>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3016"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95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9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9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1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4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2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0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617"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3016"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部门：岳阳市污水处理监督中心</w:t>
            </w: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95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9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9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1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4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2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0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617"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7416" w:type="dxa"/>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490"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1490"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818"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946"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928"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909"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1617"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3956" w:type="dxa"/>
            <w:vMerge w:val="restart"/>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49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9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46"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09"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617"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956" w:type="dxa"/>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49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9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46"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09"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617"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956" w:type="dxa"/>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49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9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46"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09"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617"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7416" w:type="dxa"/>
            <w:gridSpan w:val="4"/>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49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9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18"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946"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28"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909"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17"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7416" w:type="dxa"/>
            <w:gridSpan w:val="4"/>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417.88</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417.88</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23.96</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23.96</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23.96</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23.96</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20811</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残疾人事业</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2081199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其他残疾人事业支出</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2101102</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事业单位医疗</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城乡社区支出</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254.41</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254.41</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21201</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城乡社区管理事务</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36.00</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36.00</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2120199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其他城乡社区管理事务支出</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36.00</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36.00</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21203</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城乡社区公共设施</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207.44</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207.44</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2120399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其他城乡社区公共设施支出</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207.44</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207.44</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21299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其他城乡社区支出</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10.97</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10.97</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2129999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其他城乡社区支出</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10.97</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10.97</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资源勘探工业信息等支出</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21503</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建筑业</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2150301</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14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81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4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2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0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5614" w:type="dxa"/>
            <w:gridSpan w:val="11"/>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tbl>
      <w:tblPr>
        <w:tblStyle w:val="5"/>
        <w:tblW w:w="156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16"/>
        <w:gridCol w:w="222"/>
        <w:gridCol w:w="222"/>
        <w:gridCol w:w="3956"/>
        <w:gridCol w:w="1493"/>
        <w:gridCol w:w="1508"/>
        <w:gridCol w:w="1508"/>
        <w:gridCol w:w="959"/>
        <w:gridCol w:w="959"/>
        <w:gridCol w:w="17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5611" w:type="dxa"/>
            <w:gridSpan w:val="10"/>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3016"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95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9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0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0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5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5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768"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3016"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部门：岳阳市污水处理监督中心</w:t>
            </w: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95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9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0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0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5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5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768"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7416" w:type="dxa"/>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493"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508"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508"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959"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959"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768"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3956" w:type="dxa"/>
            <w:vMerge w:val="restart"/>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493"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0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0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59"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59"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6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956" w:type="dxa"/>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493"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0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0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59"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59"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6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956" w:type="dxa"/>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493"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0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0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59"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59"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6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7416" w:type="dxa"/>
            <w:gridSpan w:val="4"/>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493"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08"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08"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959"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59"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768"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7416" w:type="dxa"/>
            <w:gridSpan w:val="4"/>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577.73</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344.75</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232.98</w:t>
            </w: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23.96</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23.96</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23.96</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23.96</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20811</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残疾人事业</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2081199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其他残疾人事业支出</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2101102</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事业单位医疗</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城乡社区支出</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414.26</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181.28</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232.98</w:t>
            </w: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21201</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城乡社区管理事务</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36.00</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36.00</w:t>
            </w: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2120199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其他城乡社区管理事务支出</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36.00</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36.00</w:t>
            </w: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21203</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城乡社区公共设施</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367.29</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170.31</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196.98</w:t>
            </w: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2120399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其他城乡社区公共设施支出</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367.29</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170.31</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196.98</w:t>
            </w: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21299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其他城乡社区支出</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10.97</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10.97</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2129999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其他城乡社区支出</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10.97</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10.97</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资源勘探工业信息等支出</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21503</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建筑业</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4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2150301</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49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150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150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68"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5611" w:type="dxa"/>
            <w:gridSpan w:val="10"/>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tbl>
      <w:tblPr>
        <w:tblStyle w:val="5"/>
        <w:tblW w:w="1561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62"/>
        <w:gridCol w:w="556"/>
        <w:gridCol w:w="1443"/>
        <w:gridCol w:w="4047"/>
        <w:gridCol w:w="556"/>
        <w:gridCol w:w="987"/>
        <w:gridCol w:w="1380"/>
        <w:gridCol w:w="1084"/>
        <w:gridCol w:w="19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5614" w:type="dxa"/>
            <w:gridSpan w:val="9"/>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eastAsia" w:ascii="Arial" w:hAnsi="Arial" w:cs="Arial"/>
                <w:i w:val="0"/>
                <w:iCs w:val="0"/>
                <w:color w:val="000000"/>
                <w:sz w:val="20"/>
                <w:szCs w:val="20"/>
                <w:u w:val="none"/>
              </w:rPr>
            </w:pPr>
          </w:p>
        </w:tc>
        <w:tc>
          <w:tcPr>
            <w:tcW w:w="556"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20"/>
                <w:szCs w:val="20"/>
                <w:u w:val="none"/>
              </w:rPr>
            </w:pPr>
          </w:p>
        </w:tc>
        <w:tc>
          <w:tcPr>
            <w:tcW w:w="1443"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20"/>
                <w:szCs w:val="20"/>
                <w:u w:val="none"/>
              </w:rPr>
            </w:pPr>
          </w:p>
        </w:tc>
        <w:tc>
          <w:tcPr>
            <w:tcW w:w="4047"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20"/>
                <w:szCs w:val="20"/>
                <w:u w:val="none"/>
              </w:rPr>
            </w:pPr>
          </w:p>
        </w:tc>
        <w:tc>
          <w:tcPr>
            <w:tcW w:w="556"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20"/>
                <w:szCs w:val="20"/>
                <w:u w:val="none"/>
              </w:rPr>
            </w:pPr>
          </w:p>
        </w:tc>
        <w:tc>
          <w:tcPr>
            <w:tcW w:w="987"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20"/>
                <w:szCs w:val="20"/>
                <w:u w:val="none"/>
              </w:rPr>
            </w:pPr>
          </w:p>
        </w:tc>
        <w:tc>
          <w:tcPr>
            <w:tcW w:w="1380"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20"/>
                <w:szCs w:val="20"/>
                <w:u w:val="none"/>
              </w:rPr>
            </w:pPr>
          </w:p>
        </w:tc>
        <w:tc>
          <w:tcPr>
            <w:tcW w:w="1084"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20"/>
                <w:szCs w:val="20"/>
                <w:u w:val="none"/>
              </w:rPr>
            </w:pPr>
          </w:p>
        </w:tc>
        <w:tc>
          <w:tcPr>
            <w:tcW w:w="1999" w:type="dxa"/>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部门：岳阳市污水处理监督中心</w:t>
            </w:r>
          </w:p>
        </w:tc>
        <w:tc>
          <w:tcPr>
            <w:tcW w:w="556"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20"/>
                <w:szCs w:val="20"/>
                <w:u w:val="none"/>
              </w:rPr>
            </w:pPr>
          </w:p>
        </w:tc>
        <w:tc>
          <w:tcPr>
            <w:tcW w:w="1443"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20"/>
                <w:szCs w:val="20"/>
                <w:u w:val="none"/>
              </w:rPr>
            </w:pPr>
          </w:p>
        </w:tc>
        <w:tc>
          <w:tcPr>
            <w:tcW w:w="4047"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20"/>
                <w:szCs w:val="20"/>
                <w:u w:val="none"/>
              </w:rPr>
            </w:pPr>
          </w:p>
        </w:tc>
        <w:tc>
          <w:tcPr>
            <w:tcW w:w="556"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20"/>
                <w:szCs w:val="20"/>
                <w:u w:val="none"/>
              </w:rPr>
            </w:pPr>
          </w:p>
        </w:tc>
        <w:tc>
          <w:tcPr>
            <w:tcW w:w="987"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20"/>
                <w:szCs w:val="20"/>
                <w:u w:val="none"/>
              </w:rPr>
            </w:pPr>
          </w:p>
        </w:tc>
        <w:tc>
          <w:tcPr>
            <w:tcW w:w="1380"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20"/>
                <w:szCs w:val="20"/>
                <w:u w:val="none"/>
              </w:rPr>
            </w:pPr>
          </w:p>
        </w:tc>
        <w:tc>
          <w:tcPr>
            <w:tcW w:w="1084"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20"/>
                <w:szCs w:val="20"/>
                <w:u w:val="none"/>
              </w:rPr>
            </w:pPr>
          </w:p>
        </w:tc>
        <w:tc>
          <w:tcPr>
            <w:tcW w:w="1999" w:type="dxa"/>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5561" w:type="dxa"/>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10053" w:type="dxa"/>
            <w:gridSpan w:val="6"/>
            <w:tcBorders>
              <w:top w:val="single" w:color="000000" w:sz="4" w:space="0"/>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3562" w:type="dxa"/>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56"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443"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4047"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56"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987" w:type="dxa"/>
            <w:vMerge w:val="restart"/>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80"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084"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999"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3" w:hRule="atLeast"/>
          <w:jc w:val="center"/>
        </w:trPr>
        <w:tc>
          <w:tcPr>
            <w:tcW w:w="3562" w:type="dxa"/>
            <w:vMerge w:val="continue"/>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2"/>
                <w:szCs w:val="22"/>
                <w:u w:val="none"/>
              </w:rPr>
            </w:pPr>
          </w:p>
        </w:tc>
        <w:tc>
          <w:tcPr>
            <w:tcW w:w="556"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2"/>
                <w:szCs w:val="22"/>
                <w:u w:val="none"/>
              </w:rPr>
            </w:pPr>
          </w:p>
        </w:tc>
        <w:tc>
          <w:tcPr>
            <w:tcW w:w="1443"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2"/>
                <w:szCs w:val="22"/>
                <w:u w:val="none"/>
              </w:rPr>
            </w:pPr>
          </w:p>
        </w:tc>
        <w:tc>
          <w:tcPr>
            <w:tcW w:w="4047"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2"/>
                <w:szCs w:val="22"/>
                <w:u w:val="none"/>
              </w:rPr>
            </w:pPr>
          </w:p>
        </w:tc>
        <w:tc>
          <w:tcPr>
            <w:tcW w:w="556"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2"/>
                <w:szCs w:val="22"/>
                <w:u w:val="none"/>
              </w:rPr>
            </w:pPr>
          </w:p>
        </w:tc>
        <w:tc>
          <w:tcPr>
            <w:tcW w:w="987" w:type="dxa"/>
            <w:vMerge w:val="continue"/>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2"/>
                <w:szCs w:val="22"/>
                <w:u w:val="none"/>
              </w:rPr>
            </w:pPr>
          </w:p>
        </w:tc>
        <w:tc>
          <w:tcPr>
            <w:tcW w:w="1380"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2"/>
                <w:szCs w:val="22"/>
                <w:u w:val="none"/>
              </w:rPr>
            </w:pPr>
          </w:p>
        </w:tc>
        <w:tc>
          <w:tcPr>
            <w:tcW w:w="1084"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2"/>
                <w:szCs w:val="22"/>
                <w:u w:val="none"/>
              </w:rPr>
            </w:pPr>
          </w:p>
        </w:tc>
        <w:tc>
          <w:tcPr>
            <w:tcW w:w="1999"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2"/>
                <w:szCs w:val="22"/>
                <w:u w:val="none"/>
              </w:rPr>
            </w:pPr>
          </w:p>
        </w:tc>
        <w:tc>
          <w:tcPr>
            <w:tcW w:w="144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22"/>
                <w:szCs w:val="22"/>
                <w:u w:val="none"/>
              </w:rPr>
            </w:pPr>
          </w:p>
        </w:tc>
        <w:tc>
          <w:tcPr>
            <w:tcW w:w="98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80"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4"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99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417.88</w:t>
            </w: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三、国有资本经营财政拨款</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w:t>
            </w: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w:t>
            </w: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414.26</w:t>
            </w: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414.26</w:t>
            </w: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417.88</w:t>
            </w: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577.73</w:t>
            </w: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577.73</w:t>
            </w: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159.85</w:t>
            </w: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159.85</w:t>
            </w: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0"/>
                <w:szCs w:val="20"/>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0"/>
                <w:szCs w:val="20"/>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0"/>
                <w:szCs w:val="20"/>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0"/>
                <w:szCs w:val="20"/>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0"/>
                <w:szCs w:val="20"/>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0"/>
                <w:szCs w:val="20"/>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0"/>
                <w:szCs w:val="20"/>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0"/>
                <w:szCs w:val="20"/>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22"/>
                <w:szCs w:val="22"/>
                <w:u w:val="none"/>
              </w:rPr>
            </w:pP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562"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556" w:type="dxa"/>
            <w:tcBorders>
              <w:top w:val="nil"/>
              <w:left w:val="nil"/>
              <w:bottom w:val="single" w:color="000000" w:sz="8"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44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577.73</w:t>
            </w:r>
          </w:p>
        </w:tc>
        <w:tc>
          <w:tcPr>
            <w:tcW w:w="404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556"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98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577.73</w:t>
            </w:r>
          </w:p>
        </w:tc>
        <w:tc>
          <w:tcPr>
            <w:tcW w:w="138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577.73</w:t>
            </w:r>
          </w:p>
        </w:tc>
        <w:tc>
          <w:tcPr>
            <w:tcW w:w="108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c>
          <w:tcPr>
            <w:tcW w:w="1999"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5614" w:type="dxa"/>
            <w:gridSpan w:val="9"/>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r>
    </w:tbl>
    <w:p>
      <w:pPr>
        <w:jc w:val="left"/>
        <w:rPr>
          <w:rFonts w:cs="黑体" w:asciiTheme="minorEastAsia" w:hAnsiTheme="minorEastAsia"/>
          <w:color w:val="000000"/>
          <w:kern w:val="0"/>
          <w:sz w:val="21"/>
          <w:szCs w:val="21"/>
        </w:rPr>
      </w:pPr>
    </w:p>
    <w:tbl>
      <w:tblPr>
        <w:tblStyle w:val="5"/>
        <w:tblW w:w="1561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35"/>
        <w:gridCol w:w="287"/>
        <w:gridCol w:w="290"/>
        <w:gridCol w:w="5983"/>
        <w:gridCol w:w="1330"/>
        <w:gridCol w:w="1330"/>
        <w:gridCol w:w="24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jc w:val="center"/>
        </w:trPr>
        <w:tc>
          <w:tcPr>
            <w:tcW w:w="15614" w:type="dxa"/>
            <w:gridSpan w:val="7"/>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35"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28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9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598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3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3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459"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35"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部门：岳阳市污水处理监督中心</w:t>
            </w:r>
          </w:p>
        </w:tc>
        <w:tc>
          <w:tcPr>
            <w:tcW w:w="28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9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598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3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3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459"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10495" w:type="dxa"/>
            <w:gridSpan w:val="4"/>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19" w:type="dxa"/>
            <w:gridSpan w:val="3"/>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4512"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5983"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33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33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459"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4512"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983"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3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3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459"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8" w:hRule="atLeast"/>
          <w:jc w:val="center"/>
        </w:trPr>
        <w:tc>
          <w:tcPr>
            <w:tcW w:w="4512"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983"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3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3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459"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10495" w:type="dxa"/>
            <w:gridSpan w:val="4"/>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33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459"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10495" w:type="dxa"/>
            <w:gridSpan w:val="4"/>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577.73</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344.75</w:t>
            </w:r>
          </w:p>
        </w:tc>
        <w:tc>
          <w:tcPr>
            <w:tcW w:w="245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26.10</w:t>
            </w:r>
          </w:p>
        </w:tc>
        <w:tc>
          <w:tcPr>
            <w:tcW w:w="24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23.96</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23.96</w:t>
            </w:r>
          </w:p>
        </w:tc>
        <w:tc>
          <w:tcPr>
            <w:tcW w:w="24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23.96</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23.96</w:t>
            </w:r>
          </w:p>
        </w:tc>
        <w:tc>
          <w:tcPr>
            <w:tcW w:w="24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20811</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残疾人事业</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24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2081199</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其他残疾人事业支出</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24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24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24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2101102</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事业单位医疗</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11.08</w:t>
            </w:r>
          </w:p>
        </w:tc>
        <w:tc>
          <w:tcPr>
            <w:tcW w:w="24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城乡社区支出</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414.26</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181.28</w:t>
            </w:r>
          </w:p>
        </w:tc>
        <w:tc>
          <w:tcPr>
            <w:tcW w:w="245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21201</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城乡社区管理事务</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36.00</w:t>
            </w:r>
          </w:p>
        </w:tc>
        <w:tc>
          <w:tcPr>
            <w:tcW w:w="133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245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2120199</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其他城乡社区管理事务支出</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36.00</w:t>
            </w:r>
          </w:p>
        </w:tc>
        <w:tc>
          <w:tcPr>
            <w:tcW w:w="133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245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21203</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城乡社区公共设施</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367.29</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170.31</w:t>
            </w:r>
          </w:p>
        </w:tc>
        <w:tc>
          <w:tcPr>
            <w:tcW w:w="245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2120399</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其他城乡社区公共设施支出</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367.29</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170.31</w:t>
            </w:r>
          </w:p>
        </w:tc>
        <w:tc>
          <w:tcPr>
            <w:tcW w:w="245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21299</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其他城乡社区支出</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10.97</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10.97</w:t>
            </w:r>
          </w:p>
        </w:tc>
        <w:tc>
          <w:tcPr>
            <w:tcW w:w="24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2129999</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其他城乡社区支出</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10.97</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10.97</w:t>
            </w:r>
          </w:p>
        </w:tc>
        <w:tc>
          <w:tcPr>
            <w:tcW w:w="24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资源勘探工业信息等支出</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24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21503</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建筑业</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24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4512"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2150301</w:t>
            </w:r>
          </w:p>
        </w:tc>
        <w:tc>
          <w:tcPr>
            <w:tcW w:w="59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13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126.29</w:t>
            </w:r>
          </w:p>
        </w:tc>
        <w:tc>
          <w:tcPr>
            <w:tcW w:w="2459"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5614" w:type="dxa"/>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tbl>
      <w:tblPr>
        <w:tblStyle w:val="5"/>
        <w:tblW w:w="159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67"/>
        <w:gridCol w:w="3163"/>
        <w:gridCol w:w="910"/>
        <w:gridCol w:w="1193"/>
        <w:gridCol w:w="2193"/>
        <w:gridCol w:w="1044"/>
        <w:gridCol w:w="1088"/>
        <w:gridCol w:w="3745"/>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jc w:val="center"/>
        </w:trPr>
        <w:tc>
          <w:tcPr>
            <w:tcW w:w="15920" w:type="dxa"/>
            <w:gridSpan w:val="9"/>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8"/>
                <w:szCs w:val="28"/>
                <w:u w:val="none"/>
                <w:lang w:val="en-US" w:eastAsia="zh-CN" w:bidi="ar"/>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jc w:val="center"/>
        </w:trPr>
        <w:tc>
          <w:tcPr>
            <w:tcW w:w="1167"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eastAsia" w:ascii="Arial" w:hAnsi="Arial" w:cs="Arial"/>
                <w:i w:val="0"/>
                <w:iCs w:val="0"/>
                <w:color w:val="000000"/>
                <w:sz w:val="18"/>
                <w:szCs w:val="18"/>
                <w:u w:val="none"/>
              </w:rPr>
            </w:pPr>
          </w:p>
        </w:tc>
        <w:tc>
          <w:tcPr>
            <w:tcW w:w="3163"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i w:val="0"/>
                <w:iCs w:val="0"/>
                <w:color w:val="000000"/>
                <w:sz w:val="18"/>
                <w:szCs w:val="18"/>
                <w:u w:val="none"/>
              </w:rPr>
            </w:pPr>
          </w:p>
        </w:tc>
        <w:tc>
          <w:tcPr>
            <w:tcW w:w="910"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i w:val="0"/>
                <w:iCs w:val="0"/>
                <w:color w:val="000000"/>
                <w:sz w:val="18"/>
                <w:szCs w:val="18"/>
                <w:u w:val="none"/>
              </w:rPr>
            </w:pPr>
          </w:p>
        </w:tc>
        <w:tc>
          <w:tcPr>
            <w:tcW w:w="1193"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i w:val="0"/>
                <w:iCs w:val="0"/>
                <w:color w:val="000000"/>
                <w:sz w:val="18"/>
                <w:szCs w:val="18"/>
                <w:u w:val="none"/>
              </w:rPr>
            </w:pPr>
          </w:p>
        </w:tc>
        <w:tc>
          <w:tcPr>
            <w:tcW w:w="2193"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i w:val="0"/>
                <w:iCs w:val="0"/>
                <w:color w:val="000000"/>
                <w:sz w:val="18"/>
                <w:szCs w:val="18"/>
                <w:u w:val="none"/>
              </w:rPr>
            </w:pPr>
          </w:p>
        </w:tc>
        <w:tc>
          <w:tcPr>
            <w:tcW w:w="1044"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i w:val="0"/>
                <w:iCs w:val="0"/>
                <w:color w:val="000000"/>
                <w:sz w:val="18"/>
                <w:szCs w:val="18"/>
                <w:u w:val="none"/>
              </w:rPr>
            </w:pPr>
          </w:p>
        </w:tc>
        <w:tc>
          <w:tcPr>
            <w:tcW w:w="1088"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i w:val="0"/>
                <w:iCs w:val="0"/>
                <w:color w:val="000000"/>
                <w:sz w:val="18"/>
                <w:szCs w:val="18"/>
                <w:u w:val="none"/>
              </w:rPr>
            </w:pPr>
          </w:p>
        </w:tc>
        <w:tc>
          <w:tcPr>
            <w:tcW w:w="3745"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i w:val="0"/>
                <w:iCs w:val="0"/>
                <w:color w:val="000000"/>
                <w:sz w:val="18"/>
                <w:szCs w:val="18"/>
                <w:u w:val="none"/>
              </w:rPr>
            </w:pPr>
          </w:p>
        </w:tc>
        <w:tc>
          <w:tcPr>
            <w:tcW w:w="1417" w:type="dxa"/>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jc w:val="center"/>
        </w:trPr>
        <w:tc>
          <w:tcPr>
            <w:tcW w:w="4330" w:type="dxa"/>
            <w:gridSpan w:val="2"/>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部门：岳阳市污水处理监督中心</w:t>
            </w:r>
          </w:p>
        </w:tc>
        <w:tc>
          <w:tcPr>
            <w:tcW w:w="910"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i w:val="0"/>
                <w:iCs w:val="0"/>
                <w:color w:val="000000"/>
                <w:sz w:val="18"/>
                <w:szCs w:val="18"/>
                <w:u w:val="none"/>
              </w:rPr>
            </w:pPr>
          </w:p>
        </w:tc>
        <w:tc>
          <w:tcPr>
            <w:tcW w:w="1193"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i w:val="0"/>
                <w:iCs w:val="0"/>
                <w:color w:val="000000"/>
                <w:sz w:val="18"/>
                <w:szCs w:val="18"/>
                <w:u w:val="none"/>
              </w:rPr>
            </w:pPr>
          </w:p>
        </w:tc>
        <w:tc>
          <w:tcPr>
            <w:tcW w:w="2193"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i w:val="0"/>
                <w:iCs w:val="0"/>
                <w:color w:val="000000"/>
                <w:sz w:val="18"/>
                <w:szCs w:val="18"/>
                <w:u w:val="none"/>
              </w:rPr>
            </w:pPr>
          </w:p>
        </w:tc>
        <w:tc>
          <w:tcPr>
            <w:tcW w:w="1044"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i w:val="0"/>
                <w:iCs w:val="0"/>
                <w:color w:val="000000"/>
                <w:sz w:val="18"/>
                <w:szCs w:val="18"/>
                <w:u w:val="none"/>
              </w:rPr>
            </w:pPr>
          </w:p>
        </w:tc>
        <w:tc>
          <w:tcPr>
            <w:tcW w:w="1088"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i w:val="0"/>
                <w:iCs w:val="0"/>
                <w:color w:val="000000"/>
                <w:sz w:val="18"/>
                <w:szCs w:val="18"/>
                <w:u w:val="none"/>
              </w:rPr>
            </w:pPr>
          </w:p>
        </w:tc>
        <w:tc>
          <w:tcPr>
            <w:tcW w:w="3745"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ascii="Arial" w:hAnsi="Arial" w:cs="Arial"/>
                <w:i w:val="0"/>
                <w:iCs w:val="0"/>
                <w:color w:val="000000"/>
                <w:sz w:val="18"/>
                <w:szCs w:val="18"/>
                <w:u w:val="none"/>
              </w:rPr>
            </w:pPr>
          </w:p>
        </w:tc>
        <w:tc>
          <w:tcPr>
            <w:tcW w:w="1417" w:type="dxa"/>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5240" w:type="dxa"/>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w:t>
            </w:r>
          </w:p>
        </w:tc>
        <w:tc>
          <w:tcPr>
            <w:tcW w:w="10680" w:type="dxa"/>
            <w:gridSpan w:val="6"/>
            <w:tcBorders>
              <w:top w:val="single" w:color="000000" w:sz="4" w:space="0"/>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jc w:val="center"/>
        </w:trPr>
        <w:tc>
          <w:tcPr>
            <w:tcW w:w="1167" w:type="dxa"/>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经济分类科目编码</w:t>
            </w:r>
          </w:p>
        </w:tc>
        <w:tc>
          <w:tcPr>
            <w:tcW w:w="3163"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910"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决算数</w:t>
            </w:r>
          </w:p>
        </w:tc>
        <w:tc>
          <w:tcPr>
            <w:tcW w:w="1193"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经济分类科目编码</w:t>
            </w:r>
          </w:p>
        </w:tc>
        <w:tc>
          <w:tcPr>
            <w:tcW w:w="2193"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044"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决算数</w:t>
            </w:r>
          </w:p>
        </w:tc>
        <w:tc>
          <w:tcPr>
            <w:tcW w:w="1088"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经济分类科目编码</w:t>
            </w:r>
          </w:p>
        </w:tc>
        <w:tc>
          <w:tcPr>
            <w:tcW w:w="3745"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417"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jc w:val="center"/>
        </w:trPr>
        <w:tc>
          <w:tcPr>
            <w:tcW w:w="1167" w:type="dxa"/>
            <w:vMerge w:val="continue"/>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163"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910"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193"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2193"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044"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088"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745"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417"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294.13</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45.27</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30101</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84.68</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30201</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2.48</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30701</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国内债务付息</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30102</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5.66</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30202</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3.91</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30702</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国外债务付息</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30103</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101.88</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30203</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资本性支出</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30106</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伙食补助费</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5.78</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30204</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手续费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31001</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房屋建筑物购建</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30107</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32.00</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30205</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31002</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办公设备购置</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30108</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23.06</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30206</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5.18</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31003</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专用设备购置</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30109</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30207</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0.60</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31005</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基础设施建设</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30110</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11.44</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30208</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取暖费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31006</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大型修缮</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30111</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4.23</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30209</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31007</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信息网络及软件购置更新</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30112</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3.85</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30211</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3.61</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31008</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物资储备</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30113</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13.16</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30212</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31009</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土地补偿</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30114</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8.38</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30213</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4.78</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31010</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安置补助</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30199</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30214</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租赁费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0.12</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31011</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地上附着物和青苗补偿</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3.49</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30215</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31012</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拆迁补偿</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30301</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30216</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0.08</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31013</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公务用车购置</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30302</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退休费</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30217</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其他交通工具购置</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30303</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退职（役）费</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30218</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31021</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文物和陈列品购置</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30304</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抚恤金</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30224</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被装购置费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31022</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无形资产购置</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30305</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生活补助</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0.45</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30225</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专用燃料费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31099</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其他资本性支出</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30306</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救济费</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30226</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劳务费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5.71</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30307</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医疗费补助</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30227</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39906</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赠与</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30308</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助学金</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30228</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2.93</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39907</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国家赔偿费用支出</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30309</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奖励金</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30229</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39908</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对民间非营利组织和群众性自治组织补贴</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30310</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个人农业生产补贴</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30231</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39999</w:t>
            </w: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30311</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代缴社会保险费</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30239</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00" w:lineRule="exact"/>
              <w:jc w:val="left"/>
              <w:rPr>
                <w:rFonts w:hint="eastAsia" w:ascii="宋体" w:hAnsi="宋体" w:eastAsia="宋体" w:cs="宋体"/>
                <w:i w:val="0"/>
                <w:iCs w:val="0"/>
                <w:color w:val="000000"/>
                <w:sz w:val="18"/>
                <w:szCs w:val="18"/>
                <w:u w:val="none"/>
              </w:rPr>
            </w:pP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00" w:lineRule="exact"/>
              <w:jc w:val="left"/>
              <w:rPr>
                <w:rFonts w:hint="eastAsia" w:ascii="宋体" w:hAnsi="宋体" w:eastAsia="宋体" w:cs="宋体"/>
                <w:i w:val="0"/>
                <w:iCs w:val="0"/>
                <w:color w:val="000000"/>
                <w:sz w:val="18"/>
                <w:szCs w:val="18"/>
                <w:u w:val="none"/>
              </w:rPr>
            </w:pP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30399</w:t>
            </w: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0.85</w:t>
            </w: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30240</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税金及附加费用</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00" w:lineRule="exact"/>
              <w:jc w:val="left"/>
              <w:rPr>
                <w:rFonts w:hint="eastAsia" w:ascii="宋体" w:hAnsi="宋体" w:eastAsia="宋体" w:cs="宋体"/>
                <w:i w:val="0"/>
                <w:iCs w:val="0"/>
                <w:color w:val="000000"/>
                <w:sz w:val="18"/>
                <w:szCs w:val="18"/>
                <w:u w:val="none"/>
              </w:rPr>
            </w:pP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00" w:lineRule="exact"/>
              <w:jc w:val="left"/>
              <w:rPr>
                <w:rFonts w:hint="eastAsia" w:ascii="宋体" w:hAnsi="宋体" w:eastAsia="宋体" w:cs="宋体"/>
                <w:i w:val="0"/>
                <w:iCs w:val="0"/>
                <w:color w:val="000000"/>
                <w:sz w:val="18"/>
                <w:szCs w:val="18"/>
                <w:u w:val="none"/>
              </w:rPr>
            </w:pP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167"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00" w:lineRule="exact"/>
              <w:jc w:val="left"/>
              <w:rPr>
                <w:rFonts w:hint="eastAsia" w:ascii="宋体" w:hAnsi="宋体" w:eastAsia="宋体" w:cs="宋体"/>
                <w:i w:val="0"/>
                <w:iCs w:val="0"/>
                <w:color w:val="000000"/>
                <w:sz w:val="18"/>
                <w:szCs w:val="18"/>
                <w:u w:val="none"/>
              </w:rPr>
            </w:pPr>
          </w:p>
        </w:tc>
        <w:tc>
          <w:tcPr>
            <w:tcW w:w="316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00" w:lineRule="exact"/>
              <w:jc w:val="left"/>
              <w:rPr>
                <w:rFonts w:hint="eastAsia" w:ascii="宋体" w:hAnsi="宋体" w:eastAsia="宋体" w:cs="宋体"/>
                <w:i w:val="0"/>
                <w:iCs w:val="0"/>
                <w:color w:val="000000"/>
                <w:sz w:val="18"/>
                <w:szCs w:val="18"/>
                <w:u w:val="none"/>
              </w:rPr>
            </w:pP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30299</w:t>
            </w:r>
          </w:p>
        </w:tc>
        <w:tc>
          <w:tcPr>
            <w:tcW w:w="21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1044"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12.70</w:t>
            </w:r>
          </w:p>
        </w:tc>
        <w:tc>
          <w:tcPr>
            <w:tcW w:w="108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00" w:lineRule="exact"/>
              <w:jc w:val="left"/>
              <w:rPr>
                <w:rFonts w:hint="eastAsia" w:ascii="宋体" w:hAnsi="宋体" w:eastAsia="宋体" w:cs="宋体"/>
                <w:i w:val="0"/>
                <w:iCs w:val="0"/>
                <w:color w:val="000000"/>
                <w:sz w:val="18"/>
                <w:szCs w:val="18"/>
                <w:u w:val="none"/>
              </w:rPr>
            </w:pPr>
          </w:p>
        </w:tc>
        <w:tc>
          <w:tcPr>
            <w:tcW w:w="374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00" w:lineRule="exact"/>
              <w:jc w:val="left"/>
              <w:rPr>
                <w:rFonts w:hint="eastAsia" w:ascii="宋体" w:hAnsi="宋体" w:eastAsia="宋体" w:cs="宋体"/>
                <w:i w:val="0"/>
                <w:iCs w:val="0"/>
                <w:color w:val="000000"/>
                <w:sz w:val="18"/>
                <w:szCs w:val="18"/>
                <w:u w:val="none"/>
              </w:rPr>
            </w:pP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4330" w:type="dxa"/>
            <w:gridSpan w:val="2"/>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人员经费合计</w:t>
            </w:r>
          </w:p>
        </w:tc>
        <w:tc>
          <w:tcPr>
            <w:tcW w:w="910"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297.62</w:t>
            </w:r>
          </w:p>
        </w:tc>
        <w:tc>
          <w:tcPr>
            <w:tcW w:w="9263" w:type="dxa"/>
            <w:gridSpan w:val="5"/>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公用经费合计</w:t>
            </w:r>
          </w:p>
        </w:tc>
        <w:tc>
          <w:tcPr>
            <w:tcW w:w="1417"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jc w:val="center"/>
        </w:trPr>
        <w:tc>
          <w:tcPr>
            <w:tcW w:w="15920" w:type="dxa"/>
            <w:gridSpan w:val="9"/>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注：本表反映部门本年度一般公共预算财政拨款基本支出明细情况。</w:t>
            </w:r>
          </w:p>
        </w:tc>
      </w:tr>
    </w:tbl>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tbl>
      <w:tblPr>
        <w:tblStyle w:val="5"/>
        <w:tblW w:w="1561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329"/>
        <w:gridCol w:w="1383"/>
        <w:gridCol w:w="1077"/>
        <w:gridCol w:w="793"/>
        <w:gridCol w:w="1115"/>
        <w:gridCol w:w="790"/>
        <w:gridCol w:w="1065"/>
        <w:gridCol w:w="1383"/>
        <w:gridCol w:w="1040"/>
        <w:gridCol w:w="806"/>
        <w:gridCol w:w="1037"/>
        <w:gridCol w:w="17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15614" w:type="dxa"/>
            <w:gridSpan w:val="12"/>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jc w:val="center"/>
        </w:trPr>
        <w:tc>
          <w:tcPr>
            <w:tcW w:w="3329"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138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7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79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11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79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6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8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4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0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3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796"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jc w:val="center"/>
        </w:trPr>
        <w:tc>
          <w:tcPr>
            <w:tcW w:w="332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部门：岳阳市污水处理监督中心</w:t>
            </w:r>
          </w:p>
        </w:tc>
        <w:tc>
          <w:tcPr>
            <w:tcW w:w="138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7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79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11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79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6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8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4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0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3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796"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jc w:val="center"/>
        </w:trPr>
        <w:tc>
          <w:tcPr>
            <w:tcW w:w="8487" w:type="dxa"/>
            <w:gridSpan w:val="6"/>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7127" w:type="dxa"/>
            <w:gridSpan w:val="6"/>
            <w:tcBorders>
              <w:top w:val="single" w:color="000000" w:sz="4" w:space="0"/>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4" w:hRule="atLeast"/>
          <w:jc w:val="center"/>
        </w:trPr>
        <w:tc>
          <w:tcPr>
            <w:tcW w:w="3329" w:type="dxa"/>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83"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2985" w:type="dxa"/>
            <w:gridSpan w:val="3"/>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公务用车购置及运行费</w:t>
            </w:r>
          </w:p>
        </w:tc>
        <w:tc>
          <w:tcPr>
            <w:tcW w:w="79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065"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83"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2883" w:type="dxa"/>
            <w:gridSpan w:val="3"/>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公务用车购置及运行费</w:t>
            </w:r>
          </w:p>
        </w:tc>
        <w:tc>
          <w:tcPr>
            <w:tcW w:w="179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 w:hRule="atLeast"/>
          <w:jc w:val="center"/>
        </w:trPr>
        <w:tc>
          <w:tcPr>
            <w:tcW w:w="3329"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83"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77"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793"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11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公务用车运行费</w:t>
            </w:r>
          </w:p>
        </w:tc>
        <w:tc>
          <w:tcPr>
            <w:tcW w:w="79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65"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83"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4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806"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037"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公务用车运行费</w:t>
            </w:r>
          </w:p>
        </w:tc>
        <w:tc>
          <w:tcPr>
            <w:tcW w:w="179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329" w:type="dxa"/>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83"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77"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1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6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383"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4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806"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7"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796"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6" w:hRule="atLeast"/>
          <w:jc w:val="center"/>
        </w:trPr>
        <w:tc>
          <w:tcPr>
            <w:tcW w:w="3329"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138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7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7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11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79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6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3.69</w:t>
            </w:r>
          </w:p>
        </w:tc>
        <w:tc>
          <w:tcPr>
            <w:tcW w:w="138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4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3.69</w:t>
            </w:r>
          </w:p>
        </w:tc>
        <w:tc>
          <w:tcPr>
            <w:tcW w:w="80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3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3.69</w:t>
            </w:r>
          </w:p>
        </w:tc>
        <w:tc>
          <w:tcPr>
            <w:tcW w:w="179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15614"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tbl>
      <w:tblPr>
        <w:tblStyle w:val="5"/>
        <w:tblW w:w="156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09"/>
        <w:gridCol w:w="233"/>
        <w:gridCol w:w="237"/>
        <w:gridCol w:w="2439"/>
        <w:gridCol w:w="1540"/>
        <w:gridCol w:w="1540"/>
        <w:gridCol w:w="1540"/>
        <w:gridCol w:w="1540"/>
        <w:gridCol w:w="1540"/>
        <w:gridCol w:w="17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5614" w:type="dxa"/>
            <w:gridSpan w:val="10"/>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3209"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23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3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43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4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4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4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4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4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796"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320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部门：岳阳市污水处理监督中心</w:t>
            </w:r>
          </w:p>
        </w:tc>
        <w:tc>
          <w:tcPr>
            <w:tcW w:w="23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3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43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4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4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4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4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4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796"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6118" w:type="dxa"/>
            <w:gridSpan w:val="4"/>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     目</w:t>
            </w:r>
          </w:p>
        </w:tc>
        <w:tc>
          <w:tcPr>
            <w:tcW w:w="1540"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540"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4620" w:type="dxa"/>
            <w:gridSpan w:val="3"/>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96"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6" w:hRule="atLeast"/>
        </w:trPr>
        <w:tc>
          <w:tcPr>
            <w:tcW w:w="3679" w:type="dxa"/>
            <w:gridSpan w:val="3"/>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2439"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54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40"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54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54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96"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6118" w:type="dxa"/>
            <w:gridSpan w:val="4"/>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  次</w:t>
            </w:r>
          </w:p>
        </w:tc>
        <w:tc>
          <w:tcPr>
            <w:tcW w:w="154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4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4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4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54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79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6118" w:type="dxa"/>
            <w:gridSpan w:val="4"/>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179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439"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9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439"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9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439"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9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439"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9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439"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9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439"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4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79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5614" w:type="dxa"/>
            <w:gridSpan w:val="10"/>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209"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405" w:type="dxa"/>
            <w:gridSpan w:val="9"/>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说明：我单位没有政府性基金收入，也没有使用政府性基金安排的支出，故本表无数据。</w:t>
            </w:r>
          </w:p>
        </w:tc>
      </w:tr>
    </w:tbl>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tbl>
      <w:tblPr>
        <w:tblStyle w:val="5"/>
        <w:tblW w:w="156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056"/>
        <w:gridCol w:w="297"/>
        <w:gridCol w:w="303"/>
        <w:gridCol w:w="4356"/>
        <w:gridCol w:w="2236"/>
        <w:gridCol w:w="1930"/>
        <w:gridCol w:w="24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5614" w:type="dxa"/>
            <w:gridSpan w:val="7"/>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4056"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29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0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435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23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93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436"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4056"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部门：岳阳市污水处理监督中心</w:t>
            </w:r>
          </w:p>
        </w:tc>
        <w:tc>
          <w:tcPr>
            <w:tcW w:w="29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0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435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23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93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436"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9012" w:type="dxa"/>
            <w:gridSpan w:val="4"/>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602" w:type="dxa"/>
            <w:gridSpan w:val="3"/>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656"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435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23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93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43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656"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3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23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93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43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4656"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3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23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93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43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9012" w:type="dxa"/>
            <w:gridSpan w:val="4"/>
            <w:tcBorders>
              <w:top w:val="nil"/>
              <w:left w:val="single" w:color="000000" w:sz="4" w:space="0"/>
              <w:bottom w:val="single" w:color="000000" w:sz="4" w:space="0"/>
              <w:right w:val="single" w:color="000000" w:sz="4" w:space="0"/>
            </w:tcBorders>
            <w:shd w:val="clear" w:color="FFFFFF" w:fill="C0C0C0"/>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223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930" w:type="dxa"/>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0"/>
                <w:szCs w:val="20"/>
                <w:u w:val="none"/>
              </w:rPr>
            </w:pPr>
          </w:p>
        </w:tc>
        <w:tc>
          <w:tcPr>
            <w:tcW w:w="2436" w:type="dxa"/>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9012" w:type="dxa"/>
            <w:gridSpan w:val="4"/>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223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193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243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656"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4356"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23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93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3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656"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4356"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23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93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3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656"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4356"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23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93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3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656"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4356"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23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93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3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656"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4356"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23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93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3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656"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4356"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23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93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43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248" w:type="dxa"/>
            <w:gridSpan w:val="5"/>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注：本表反映部门本年度国有资本经营预算财政拨款收入、支出及结转和结余情况。</w:t>
            </w:r>
          </w:p>
        </w:tc>
        <w:tc>
          <w:tcPr>
            <w:tcW w:w="193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436"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056"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192" w:type="dxa"/>
            <w:gridSpan w:val="4"/>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93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436"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056"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1558" w:type="dxa"/>
            <w:gridSpan w:val="6"/>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说明：我单位没有国有资本经营收入，也没有使用国有资本经营安排的支出，故本表无数据。</w:t>
            </w:r>
          </w:p>
        </w:tc>
      </w:tr>
    </w:tbl>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pPr>
    </w:p>
    <w:p>
      <w:pPr>
        <w:jc w:val="left"/>
        <w:rPr>
          <w:rFonts w:cs="黑体" w:asciiTheme="minorEastAsia" w:hAnsiTheme="minorEastAsia"/>
          <w:color w:val="000000"/>
          <w:kern w:val="0"/>
          <w:sz w:val="21"/>
          <w:szCs w:val="21"/>
        </w:rPr>
        <w:sectPr>
          <w:pgSz w:w="16838" w:h="11906" w:orient="landscape"/>
          <w:pgMar w:top="567" w:right="720" w:bottom="283" w:left="720" w:header="851" w:footer="992" w:gutter="0"/>
          <w:cols w:space="0" w:num="1"/>
          <w:rtlGutter w:val="0"/>
          <w:docGrid w:type="linesAndChars" w:linePitch="317" w:charSpace="0"/>
        </w:sectPr>
      </w:pPr>
    </w:p>
    <w:p>
      <w:pPr>
        <w:spacing w:line="800" w:lineRule="exact"/>
        <w:jc w:val="center"/>
        <w:rPr>
          <w:rFonts w:hint="eastAsia" w:eastAsia="方正小标宋简体"/>
          <w:bCs/>
          <w:sz w:val="46"/>
          <w:szCs w:val="46"/>
        </w:rPr>
      </w:pPr>
      <w:r>
        <w:rPr>
          <w:rFonts w:hint="eastAsia" w:eastAsia="方正小标宋简体"/>
          <w:bCs/>
          <w:sz w:val="46"/>
          <w:szCs w:val="46"/>
        </w:rPr>
        <w:t>岳阳市</w:t>
      </w:r>
      <w:r>
        <w:rPr>
          <w:rFonts w:hint="eastAsia" w:eastAsia="方正小标宋简体"/>
          <w:bCs/>
          <w:sz w:val="46"/>
          <w:szCs w:val="46"/>
          <w:u w:val="single"/>
        </w:rPr>
        <w:t>20</w:t>
      </w:r>
      <w:r>
        <w:rPr>
          <w:rFonts w:hint="eastAsia" w:eastAsia="方正小标宋简体"/>
          <w:bCs/>
          <w:sz w:val="46"/>
          <w:szCs w:val="46"/>
          <w:u w:val="single"/>
          <w:lang w:val="en-US" w:eastAsia="zh-CN"/>
        </w:rPr>
        <w:t>21</w:t>
      </w:r>
      <w:r>
        <w:rPr>
          <w:rFonts w:hint="eastAsia" w:eastAsia="方正小标宋简体"/>
          <w:bCs/>
          <w:sz w:val="46"/>
          <w:szCs w:val="46"/>
        </w:rPr>
        <w:t>年度</w:t>
      </w:r>
      <w:r>
        <w:rPr>
          <w:rFonts w:hint="eastAsia" w:eastAsia="方正小标宋简体"/>
          <w:bCs/>
          <w:sz w:val="46"/>
          <w:szCs w:val="46"/>
          <w:lang w:eastAsia="zh-CN"/>
        </w:rPr>
        <w:t>单位</w:t>
      </w:r>
      <w:r>
        <w:rPr>
          <w:rFonts w:hint="eastAsia" w:eastAsia="方正小标宋简体"/>
          <w:bCs/>
          <w:sz w:val="46"/>
          <w:szCs w:val="46"/>
        </w:rPr>
        <w:t>整体支出</w:t>
      </w:r>
    </w:p>
    <w:p>
      <w:pPr>
        <w:spacing w:line="800" w:lineRule="exact"/>
        <w:jc w:val="center"/>
        <w:rPr>
          <w:rFonts w:hint="eastAsia" w:eastAsia="方正小标宋简体"/>
          <w:bCs/>
          <w:sz w:val="46"/>
          <w:szCs w:val="46"/>
          <w:lang w:eastAsia="zh-CN"/>
        </w:rPr>
      </w:pPr>
      <w:r>
        <w:rPr>
          <w:rFonts w:hint="eastAsia" w:eastAsia="方正小标宋简体"/>
          <w:bCs/>
          <w:sz w:val="46"/>
          <w:szCs w:val="46"/>
        </w:rPr>
        <w:t>绩效</w:t>
      </w:r>
      <w:r>
        <w:rPr>
          <w:rFonts w:hint="eastAsia" w:eastAsia="方正小标宋简体"/>
          <w:bCs/>
          <w:sz w:val="46"/>
          <w:szCs w:val="46"/>
          <w:lang w:eastAsia="zh-CN"/>
        </w:rPr>
        <w:t>情况表</w:t>
      </w:r>
    </w:p>
    <w:tbl>
      <w:tblPr>
        <w:tblStyle w:val="5"/>
        <w:tblW w:w="93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654"/>
        <w:gridCol w:w="46"/>
        <w:gridCol w:w="1410"/>
        <w:gridCol w:w="9"/>
        <w:gridCol w:w="83"/>
        <w:gridCol w:w="421"/>
        <w:gridCol w:w="742"/>
        <w:gridCol w:w="155"/>
        <w:gridCol w:w="230"/>
        <w:gridCol w:w="465"/>
        <w:gridCol w:w="331"/>
        <w:gridCol w:w="384"/>
        <w:gridCol w:w="368"/>
        <w:gridCol w:w="733"/>
        <w:gridCol w:w="312"/>
        <w:gridCol w:w="126"/>
        <w:gridCol w:w="377"/>
        <w:gridCol w:w="558"/>
        <w:gridCol w:w="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黑体" w:cs="Times New Roman"/>
                <w:color w:val="000000"/>
                <w:sz w:val="28"/>
                <w:szCs w:val="28"/>
              </w:rPr>
              <w:t>一、单位基本概况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人员编制</w:t>
            </w:r>
          </w:p>
        </w:tc>
        <w:tc>
          <w:tcPr>
            <w:tcW w:w="3561" w:type="dxa"/>
            <w:gridSpan w:val="9"/>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23</w:t>
            </w:r>
          </w:p>
        </w:tc>
        <w:tc>
          <w:tcPr>
            <w:tcW w:w="715"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实有人数</w:t>
            </w:r>
          </w:p>
        </w:tc>
        <w:tc>
          <w:tcPr>
            <w:tcW w:w="3464" w:type="dxa"/>
            <w:gridSpan w:val="7"/>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562" w:hRule="atLeast"/>
          <w:jc w:val="center"/>
        </w:trPr>
        <w:tc>
          <w:tcPr>
            <w:tcW w:w="1654" w:type="dxa"/>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职能职责概述</w:t>
            </w:r>
          </w:p>
        </w:tc>
        <w:tc>
          <w:tcPr>
            <w:tcW w:w="7740" w:type="dxa"/>
            <w:gridSpan w:val="18"/>
            <w:noWrap w:val="0"/>
            <w:vAlign w:val="center"/>
          </w:tcPr>
          <w:p>
            <w:pPr>
              <w:autoSpaceDN w:val="0"/>
              <w:spacing w:line="320" w:lineRule="exact"/>
              <w:ind w:firstLine="480" w:firstLineChars="200"/>
              <w:jc w:val="left"/>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负责全市城市污水处理地方规范性文件的拟订与实施；参与制定全市城市污水处理规划；负责对城区排入排水管网的污水以及接入污水管网的管道进行监督管理；负责全市城市污水处理厂的监督与管理；负责对市区污水处理厂污水处理水量的核定及出水水质的监测，核定污水处理厂的污水处理服务费；负责市区污水处理站的运行管理及维护；负责全市污水处理行业管理和技术指导；负责专业技术人员和岗位操作人员的培训；负责统计全市污水处理行业运行数据及运行情况综合呈报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706" w:hRule="atLeast"/>
          <w:jc w:val="center"/>
        </w:trPr>
        <w:tc>
          <w:tcPr>
            <w:tcW w:w="1654" w:type="dxa"/>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年度主要</w:t>
            </w:r>
          </w:p>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工作内容</w:t>
            </w:r>
          </w:p>
        </w:tc>
        <w:tc>
          <w:tcPr>
            <w:tcW w:w="7740" w:type="dxa"/>
            <w:gridSpan w:val="18"/>
            <w:noWrap w:val="0"/>
            <w:vAlign w:val="center"/>
          </w:tcPr>
          <w:p>
            <w:pPr>
              <w:autoSpaceDN w:val="0"/>
              <w:spacing w:line="320" w:lineRule="exact"/>
              <w:jc w:val="left"/>
              <w:textAlignment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rPr>
              <w:t>任务1：</w:t>
            </w:r>
            <w:r>
              <w:rPr>
                <w:rFonts w:hint="default" w:ascii="Times New Roman" w:hAnsi="Times New Roman" w:eastAsia="仿宋_GB2312" w:cs="Times New Roman"/>
                <w:color w:val="000000"/>
                <w:sz w:val="24"/>
                <w:lang w:val="en-US" w:eastAsia="zh-CN"/>
              </w:rPr>
              <w:t>污水处理全年处于正常的安全运行：</w:t>
            </w:r>
            <w:r>
              <w:rPr>
                <w:rFonts w:hint="default" w:ascii="Times New Roman" w:hAnsi="Times New Roman" w:eastAsia="仿宋_GB2312" w:cs="Times New Roman"/>
                <w:color w:val="000000"/>
                <w:sz w:val="24"/>
                <w:lang w:val="en-US" w:eastAsia="zh-CN"/>
              </w:rPr>
              <w:fldChar w:fldCharType="begin"/>
            </w:r>
            <w:r>
              <w:rPr>
                <w:rFonts w:hint="default" w:ascii="Times New Roman" w:hAnsi="Times New Roman" w:eastAsia="仿宋_GB2312" w:cs="Times New Roman"/>
                <w:color w:val="000000"/>
                <w:sz w:val="24"/>
                <w:lang w:val="en-US" w:eastAsia="zh-CN"/>
              </w:rPr>
              <w:instrText xml:space="preserve"> = 1 \* GB3 \* MERGEFORMAT </w:instrText>
            </w:r>
            <w:r>
              <w:rPr>
                <w:rFonts w:hint="default" w:ascii="Times New Roman" w:hAnsi="Times New Roman" w:eastAsia="仿宋_GB2312" w:cs="Times New Roman"/>
                <w:color w:val="000000"/>
                <w:sz w:val="24"/>
                <w:lang w:val="en-US" w:eastAsia="zh-CN"/>
              </w:rPr>
              <w:fldChar w:fldCharType="separate"/>
            </w:r>
            <w:r>
              <w:rPr>
                <w:rFonts w:hint="default" w:ascii="Times New Roman" w:hAnsi="Times New Roman" w:cs="Times New Roman"/>
              </w:rPr>
              <w:t>①</w:t>
            </w:r>
            <w:r>
              <w:rPr>
                <w:rFonts w:hint="default" w:ascii="Times New Roman" w:hAnsi="Times New Roman" w:eastAsia="仿宋_GB2312" w:cs="Times New Roman"/>
                <w:color w:val="000000"/>
                <w:sz w:val="24"/>
                <w:lang w:val="en-US" w:eastAsia="zh-CN"/>
              </w:rPr>
              <w:fldChar w:fldCharType="end"/>
            </w:r>
            <w:r>
              <w:rPr>
                <w:rFonts w:hint="default" w:ascii="Times New Roman" w:hAnsi="Times New Roman" w:eastAsia="仿宋_GB2312" w:cs="Times New Roman"/>
                <w:color w:val="000000"/>
                <w:sz w:val="24"/>
                <w:lang w:val="en-US" w:eastAsia="zh-CN"/>
              </w:rPr>
              <w:t>突出对市中心城区污水厂的运行监管；</w:t>
            </w:r>
            <w:r>
              <w:rPr>
                <w:rFonts w:hint="default" w:ascii="Times New Roman" w:hAnsi="Times New Roman" w:eastAsia="仿宋_GB2312" w:cs="Times New Roman"/>
                <w:color w:val="000000"/>
                <w:sz w:val="24"/>
              </w:rPr>
              <w:fldChar w:fldCharType="begin"/>
            </w:r>
            <w:r>
              <w:rPr>
                <w:rFonts w:hint="default" w:ascii="Times New Roman" w:hAnsi="Times New Roman" w:eastAsia="仿宋_GB2312" w:cs="Times New Roman"/>
                <w:color w:val="000000"/>
                <w:sz w:val="24"/>
              </w:rPr>
              <w:instrText xml:space="preserve"> = 2 \* GB3 \* MERGEFORMAT </w:instrText>
            </w:r>
            <w:r>
              <w:rPr>
                <w:rFonts w:hint="default" w:ascii="Times New Roman" w:hAnsi="Times New Roman" w:eastAsia="仿宋_GB2312" w:cs="Times New Roman"/>
                <w:color w:val="000000"/>
                <w:sz w:val="24"/>
              </w:rPr>
              <w:fldChar w:fldCharType="separate"/>
            </w:r>
            <w:r>
              <w:rPr>
                <w:rFonts w:hint="default" w:ascii="Times New Roman" w:hAnsi="Times New Roman" w:cs="Times New Roman"/>
              </w:rPr>
              <w:t>②</w:t>
            </w:r>
            <w:r>
              <w:rPr>
                <w:rFonts w:hint="default" w:ascii="Times New Roman" w:hAnsi="Times New Roman" w:eastAsia="仿宋_GB2312" w:cs="Times New Roman"/>
                <w:color w:val="000000"/>
                <w:sz w:val="24"/>
              </w:rPr>
              <w:fldChar w:fldCharType="end"/>
            </w:r>
            <w:r>
              <w:rPr>
                <w:rFonts w:hint="default" w:ascii="Times New Roman" w:hAnsi="Times New Roman" w:eastAsia="仿宋_GB2312" w:cs="Times New Roman"/>
                <w:color w:val="000000"/>
                <w:sz w:val="24"/>
                <w:lang w:val="en-US" w:eastAsia="zh-CN"/>
              </w:rPr>
              <w:t>做好污水处理站的运行管理；</w:t>
            </w:r>
            <w:r>
              <w:rPr>
                <w:rFonts w:hint="default" w:ascii="Times New Roman" w:hAnsi="Times New Roman" w:eastAsia="仿宋_GB2312" w:cs="Times New Roman"/>
                <w:color w:val="000000"/>
                <w:sz w:val="24"/>
              </w:rPr>
              <w:fldChar w:fldCharType="begin"/>
            </w:r>
            <w:r>
              <w:rPr>
                <w:rFonts w:hint="default" w:ascii="Times New Roman" w:hAnsi="Times New Roman" w:eastAsia="仿宋_GB2312" w:cs="Times New Roman"/>
                <w:color w:val="000000"/>
                <w:sz w:val="24"/>
              </w:rPr>
              <w:instrText xml:space="preserve"> = 3 \* GB3 \* MERGEFORMAT </w:instrText>
            </w:r>
            <w:r>
              <w:rPr>
                <w:rFonts w:hint="default" w:ascii="Times New Roman" w:hAnsi="Times New Roman" w:eastAsia="仿宋_GB2312" w:cs="Times New Roman"/>
                <w:color w:val="000000"/>
                <w:sz w:val="24"/>
              </w:rPr>
              <w:fldChar w:fldCharType="separate"/>
            </w:r>
            <w:r>
              <w:rPr>
                <w:rFonts w:hint="default" w:ascii="Times New Roman" w:hAnsi="Times New Roman" w:cs="Times New Roman"/>
              </w:rPr>
              <w:t>③</w:t>
            </w:r>
            <w:r>
              <w:rPr>
                <w:rFonts w:hint="default" w:ascii="Times New Roman" w:hAnsi="Times New Roman" w:eastAsia="仿宋_GB2312" w:cs="Times New Roman"/>
                <w:color w:val="000000"/>
                <w:sz w:val="24"/>
              </w:rPr>
              <w:fldChar w:fldCharType="end"/>
            </w:r>
            <w:r>
              <w:rPr>
                <w:rFonts w:hint="default" w:ascii="Times New Roman" w:hAnsi="Times New Roman" w:eastAsia="仿宋_GB2312" w:cs="Times New Roman"/>
                <w:color w:val="000000"/>
                <w:sz w:val="24"/>
                <w:lang w:val="en-US" w:eastAsia="zh-CN"/>
              </w:rPr>
              <w:t>确保出水总磷浓度达标；</w:t>
            </w:r>
            <w:r>
              <w:rPr>
                <w:rFonts w:hint="default" w:ascii="Times New Roman" w:hAnsi="Times New Roman" w:eastAsia="仿宋_GB2312" w:cs="Times New Roman"/>
                <w:color w:val="000000"/>
                <w:sz w:val="24"/>
              </w:rPr>
              <w:fldChar w:fldCharType="begin"/>
            </w:r>
            <w:r>
              <w:rPr>
                <w:rFonts w:hint="default" w:ascii="Times New Roman" w:hAnsi="Times New Roman" w:eastAsia="仿宋_GB2312" w:cs="Times New Roman"/>
                <w:color w:val="000000"/>
                <w:sz w:val="24"/>
              </w:rPr>
              <w:instrText xml:space="preserve"> = 4 \* GB3 \* MERGEFORMAT </w:instrText>
            </w:r>
            <w:r>
              <w:rPr>
                <w:rFonts w:hint="default" w:ascii="Times New Roman" w:hAnsi="Times New Roman" w:eastAsia="仿宋_GB2312" w:cs="Times New Roman"/>
                <w:color w:val="000000"/>
                <w:sz w:val="24"/>
              </w:rPr>
              <w:fldChar w:fldCharType="separate"/>
            </w:r>
            <w:r>
              <w:rPr>
                <w:rFonts w:hint="default" w:ascii="Times New Roman" w:hAnsi="Times New Roman" w:cs="Times New Roman"/>
              </w:rPr>
              <w:t>④</w:t>
            </w:r>
            <w:r>
              <w:rPr>
                <w:rFonts w:hint="default" w:ascii="Times New Roman" w:hAnsi="Times New Roman" w:eastAsia="仿宋_GB2312" w:cs="Times New Roman"/>
                <w:color w:val="000000"/>
                <w:sz w:val="24"/>
              </w:rPr>
              <w:fldChar w:fldCharType="end"/>
            </w:r>
            <w:r>
              <w:rPr>
                <w:rFonts w:hint="default" w:ascii="Times New Roman" w:hAnsi="Times New Roman" w:eastAsia="仿宋_GB2312" w:cs="Times New Roman"/>
                <w:color w:val="000000"/>
                <w:sz w:val="24"/>
                <w:lang w:val="en-US" w:eastAsia="zh-CN"/>
              </w:rPr>
              <w:t>认真开展日常水质监督检测工作；</w:t>
            </w:r>
          </w:p>
          <w:p>
            <w:pPr>
              <w:autoSpaceDN w:val="0"/>
              <w:spacing w:line="320" w:lineRule="exact"/>
              <w:jc w:val="left"/>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任务2：污泥无害化处置达到100%；</w:t>
            </w:r>
          </w:p>
          <w:p>
            <w:pPr>
              <w:autoSpaceDN w:val="0"/>
              <w:spacing w:line="320" w:lineRule="exact"/>
              <w:jc w:val="left"/>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任务3：黑臭水应急治理处置成效突出；</w:t>
            </w:r>
          </w:p>
          <w:p>
            <w:pPr>
              <w:autoSpaceDN w:val="0"/>
              <w:spacing w:line="320" w:lineRule="exact"/>
              <w:jc w:val="left"/>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任务4：污水处理费足额完成年度征缴任务。</w:t>
            </w:r>
          </w:p>
          <w:p>
            <w:pPr>
              <w:autoSpaceDN w:val="0"/>
              <w:spacing w:line="320" w:lineRule="exact"/>
              <w:jc w:val="left"/>
              <w:textAlignment w:val="center"/>
              <w:rPr>
                <w:rFonts w:hint="default" w:ascii="Times New Roman" w:hAnsi="Times New Roman" w:eastAsia="仿宋_GB2312"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20" w:hRule="atLeast"/>
          <w:jc w:val="center"/>
        </w:trPr>
        <w:tc>
          <w:tcPr>
            <w:tcW w:w="1654" w:type="dxa"/>
            <w:noWrap w:val="0"/>
            <w:vAlign w:val="center"/>
          </w:tcPr>
          <w:p>
            <w:pPr>
              <w:autoSpaceDN w:val="0"/>
              <w:spacing w:line="320" w:lineRule="exact"/>
              <w:jc w:val="center"/>
              <w:textAlignment w:val="center"/>
              <w:rPr>
                <w:rFonts w:hint="default" w:ascii="Times New Roman" w:hAnsi="Times New Roman" w:eastAsia="仿宋_GB2312" w:cs="Times New Roman"/>
                <w:color w:val="000000"/>
                <w:spacing w:val="-6"/>
                <w:sz w:val="24"/>
              </w:rPr>
            </w:pPr>
            <w:r>
              <w:rPr>
                <w:rFonts w:hint="default" w:ascii="Times New Roman" w:hAnsi="Times New Roman" w:eastAsia="仿宋_GB2312" w:cs="Times New Roman"/>
                <w:color w:val="000000"/>
                <w:spacing w:val="-6"/>
                <w:sz w:val="24"/>
              </w:rPr>
              <w:t>总体运行情况及取得的成绩</w:t>
            </w:r>
          </w:p>
        </w:tc>
        <w:tc>
          <w:tcPr>
            <w:tcW w:w="7740" w:type="dxa"/>
            <w:gridSpan w:val="18"/>
            <w:noWrap w:val="0"/>
            <w:vAlign w:val="center"/>
          </w:tcPr>
          <w:p>
            <w:pPr>
              <w:autoSpaceDN w:val="0"/>
              <w:spacing w:line="320" w:lineRule="exact"/>
              <w:ind w:firstLine="480" w:firstLineChars="200"/>
              <w:jc w:val="left"/>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lang w:val="en-US" w:eastAsia="zh-CN"/>
              </w:rPr>
              <w:t>1、</w:t>
            </w:r>
            <w:r>
              <w:rPr>
                <w:rFonts w:hint="default" w:ascii="Times New Roman" w:hAnsi="Times New Roman" w:eastAsia="仿宋_GB2312" w:cs="Times New Roman"/>
                <w:color w:val="000000"/>
                <w:sz w:val="24"/>
              </w:rPr>
              <w:t>2021年市中心城区投入运营的七座污水处理厂累计处理污水10555.8万吨（进水），平均运行负荷率达63.56%，累计削减化学需氧量（COD）21107.34吨，确保了污水处理设施的正常运行。对污水处理设施运行和提标改造现场督办共210余次，针对运营所存在问题，共下发整改督办函和警告函7份，召开生产监管工作例会4次，确保了污水处理设施正常运转和运行效益的发挥。全年严格按照特许经营协议核定岳阳鹏鹞水务公司污水处理服务费6984.0903万元，其中核减罗家坡一期污水处理厂污水服务费11.3639万元。核定岳阳市三峡水环境综合治理有限公司污水处理服务费896.325万元，其中核减湖滨污水处理厂污水处理服务费28.5万元。核定岳阳环保水务公司2020年度污水处理服务费2510.179万元，其中核减马壕污水处理厂污水服务费5.126万元；核减黄梅港污水处理厂8.2788万元。合计核定污水处理服务费10390.5943万元，累计核减污水处理服务费53.2687万元。</w:t>
            </w:r>
          </w:p>
          <w:p>
            <w:pPr>
              <w:autoSpaceDN w:val="0"/>
              <w:spacing w:line="320" w:lineRule="exact"/>
              <w:ind w:firstLine="480" w:firstLineChars="200"/>
              <w:jc w:val="left"/>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我中心下属的尚书桃花源污水初处理站由于建成运行时间长，设施设备陈旧老化，故障率高。为确保正常运行，我们组织专业技术人员对重点关键设备进行了逐一排查，根据设备的实际情况，制定了详细的维护保养方案。严格按年度计划和维护保养要求，对高低压配电、自控系统、生化曝气系统、格栅等泵站设备进行了4次维护保养，并及时对生化池进行日常清淤。为确保设备的良好运行，技术人员经常加班加点，应急抢修设备故障10余次。</w:t>
            </w:r>
          </w:p>
          <w:p>
            <w:pPr>
              <w:autoSpaceDN w:val="0"/>
              <w:spacing w:line="320" w:lineRule="exact"/>
              <w:ind w:firstLine="480" w:firstLineChars="200"/>
              <w:jc w:val="left"/>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lang w:val="en-US" w:eastAsia="zh-CN"/>
              </w:rPr>
              <w:t>2、</w:t>
            </w:r>
            <w:r>
              <w:rPr>
                <w:rFonts w:hint="default" w:ascii="Times New Roman" w:hAnsi="Times New Roman" w:eastAsia="仿宋_GB2312" w:cs="Times New Roman"/>
                <w:color w:val="000000"/>
                <w:sz w:val="24"/>
              </w:rPr>
              <w:t>确保出水总磷浓度达标。岳阳市突出环境问题整改工作领导小组分别于2021年2月、5月、7月、10月，印发《岳阳市洞庭湖域枯水期应急响应行动方案》《岳阳市洞庭湖域总磷浓度偏高问题整改方案》《岳阳市洞庭湖域总磷削减工作实施方案》《岳阳市特别防护期水环境管控行动方案》要求“全市城区生活污水处理厂尾水排放总磷浓度不得高于0.1mg/L”（10月前要求不得高于0.2mg/L）。我中心迅速组织市中心城区7家污水处理厂负责人召开了专题会议，要求各污水处理厂结合自身污水处理工艺，采取超常规的措施，严格按时间节点落实。我中心通过在线监控平台、各厂现场抽样化验、督查人员现场检查等多种形式同步对市中心城区各污水处理厂工艺调整和出水总磷指标情况进行实时监控，确保第一时间掌握污水厂总磷指标情况并及时督办，目前，各污水处理厂出水总磷浓度基本达到排放要求。</w:t>
            </w:r>
          </w:p>
          <w:p>
            <w:pPr>
              <w:autoSpaceDN w:val="0"/>
              <w:spacing w:line="320" w:lineRule="exact"/>
              <w:ind w:firstLine="480" w:firstLineChars="200"/>
              <w:jc w:val="left"/>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lang w:val="en-US" w:eastAsia="zh-CN"/>
              </w:rPr>
              <w:t>3、</w:t>
            </w:r>
            <w:r>
              <w:rPr>
                <w:rFonts w:hint="default" w:ascii="Times New Roman" w:hAnsi="Times New Roman" w:eastAsia="仿宋_GB2312" w:cs="Times New Roman"/>
                <w:color w:val="000000"/>
                <w:sz w:val="24"/>
              </w:rPr>
              <w:t>认真开展日常水质监督检测工作。每月不定期对中心城区投入运行的7家污水处理厂进水、出水及污泥进行抽样监测，2021年共计抽样监测108个批次，累计出具检测报告296份。严格要求各污水处理厂按照《城镇污水处理厂运行技术规范》做好化验室的基础建设、日常化验检测工作，对不符合运行规范的污水厂进行了通报或通知整改，全年累计下发1份通报和4份整改通知。</w:t>
            </w:r>
          </w:p>
          <w:p>
            <w:pPr>
              <w:autoSpaceDN w:val="0"/>
              <w:spacing w:line="320" w:lineRule="exact"/>
              <w:ind w:firstLine="480" w:firstLineChars="200"/>
              <w:jc w:val="left"/>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lang w:val="en-US" w:eastAsia="zh-CN"/>
              </w:rPr>
              <w:t>4、</w:t>
            </w:r>
            <w:r>
              <w:rPr>
                <w:rFonts w:hint="default" w:ascii="Times New Roman" w:hAnsi="Times New Roman" w:eastAsia="仿宋_GB2312" w:cs="Times New Roman"/>
                <w:color w:val="000000"/>
                <w:sz w:val="24"/>
              </w:rPr>
              <w:t>污泥无害化处置达到100%。在污泥处理处置监管方面，先后就处置单位主体责任、污泥转移联单制度、污泥处置应急预案、报告制度等召开污泥处理处置专题会议，每月实地抄表和每月建立报表台账制度，每季度实行一个月的地磅计量抽查，核准污泥处置量，严把污泥处置服务费审核关，及时纠正污泥处置过程中存在的问题。全年严格按照污泥临时处置协议核定污泥处置服务费1014.2379万元，核减污泥处置服务费115.0191万元。</w:t>
            </w:r>
          </w:p>
          <w:p>
            <w:pPr>
              <w:autoSpaceDN w:val="0"/>
              <w:spacing w:line="320" w:lineRule="exact"/>
              <w:ind w:firstLine="480" w:firstLineChars="200"/>
              <w:jc w:val="left"/>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lang w:val="en-US" w:eastAsia="zh-CN"/>
              </w:rPr>
              <w:t>5</w:t>
            </w:r>
            <w:r>
              <w:rPr>
                <w:rFonts w:hint="default" w:ascii="Times New Roman" w:hAnsi="Times New Roman" w:eastAsia="仿宋_GB2312" w:cs="Times New Roman"/>
                <w:color w:val="000000"/>
                <w:sz w:val="24"/>
              </w:rPr>
              <w:t>、顺利完黑臭水应急治理处置工作。切实搞好羊角山垃圾场渗滤液处置工作，为防止羊角山垃圾场渗滤液溢流至北港河，根据市政府领导巡河重要指示和市住建局安排，羊角山垃圾场渗滤液处置工作自2018年6月26日交由我中心具体负责实施。经向市局请示同意后，采用泵适当抽取调节池渗滤液来浇灌封场范围内表层植被的应急处理方案，利用植物吸收水分和水分蒸发解决溢流问题，2021年我中心对现场应急处理工程进行了改造，实现了封场植被浇淋喷头全覆盖，保证调节池液位处在有效液位，避免渗滤液从调节池溢出，有效的杜绝了对北港河的污染。</w:t>
            </w:r>
          </w:p>
          <w:p>
            <w:pPr>
              <w:autoSpaceDN w:val="0"/>
              <w:spacing w:line="320" w:lineRule="exact"/>
              <w:ind w:firstLine="480" w:firstLineChars="200"/>
              <w:jc w:val="left"/>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lang w:val="en-US" w:eastAsia="zh-CN"/>
              </w:rPr>
              <w:t>6</w:t>
            </w:r>
            <w:r>
              <w:rPr>
                <w:rFonts w:hint="default" w:ascii="Times New Roman" w:hAnsi="Times New Roman" w:eastAsia="仿宋_GB2312" w:cs="Times New Roman"/>
                <w:color w:val="000000"/>
                <w:sz w:val="24"/>
              </w:rPr>
              <w:t>、污水处理费足额完成年度征缴任务。为完成市财政非税局年初下达的目标任务，我中心不厌其烦地督促自来水公司将污水处理费按时足额上缴，经过坚持不懈的努力和耐心细致的工作，2021年度污水处理费收费工作完成了财政今年下达的征收任务7500万，另完成历史欠缴征收任务1000万元，累计全年完成征收任务8500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黑体" w:cs="Times New Roman"/>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vMerge w:val="restart"/>
            <w:tcBorders>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收入合计</w:t>
            </w:r>
          </w:p>
        </w:tc>
        <w:tc>
          <w:tcPr>
            <w:tcW w:w="7740" w:type="dxa"/>
            <w:gridSpan w:val="18"/>
            <w:tcBorders>
              <w:lef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654" w:type="dxa"/>
            <w:vMerge w:val="continue"/>
            <w:tcBorders>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p>
        </w:tc>
        <w:tc>
          <w:tcPr>
            <w:tcW w:w="1548" w:type="dxa"/>
            <w:gridSpan w:val="4"/>
            <w:tcBorders>
              <w:lef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上年结转</w:t>
            </w:r>
          </w:p>
        </w:tc>
        <w:tc>
          <w:tcPr>
            <w:tcW w:w="1548" w:type="dxa"/>
            <w:gridSpan w:val="4"/>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公共财</w:t>
            </w:r>
          </w:p>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政拨款</w:t>
            </w:r>
          </w:p>
        </w:tc>
        <w:tc>
          <w:tcPr>
            <w:tcW w:w="1548" w:type="dxa"/>
            <w:gridSpan w:val="4"/>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政府基金拨款</w:t>
            </w:r>
          </w:p>
        </w:tc>
        <w:tc>
          <w:tcPr>
            <w:tcW w:w="1548" w:type="dxa"/>
            <w:gridSpan w:val="4"/>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纳入专户管理的非税收入</w:t>
            </w:r>
          </w:p>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拨款</w:t>
            </w:r>
          </w:p>
        </w:tc>
        <w:tc>
          <w:tcPr>
            <w:tcW w:w="1548" w:type="dxa"/>
            <w:gridSpan w:val="2"/>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其他</w:t>
            </w:r>
          </w:p>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69" w:hRule="atLeast"/>
          <w:jc w:val="center"/>
        </w:trPr>
        <w:tc>
          <w:tcPr>
            <w:tcW w:w="1654" w:type="dxa"/>
            <w:tcBorders>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577.73</w:t>
            </w:r>
          </w:p>
        </w:tc>
        <w:tc>
          <w:tcPr>
            <w:tcW w:w="1548" w:type="dxa"/>
            <w:gridSpan w:val="4"/>
            <w:tcBorders>
              <w:lef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159.85</w:t>
            </w:r>
          </w:p>
        </w:tc>
        <w:tc>
          <w:tcPr>
            <w:tcW w:w="1548" w:type="dxa"/>
            <w:gridSpan w:val="4"/>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417.88</w:t>
            </w:r>
          </w:p>
        </w:tc>
        <w:tc>
          <w:tcPr>
            <w:tcW w:w="1548" w:type="dxa"/>
            <w:gridSpan w:val="4"/>
            <w:noWrap w:val="0"/>
            <w:vAlign w:val="center"/>
          </w:tcPr>
          <w:p>
            <w:pPr>
              <w:autoSpaceDN w:val="0"/>
              <w:spacing w:line="320" w:lineRule="exact"/>
              <w:jc w:val="center"/>
              <w:textAlignment w:val="center"/>
              <w:rPr>
                <w:rFonts w:hint="eastAsia"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0</w:t>
            </w:r>
          </w:p>
        </w:tc>
        <w:tc>
          <w:tcPr>
            <w:tcW w:w="1548" w:type="dxa"/>
            <w:gridSpan w:val="4"/>
            <w:noWrap w:val="0"/>
            <w:vAlign w:val="center"/>
          </w:tcPr>
          <w:p>
            <w:pPr>
              <w:autoSpaceDN w:val="0"/>
              <w:spacing w:line="320" w:lineRule="exact"/>
              <w:jc w:val="center"/>
              <w:textAlignment w:val="center"/>
              <w:rPr>
                <w:rFonts w:hint="eastAsia"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0</w:t>
            </w:r>
          </w:p>
        </w:tc>
        <w:tc>
          <w:tcPr>
            <w:tcW w:w="1548" w:type="dxa"/>
            <w:gridSpan w:val="2"/>
            <w:noWrap w:val="0"/>
            <w:vAlign w:val="center"/>
          </w:tcPr>
          <w:p>
            <w:pPr>
              <w:autoSpaceDN w:val="0"/>
              <w:spacing w:line="320" w:lineRule="exact"/>
              <w:jc w:val="center"/>
              <w:textAlignment w:val="center"/>
              <w:rPr>
                <w:rFonts w:hint="eastAsia"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394" w:type="dxa"/>
            <w:gridSpan w:val="19"/>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b/>
                <w:bCs/>
                <w:color w:val="000000"/>
                <w:sz w:val="24"/>
              </w:rPr>
              <w:t>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6"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支出合计</w:t>
            </w:r>
          </w:p>
        </w:tc>
        <w:tc>
          <w:tcPr>
            <w:tcW w:w="1419" w:type="dxa"/>
            <w:gridSpan w:val="2"/>
            <w:vMerge w:val="restart"/>
            <w:tcBorders>
              <w:left w:val="single" w:color="auto" w:sz="4" w:space="0"/>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基本支出</w:t>
            </w:r>
          </w:p>
        </w:tc>
        <w:tc>
          <w:tcPr>
            <w:tcW w:w="2811" w:type="dxa"/>
            <w:gridSpan w:val="8"/>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其中：</w:t>
            </w:r>
          </w:p>
        </w:tc>
        <w:tc>
          <w:tcPr>
            <w:tcW w:w="1413" w:type="dxa"/>
            <w:gridSpan w:val="3"/>
            <w:vMerge w:val="restart"/>
            <w:tcBorders>
              <w:left w:val="single" w:color="auto" w:sz="4" w:space="0"/>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项目支出</w:t>
            </w:r>
          </w:p>
        </w:tc>
        <w:tc>
          <w:tcPr>
            <w:tcW w:w="2051"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p>
        </w:tc>
        <w:tc>
          <w:tcPr>
            <w:tcW w:w="1419" w:type="dxa"/>
            <w:gridSpan w:val="2"/>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p>
        </w:tc>
        <w:tc>
          <w:tcPr>
            <w:tcW w:w="1401" w:type="dxa"/>
            <w:gridSpan w:val="4"/>
            <w:tcBorders>
              <w:top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人员支出</w:t>
            </w:r>
          </w:p>
        </w:tc>
        <w:tc>
          <w:tcPr>
            <w:tcW w:w="1410" w:type="dxa"/>
            <w:gridSpan w:val="4"/>
            <w:tcBorders>
              <w:top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公用支出</w:t>
            </w:r>
          </w:p>
        </w:tc>
        <w:tc>
          <w:tcPr>
            <w:tcW w:w="1413" w:type="dxa"/>
            <w:gridSpan w:val="3"/>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p>
        </w:tc>
        <w:tc>
          <w:tcPr>
            <w:tcW w:w="1061" w:type="dxa"/>
            <w:gridSpan w:val="3"/>
            <w:tcBorders>
              <w:top w:val="single" w:color="auto" w:sz="4" w:space="0"/>
              <w:left w:val="single" w:color="auto" w:sz="4" w:space="0"/>
              <w:right w:val="single" w:color="auto" w:sz="4" w:space="0"/>
            </w:tcBorders>
            <w:noWrap w:val="0"/>
            <w:vAlign w:val="center"/>
          </w:tcPr>
          <w:p>
            <w:pPr>
              <w:autoSpaceDN w:val="0"/>
              <w:spacing w:line="320" w:lineRule="exact"/>
              <w:jc w:val="both"/>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当年结余</w:t>
            </w:r>
          </w:p>
        </w:tc>
        <w:tc>
          <w:tcPr>
            <w:tcW w:w="990" w:type="dxa"/>
            <w:tcBorders>
              <w:top w:val="single" w:color="auto" w:sz="4" w:space="0"/>
              <w:lef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577.73</w:t>
            </w:r>
          </w:p>
        </w:tc>
        <w:tc>
          <w:tcPr>
            <w:tcW w:w="1410" w:type="dxa"/>
            <w:tcBorders>
              <w:lef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344.75</w:t>
            </w:r>
          </w:p>
        </w:tc>
        <w:tc>
          <w:tcPr>
            <w:tcW w:w="1410" w:type="dxa"/>
            <w:gridSpan w:val="5"/>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297.62</w:t>
            </w:r>
          </w:p>
        </w:tc>
        <w:tc>
          <w:tcPr>
            <w:tcW w:w="1410" w:type="dxa"/>
            <w:gridSpan w:val="4"/>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47.13</w:t>
            </w:r>
          </w:p>
        </w:tc>
        <w:tc>
          <w:tcPr>
            <w:tcW w:w="1413" w:type="dxa"/>
            <w:gridSpan w:val="3"/>
            <w:tcBorders>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232.98</w:t>
            </w:r>
          </w:p>
        </w:tc>
        <w:tc>
          <w:tcPr>
            <w:tcW w:w="1061" w:type="dxa"/>
            <w:gridSpan w:val="3"/>
            <w:tcBorders>
              <w:left w:val="single" w:color="auto" w:sz="4" w:space="0"/>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0</w:t>
            </w:r>
          </w:p>
        </w:tc>
        <w:tc>
          <w:tcPr>
            <w:tcW w:w="990" w:type="dxa"/>
            <w:tcBorders>
              <w:lef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三公经费合计</w:t>
            </w:r>
          </w:p>
        </w:tc>
        <w:tc>
          <w:tcPr>
            <w:tcW w:w="7694" w:type="dxa"/>
            <w:gridSpan w:val="17"/>
            <w:tcBorders>
              <w:lef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p>
        </w:tc>
        <w:tc>
          <w:tcPr>
            <w:tcW w:w="1923" w:type="dxa"/>
            <w:gridSpan w:val="4"/>
            <w:tcBorders>
              <w:lef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公务接待费</w:t>
            </w:r>
          </w:p>
        </w:tc>
        <w:tc>
          <w:tcPr>
            <w:tcW w:w="1923" w:type="dxa"/>
            <w:gridSpan w:val="5"/>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公务用车运维费</w:t>
            </w:r>
          </w:p>
        </w:tc>
        <w:tc>
          <w:tcPr>
            <w:tcW w:w="1923" w:type="dxa"/>
            <w:gridSpan w:val="5"/>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公务用车购置费</w:t>
            </w:r>
          </w:p>
        </w:tc>
        <w:tc>
          <w:tcPr>
            <w:tcW w:w="1925" w:type="dxa"/>
            <w:gridSpan w:val="3"/>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3.69</w:t>
            </w:r>
          </w:p>
        </w:tc>
        <w:tc>
          <w:tcPr>
            <w:tcW w:w="1923" w:type="dxa"/>
            <w:gridSpan w:val="4"/>
            <w:tcBorders>
              <w:left w:val="single" w:color="auto" w:sz="4" w:space="0"/>
            </w:tcBorders>
            <w:noWrap w:val="0"/>
            <w:vAlign w:val="center"/>
          </w:tcPr>
          <w:p>
            <w:pPr>
              <w:autoSpaceDN w:val="0"/>
              <w:spacing w:line="320" w:lineRule="exact"/>
              <w:jc w:val="center"/>
              <w:textAlignment w:val="center"/>
              <w:rPr>
                <w:rFonts w:hint="eastAsia"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0</w:t>
            </w:r>
          </w:p>
        </w:tc>
        <w:tc>
          <w:tcPr>
            <w:tcW w:w="1923" w:type="dxa"/>
            <w:gridSpan w:val="5"/>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3.69</w:t>
            </w:r>
          </w:p>
        </w:tc>
        <w:tc>
          <w:tcPr>
            <w:tcW w:w="1923" w:type="dxa"/>
            <w:gridSpan w:val="5"/>
            <w:noWrap w:val="0"/>
            <w:vAlign w:val="center"/>
          </w:tcPr>
          <w:p>
            <w:pPr>
              <w:autoSpaceDN w:val="0"/>
              <w:spacing w:line="320" w:lineRule="exact"/>
              <w:jc w:val="center"/>
              <w:textAlignment w:val="center"/>
              <w:rPr>
                <w:rFonts w:hint="eastAsia"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0</w:t>
            </w:r>
          </w:p>
        </w:tc>
        <w:tc>
          <w:tcPr>
            <w:tcW w:w="1925" w:type="dxa"/>
            <w:gridSpan w:val="3"/>
            <w:noWrap w:val="0"/>
            <w:vAlign w:val="center"/>
          </w:tcPr>
          <w:p>
            <w:pPr>
              <w:autoSpaceDN w:val="0"/>
              <w:spacing w:line="320" w:lineRule="exact"/>
              <w:jc w:val="center"/>
              <w:textAlignment w:val="center"/>
              <w:rPr>
                <w:rFonts w:hint="eastAsia"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固定资产合计</w:t>
            </w:r>
          </w:p>
        </w:tc>
        <w:tc>
          <w:tcPr>
            <w:tcW w:w="5331" w:type="dxa"/>
            <w:gridSpan w:val="12"/>
            <w:tcBorders>
              <w:left w:val="single" w:color="auto" w:sz="4" w:space="0"/>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其中：</w:t>
            </w:r>
          </w:p>
        </w:tc>
        <w:tc>
          <w:tcPr>
            <w:tcW w:w="2363" w:type="dxa"/>
            <w:gridSpan w:val="5"/>
            <w:vMerge w:val="restart"/>
            <w:tcBorders>
              <w:lef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p>
        </w:tc>
        <w:tc>
          <w:tcPr>
            <w:tcW w:w="2665" w:type="dxa"/>
            <w:gridSpan w:val="5"/>
            <w:tcBorders>
              <w:lef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在用固定资产</w:t>
            </w:r>
          </w:p>
        </w:tc>
        <w:tc>
          <w:tcPr>
            <w:tcW w:w="2666" w:type="dxa"/>
            <w:gridSpan w:val="7"/>
            <w:tcBorders>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出租固定资产</w:t>
            </w:r>
          </w:p>
        </w:tc>
        <w:tc>
          <w:tcPr>
            <w:tcW w:w="2363" w:type="dxa"/>
            <w:gridSpan w:val="5"/>
            <w:vMerge w:val="continue"/>
            <w:tcBorders>
              <w:lef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2056.35</w:t>
            </w:r>
          </w:p>
        </w:tc>
        <w:tc>
          <w:tcPr>
            <w:tcW w:w="2665" w:type="dxa"/>
            <w:gridSpan w:val="5"/>
            <w:tcBorders>
              <w:left w:val="single" w:color="auto" w:sz="4" w:space="0"/>
            </w:tcBorders>
            <w:noWrap w:val="0"/>
            <w:vAlign w:val="center"/>
          </w:tcPr>
          <w:p>
            <w:pPr>
              <w:autoSpaceDN w:val="0"/>
              <w:spacing w:line="320" w:lineRule="exact"/>
              <w:jc w:val="center"/>
              <w:textAlignment w:val="center"/>
              <w:rPr>
                <w:rFonts w:hint="default"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2056.35</w:t>
            </w:r>
          </w:p>
        </w:tc>
        <w:tc>
          <w:tcPr>
            <w:tcW w:w="2666" w:type="dxa"/>
            <w:gridSpan w:val="7"/>
            <w:tcBorders>
              <w:right w:val="single" w:color="auto" w:sz="4" w:space="0"/>
            </w:tcBorders>
            <w:noWrap w:val="0"/>
            <w:vAlign w:val="center"/>
          </w:tcPr>
          <w:p>
            <w:pPr>
              <w:autoSpaceDN w:val="0"/>
              <w:spacing w:line="320" w:lineRule="exact"/>
              <w:jc w:val="center"/>
              <w:textAlignment w:val="center"/>
              <w:rPr>
                <w:rFonts w:hint="eastAsia"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0</w:t>
            </w:r>
          </w:p>
        </w:tc>
        <w:tc>
          <w:tcPr>
            <w:tcW w:w="2363" w:type="dxa"/>
            <w:gridSpan w:val="5"/>
            <w:tcBorders>
              <w:left w:val="single" w:color="auto" w:sz="4" w:space="0"/>
            </w:tcBorders>
            <w:noWrap w:val="0"/>
            <w:vAlign w:val="center"/>
          </w:tcPr>
          <w:p>
            <w:pPr>
              <w:autoSpaceDN w:val="0"/>
              <w:spacing w:line="320" w:lineRule="exact"/>
              <w:jc w:val="center"/>
              <w:textAlignment w:val="center"/>
              <w:rPr>
                <w:rFonts w:hint="eastAsia" w:ascii="Times New Roman" w:hAnsi="Times New Roman" w:eastAsia="仿宋_GB2312" w:cs="Times New Roman"/>
                <w:color w:val="000000"/>
                <w:sz w:val="24"/>
                <w:lang w:val="en-US" w:eastAsia="zh-CN"/>
              </w:rPr>
            </w:pPr>
            <w:r>
              <w:rPr>
                <w:rFonts w:hint="eastAsia" w:eastAsia="仿宋_GB2312" w:cs="Times New Roman"/>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394" w:type="dxa"/>
            <w:gridSpan w:val="19"/>
            <w:noWrap w:val="0"/>
            <w:vAlign w:val="center"/>
          </w:tcPr>
          <w:p>
            <w:pPr>
              <w:keepNext w:val="0"/>
              <w:keepLines w:val="0"/>
              <w:pageBreakBefore w:val="0"/>
              <w:widowControl w:val="0"/>
              <w:kinsoku/>
              <w:wordWrap/>
              <w:overflowPunct/>
              <w:topLinePunct w:val="0"/>
              <w:autoSpaceDE/>
              <w:autoSpaceDN w:val="0"/>
              <w:bidi w:val="0"/>
              <w:adjustRightInd/>
              <w:snapToGrid/>
              <w:spacing w:before="157" w:beforeLines="50" w:line="320" w:lineRule="exact"/>
              <w:ind w:firstLine="240" w:firstLineChars="100"/>
              <w:jc w:val="left"/>
              <w:textAlignment w:val="center"/>
              <w:outlineLvl w:val="9"/>
              <w:rPr>
                <w:rFonts w:hint="eastAsia"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eastAsia="zh-CN"/>
              </w:rPr>
              <w:t>单位领导（</w:t>
            </w:r>
            <w:r>
              <w:rPr>
                <w:rFonts w:hint="default" w:ascii="Times New Roman" w:hAnsi="Times New Roman" w:eastAsia="仿宋_GB2312" w:cs="Times New Roman"/>
                <w:color w:val="000000"/>
                <w:sz w:val="24"/>
              </w:rPr>
              <w:t>签字）：</w:t>
            </w:r>
            <w:r>
              <w:rPr>
                <w:rFonts w:hint="eastAsia" w:eastAsia="仿宋_GB2312" w:cs="Times New Roman"/>
                <w:color w:val="000000"/>
                <w:sz w:val="24"/>
                <w:lang w:val="en-US" w:eastAsia="zh-CN"/>
              </w:rPr>
              <w:t>胡斌</w:t>
            </w:r>
          </w:p>
          <w:p>
            <w:pPr>
              <w:autoSpaceDN w:val="0"/>
              <w:spacing w:line="320" w:lineRule="exact"/>
              <w:jc w:val="left"/>
              <w:textAlignment w:val="center"/>
              <w:rPr>
                <w:rFonts w:hint="default" w:ascii="Times New Roman" w:hAnsi="Times New Roman" w:eastAsia="仿宋_GB2312" w:cs="Times New Roman"/>
                <w:color w:val="000000"/>
                <w:sz w:val="24"/>
              </w:rPr>
            </w:pPr>
          </w:p>
          <w:p>
            <w:pPr>
              <w:autoSpaceDN w:val="0"/>
              <w:spacing w:line="320" w:lineRule="exact"/>
              <w:jc w:val="left"/>
              <w:textAlignment w:val="center"/>
              <w:rPr>
                <w:rFonts w:hint="default" w:ascii="Times New Roman" w:hAnsi="Times New Roman" w:eastAsia="仿宋_GB2312" w:cs="Times New Roman"/>
                <w:color w:val="000000"/>
                <w:sz w:val="24"/>
              </w:rPr>
            </w:pPr>
          </w:p>
          <w:p>
            <w:pPr>
              <w:autoSpaceDN w:val="0"/>
              <w:spacing w:line="320" w:lineRule="exact"/>
              <w:jc w:val="left"/>
              <w:textAlignment w:val="center"/>
              <w:rPr>
                <w:rFonts w:hint="default" w:ascii="Times New Roman" w:hAnsi="Times New Roman" w:eastAsia="仿宋_GB2312" w:cs="Times New Roman"/>
                <w:color w:val="000000"/>
                <w:sz w:val="24"/>
              </w:rPr>
            </w:pPr>
          </w:p>
          <w:p>
            <w:pPr>
              <w:autoSpaceDN w:val="0"/>
              <w:spacing w:line="320" w:lineRule="exact"/>
              <w:jc w:val="left"/>
              <w:textAlignment w:val="center"/>
              <w:rPr>
                <w:rFonts w:hint="default" w:ascii="Times New Roman" w:hAnsi="Times New Roman" w:eastAsia="仿宋_GB2312" w:cs="Times New Roman"/>
                <w:color w:val="000000"/>
                <w:sz w:val="24"/>
              </w:rPr>
            </w:pPr>
          </w:p>
          <w:p>
            <w:pPr>
              <w:autoSpaceDN w:val="0"/>
              <w:spacing w:line="320" w:lineRule="exact"/>
              <w:jc w:val="left"/>
              <w:textAlignment w:val="center"/>
              <w:rPr>
                <w:rFonts w:hint="default" w:ascii="Times New Roman" w:hAnsi="Times New Roman" w:eastAsia="仿宋_GB2312" w:cs="Times New Roman"/>
                <w:color w:val="000000"/>
                <w:sz w:val="24"/>
              </w:rPr>
            </w:pPr>
          </w:p>
          <w:p>
            <w:pPr>
              <w:autoSpaceDN w:val="0"/>
              <w:spacing w:line="320" w:lineRule="exact"/>
              <w:jc w:val="left"/>
              <w:textAlignment w:val="center"/>
              <w:rPr>
                <w:rFonts w:hint="default" w:ascii="Times New Roman" w:hAnsi="Times New Roman" w:eastAsia="仿宋_GB2312" w:cs="Times New Roman"/>
                <w:color w:val="000000"/>
                <w:sz w:val="24"/>
              </w:rPr>
            </w:pPr>
          </w:p>
          <w:p>
            <w:pPr>
              <w:autoSpaceDN w:val="0"/>
              <w:spacing w:line="320" w:lineRule="exact"/>
              <w:jc w:val="left"/>
              <w:textAlignment w:val="center"/>
              <w:rPr>
                <w:rFonts w:hint="default" w:ascii="Times New Roman" w:hAnsi="Times New Roman" w:eastAsia="仿宋_GB2312" w:cs="Times New Roman"/>
                <w:color w:val="000000"/>
                <w:sz w:val="24"/>
              </w:rPr>
            </w:pPr>
          </w:p>
          <w:p>
            <w:pPr>
              <w:autoSpaceDN w:val="0"/>
              <w:spacing w:line="320" w:lineRule="exact"/>
              <w:jc w:val="left"/>
              <w:textAlignment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 xml:space="preserve">                                                                 公章</w:t>
            </w:r>
          </w:p>
          <w:p>
            <w:pPr>
              <w:autoSpaceDN w:val="0"/>
              <w:spacing w:line="320" w:lineRule="exact"/>
              <w:jc w:val="left"/>
              <w:textAlignment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 xml:space="preserve"> </w:t>
            </w:r>
          </w:p>
          <w:p>
            <w:pPr>
              <w:autoSpaceDN w:val="0"/>
              <w:spacing w:line="320" w:lineRule="exact"/>
              <w:jc w:val="left"/>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 xml:space="preserve">                                                         </w:t>
            </w:r>
            <w:r>
              <w:rPr>
                <w:rFonts w:hint="eastAsia" w:eastAsia="仿宋_GB2312" w:cs="Times New Roman"/>
                <w:color w:val="000000"/>
                <w:sz w:val="24"/>
                <w:lang w:val="en-US" w:eastAsia="zh-CN"/>
              </w:rPr>
              <w:t>2022</w:t>
            </w:r>
            <w:r>
              <w:rPr>
                <w:rFonts w:hint="default" w:ascii="Times New Roman" w:hAnsi="Times New Roman" w:eastAsia="仿宋_GB2312" w:cs="Times New Roman"/>
                <w:color w:val="000000"/>
                <w:sz w:val="24"/>
              </w:rPr>
              <w:t xml:space="preserve"> 年 </w:t>
            </w:r>
            <w:r>
              <w:rPr>
                <w:rFonts w:hint="eastAsia" w:eastAsia="仿宋_GB2312" w:cs="Times New Roman"/>
                <w:color w:val="000000"/>
                <w:sz w:val="24"/>
                <w:lang w:val="en-US" w:eastAsia="zh-CN"/>
              </w:rPr>
              <w:t>5</w:t>
            </w:r>
            <w:r>
              <w:rPr>
                <w:rFonts w:hint="default" w:ascii="Times New Roman" w:hAnsi="Times New Roman" w:eastAsia="仿宋_GB2312" w:cs="Times New Roman"/>
                <w:color w:val="000000"/>
                <w:sz w:val="24"/>
              </w:rPr>
              <w:t xml:space="preserve"> 月 </w:t>
            </w:r>
            <w:r>
              <w:rPr>
                <w:rFonts w:hint="eastAsia" w:eastAsia="仿宋_GB2312" w:cs="Times New Roman"/>
                <w:color w:val="000000"/>
                <w:sz w:val="24"/>
                <w:lang w:val="en-US" w:eastAsia="zh-CN"/>
              </w:rPr>
              <w:t>31</w:t>
            </w:r>
            <w:r>
              <w:rPr>
                <w:rFonts w:hint="default" w:ascii="Times New Roman" w:hAnsi="Times New Roman" w:eastAsia="仿宋_GB2312" w:cs="Times New Roman"/>
                <w:color w:val="000000"/>
                <w:sz w:val="24"/>
              </w:rPr>
              <w:t xml:space="preserve"> 日</w:t>
            </w:r>
          </w:p>
          <w:p>
            <w:pPr>
              <w:autoSpaceDN w:val="0"/>
              <w:spacing w:line="320" w:lineRule="exact"/>
              <w:jc w:val="both"/>
              <w:textAlignment w:val="center"/>
              <w:rPr>
                <w:rFonts w:hint="default" w:ascii="Times New Roman" w:hAnsi="Times New Roman" w:eastAsia="仿宋_GB2312" w:cs="Times New Roman"/>
                <w:color w:val="000000"/>
                <w:sz w:val="24"/>
              </w:rPr>
            </w:pPr>
          </w:p>
        </w:tc>
      </w:tr>
    </w:tbl>
    <w:p>
      <w:pPr>
        <w:rPr>
          <w:rFonts w:hint="default" w:eastAsia="仿宋_GB2312"/>
          <w:lang w:val="en-US" w:eastAsia="zh-CN"/>
        </w:rPr>
      </w:pPr>
      <w:r>
        <w:rPr>
          <w:rFonts w:hint="eastAsia" w:eastAsia="仿宋_GB2312" w:cs="仿宋_GB2312"/>
          <w:bCs/>
          <w:sz w:val="28"/>
          <w:szCs w:val="28"/>
        </w:rPr>
        <w:t>填报人（签名）：</w:t>
      </w:r>
      <w:r>
        <w:rPr>
          <w:rFonts w:hint="eastAsia" w:eastAsia="仿宋_GB2312" w:cs="仿宋_GB2312"/>
          <w:bCs/>
          <w:sz w:val="28"/>
          <w:szCs w:val="28"/>
          <w:lang w:val="en-US" w:eastAsia="zh-CN"/>
        </w:rPr>
        <w:t>李枚</w:t>
      </w:r>
      <w:r>
        <w:rPr>
          <w:rFonts w:hint="eastAsia" w:eastAsia="仿宋_GB2312" w:cs="仿宋_GB2312"/>
          <w:bCs/>
          <w:sz w:val="28"/>
          <w:szCs w:val="28"/>
        </w:rPr>
        <w:t xml:space="preserve">  </w:t>
      </w:r>
      <w:r>
        <w:rPr>
          <w:rFonts w:hint="eastAsia" w:eastAsia="仿宋_GB2312" w:cs="仿宋_GB2312"/>
          <w:bCs/>
          <w:sz w:val="28"/>
          <w:szCs w:val="28"/>
          <w:lang w:val="en-US" w:eastAsia="zh-CN"/>
        </w:rPr>
        <w:t xml:space="preserve">  </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13873096607</w:t>
      </w:r>
    </w:p>
    <w:p>
      <w:pPr>
        <w:jc w:val="left"/>
        <w:rPr>
          <w:rFonts w:cs="黑体" w:asciiTheme="minorEastAsia" w:hAnsiTheme="minorEastAsia"/>
          <w:color w:val="000000"/>
          <w:kern w:val="0"/>
          <w:sz w:val="21"/>
          <w:szCs w:val="21"/>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B7F13D26"/>
    <w:multiLevelType w:val="singleLevel"/>
    <w:tmpl w:val="B7F13D26"/>
    <w:lvl w:ilvl="0" w:tentative="0">
      <w:start w:val="13"/>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6"/>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11D40FA"/>
    <w:rsid w:val="0298533B"/>
    <w:rsid w:val="03FF7D71"/>
    <w:rsid w:val="044C04DB"/>
    <w:rsid w:val="05633A58"/>
    <w:rsid w:val="06B411F0"/>
    <w:rsid w:val="07CE3252"/>
    <w:rsid w:val="087403E0"/>
    <w:rsid w:val="0BE56081"/>
    <w:rsid w:val="13BE003E"/>
    <w:rsid w:val="15090529"/>
    <w:rsid w:val="17A37727"/>
    <w:rsid w:val="17A87124"/>
    <w:rsid w:val="1C374D99"/>
    <w:rsid w:val="1CBF4CF8"/>
    <w:rsid w:val="1D302597"/>
    <w:rsid w:val="1E423556"/>
    <w:rsid w:val="1E902E13"/>
    <w:rsid w:val="24742149"/>
    <w:rsid w:val="27DB542D"/>
    <w:rsid w:val="29F11536"/>
    <w:rsid w:val="2A9F3676"/>
    <w:rsid w:val="2E172E8D"/>
    <w:rsid w:val="35BA3AF6"/>
    <w:rsid w:val="366364DD"/>
    <w:rsid w:val="370B6762"/>
    <w:rsid w:val="3A053475"/>
    <w:rsid w:val="3FFF629C"/>
    <w:rsid w:val="45F9639D"/>
    <w:rsid w:val="48ED43E7"/>
    <w:rsid w:val="4AAD193E"/>
    <w:rsid w:val="4AEA3F56"/>
    <w:rsid w:val="56910B5E"/>
    <w:rsid w:val="582E4843"/>
    <w:rsid w:val="5EA47125"/>
    <w:rsid w:val="60545645"/>
    <w:rsid w:val="60A907EA"/>
    <w:rsid w:val="6145544E"/>
    <w:rsid w:val="63324439"/>
    <w:rsid w:val="67114159"/>
    <w:rsid w:val="6AC81C30"/>
    <w:rsid w:val="701B3606"/>
    <w:rsid w:val="70562930"/>
    <w:rsid w:val="72042C54"/>
    <w:rsid w:val="74415AB9"/>
    <w:rsid w:val="75257691"/>
    <w:rsid w:val="784542D3"/>
    <w:rsid w:val="7A983AD6"/>
    <w:rsid w:val="7AEF0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1452</Words>
  <Characters>8281</Characters>
  <Lines>69</Lines>
  <Paragraphs>19</Paragraphs>
  <TotalTime>5</TotalTime>
  <ScaleCrop>false</ScaleCrop>
  <LinksUpToDate>false</LinksUpToDate>
  <CharactersWithSpaces>9714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Tashi Norbu</cp:lastModifiedBy>
  <cp:lastPrinted>2022-07-27T12:55:00Z</cp:lastPrinted>
  <dcterms:modified xsi:type="dcterms:W3CDTF">2023-09-23T01:29:21Z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C02081F76A1C414C807C3137DC2EA958</vt:lpwstr>
  </property>
</Properties>
</file>