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5000" w:type="pct"/>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岳阳市司法局2022年度部门预算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2022年部门预算说明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2022年部门预算公开表格</w:t>
            </w:r>
          </w:p>
        </w:tc>
      </w:tr>
      <w:tr>
        <w:tblPrEx>
          <w:tblCellMar>
            <w:top w:w="0" w:type="dxa"/>
            <w:left w:w="108" w:type="dxa"/>
            <w:bottom w:w="0" w:type="dxa"/>
            <w:right w:w="108" w:type="dxa"/>
          </w:tblCellMar>
        </w:tblPrEx>
        <w:trPr>
          <w:trHeight w:val="4519" w:hRule="atLeast"/>
        </w:trPr>
        <w:tc>
          <w:tcPr>
            <w:tcW w:w="5000" w:type="pct"/>
            <w:vMerge w:val="restart"/>
            <w:tcBorders>
              <w:top w:val="nil"/>
              <w:left w:val="nil"/>
              <w:bottom w:val="nil"/>
              <w:right w:val="nil"/>
            </w:tcBorders>
            <w:shd w:val="clear" w:color="auto" w:fill="auto"/>
            <w:vAlign w:val="center"/>
          </w:tcPr>
          <w:p>
            <w:pPr>
              <w:pStyle w:val="9"/>
              <w:widowControl/>
              <w:numPr>
                <w:ilvl w:val="0"/>
                <w:numId w:val="1"/>
              </w:numPr>
              <w:ind w:firstLineChars="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4"/>
              <w:widowControl/>
              <w:numPr>
                <w:ilvl w:val="1"/>
                <w:numId w:val="1"/>
              </w:numPr>
              <w:spacing w:beforeAutospacing="0" w:afterAutospacing="0"/>
              <w:jc w:val="both"/>
              <w:textAlignment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一般公共预算基本支出表</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注：以上单位预算公开报表中，空表表示本单位无相关收支情况。</w:t>
            </w:r>
          </w:p>
        </w:tc>
      </w:tr>
      <w:tr>
        <w:tblPrEx>
          <w:tblCellMar>
            <w:top w:w="0" w:type="dxa"/>
            <w:left w:w="108" w:type="dxa"/>
            <w:bottom w:w="0" w:type="dxa"/>
            <w:right w:w="108" w:type="dxa"/>
          </w:tblCellMar>
        </w:tblPrEx>
        <w:trPr>
          <w:trHeight w:val="4519"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2022年部门预算说明</w:t>
            </w:r>
          </w:p>
        </w:tc>
      </w:tr>
      <w:tr>
        <w:tblPrEx>
          <w:tblCellMar>
            <w:top w:w="0" w:type="dxa"/>
            <w:left w:w="108" w:type="dxa"/>
            <w:bottom w:w="0" w:type="dxa"/>
            <w:right w:w="108" w:type="dxa"/>
          </w:tblCellMar>
        </w:tblPrEx>
        <w:trPr>
          <w:trHeight w:val="3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一、部门基本概况</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市司法局贯彻落实党中央关于全面依法治国工作的方针政策和决策部署，全面落实市委关于全面依法治市工作的部署要求，在履行职责过程中坚持和加强党对全面依法治市的集中统一领导。主要职责是：</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1、承担全面依法治市重大问题的政策研究</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2、承担统筹规划立法工作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3、负责起草或者组织起草有关地方性法规、规章草案</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4、承办市政府规章的解释、立法后评估工作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5、指导全市规范性文件管理有关工作，承担市政府规范性文件送审稿的合法性审查工作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6、承担统筹推进法治政府建设工作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7、负责对政府合同订立工作进行监督和指导</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8、承担统筹规划全市法治社会建设工作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9、指导、管理社区矫正工作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10、指导、监督本系统强制隔离戒毒执行和戒毒康复工作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11、拟订公共法律服务体系建设规划并指导实施</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12、组织全市国家统一法律职业资格考试</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13、负责全市法治对外合作工作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14、负责本系统枪支、弹药、服装和警车管理工作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15、规划、协调、指导法治人才队伍建设相关工作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16、完成市委、市政府交办的其他事项</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根据编委核定，我局内设22 个科室，内设科室分别是：办公室、法治调研与督察科、立法科、规范性文件管理科、政府合同管理科、行政复议一科、行政复议二科、行政应诉科、行政执法协调监督科、人民参与和促进法治科、社区矫正管理科、戒毒管理科、公共法律服务管理科、律师工作科、装备财务保障科、组织干部科、人事警务科、队伍建设指导科、机关党委、离退休人员管理服务科、工会、机关纪委。所属二级机构2个，分别是岳阳市强制隔离戒毒所、岳阳市法律援助中心。人员编制228人、实有人数214人。</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二、部门预算单位构成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本部门预算为汇总预算，纳入编制范围的预算单位包括：</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1、岳阳市司法局本级</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2、岳阳市法律援助中心、岳阳市强制隔离戒毒所</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三、部门收支总体情况</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部门收入预算4995.62万元，其中，一般公共预算拨款4995.62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收入较去年增加804.78万元，主要是因为预算结构调整。</w:t>
            </w:r>
          </w:p>
        </w:tc>
      </w:tr>
      <w:tr>
        <w:tblPrEx>
          <w:tblCellMar>
            <w:top w:w="0" w:type="dxa"/>
            <w:left w:w="108" w:type="dxa"/>
            <w:bottom w:w="0" w:type="dxa"/>
            <w:right w:w="108" w:type="dxa"/>
          </w:tblCellMar>
        </w:tblPrEx>
        <w:trPr>
          <w:trHeight w:val="402"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320" w:hRule="atLeast"/>
        </w:trPr>
        <w:tc>
          <w:tcPr>
            <w:tcW w:w="5000" w:type="pct"/>
            <w:tcBorders>
              <w:top w:val="nil"/>
              <w:left w:val="nil"/>
              <w:bottom w:val="nil"/>
              <w:right w:val="nil"/>
            </w:tcBorders>
            <w:shd w:val="clear" w:color="auto" w:fill="auto"/>
            <w:vAlign w:val="center"/>
          </w:tcPr>
          <w:p>
            <w:pPr>
              <w:widowControl/>
              <w:ind w:firstLine="5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部门支出预算4995.62万元，其中，公共安全支出4360.1万元，占比87.28%，社会保障和就业支出258.48万元，占比5.17%，卫生健康支出183.18万元，占比3.67%，住房保障支出193.86万元，占比3.88%。支出较去年增加804.78万元，其中基本支出增加116.74万元，项目支出增加688.04万元。其中基本支出较上年增加主要是因为预算结构调整，项目支出较上年增加主要是因为预算结构调整。</w:t>
            </w:r>
          </w:p>
          <w:p>
            <w:pPr>
              <w:pStyle w:val="4"/>
              <w:widowControl/>
              <w:spacing w:beforeAutospacing="0" w:afterAutospacing="0" w:line="26" w:lineRule="atLeast"/>
              <w:ind w:firstLine="420" w:firstLineChars="150"/>
              <w:jc w:val="both"/>
              <w:textAlignment w:val="center"/>
              <w:rPr>
                <w:rFonts w:ascii="仿宋_GB2312" w:hAnsi="宋体" w:eastAsia="仿宋_GB2312" w:cs="宋体"/>
                <w:sz w:val="28"/>
                <w:szCs w:val="28"/>
              </w:rPr>
            </w:pPr>
            <w:r>
              <w:rPr>
                <w:rFonts w:hint="eastAsia" w:ascii="仿宋_GB2312" w:hAnsi="宋体" w:eastAsia="仿宋_GB2312" w:cs="宋体"/>
                <w:sz w:val="28"/>
                <w:szCs w:val="28"/>
              </w:rPr>
              <w:t>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部门一般公共预算拨款支出预算4995.62万元，其中，公共安全支出4360.1万元，占比87.28%，社会保障和就业支出258.48万元，占比5.17%，卫生健康支出183.18万元，占比3.67%，住房保障支出193.86万元，占比3.88%。具体安排情况如下：</w:t>
            </w:r>
          </w:p>
        </w:tc>
      </w:tr>
      <w:tr>
        <w:tblPrEx>
          <w:tblCellMar>
            <w:top w:w="0" w:type="dxa"/>
            <w:left w:w="108" w:type="dxa"/>
            <w:bottom w:w="0" w:type="dxa"/>
            <w:right w:w="108" w:type="dxa"/>
          </w:tblCellMar>
        </w:tblPrEx>
        <w:trPr>
          <w:trHeight w:val="112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2821.74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3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2173.88万元，是指单位为完成特定行政工作任务或事业发展目标而发生的支出，包括有关业务工作经费、运行维护经费等。业务工作经费支出1154.9万元，其中：中央转移支付办案费115万元，行政复议40万元、人民警察加班、值勤岗位津贴219.45万元、非税收入征收成本288.35万元、其他司法业务91.72万元、法律援助专项服务9万元、强制隔离戒毒人员给养费183.24万元、强制隔离戒毒业务费208.14万元；运行维护经费1018.98万元，其中：伙食补助133.2万元、物业服务补贴119.88万元、预安排综合绩效奖和平安岳阳建设奖666万元、工会经费补助99.9万元。</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2022年度本部门无政府性基金安排的支出，所以公开的附件15-17（政府性基金预算）为空。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（一）机关运行经费</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2022年本部门岳阳市司法局本级、岳阳市法律援助中心、岳阳市强制隔离戒毒所共3家行政事业单位的机关运行经费522.5万元，比上一年增加117.16万元，增加28.9%。主要原因是预算结构调整，保障基本开支。</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5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FF0000"/>
                <w:kern w:val="0"/>
                <w:sz w:val="28"/>
                <w:szCs w:val="28"/>
              </w:rPr>
            </w:pPr>
            <w:r>
              <w:rPr>
                <w:rFonts w:hint="eastAsia" w:ascii="仿宋_GB2312" w:hAnsi="宋体" w:eastAsia="仿宋_GB2312" w:cs="宋体"/>
                <w:kern w:val="0"/>
                <w:sz w:val="28"/>
                <w:szCs w:val="28"/>
              </w:rPr>
              <w:t>2022年本部门岳阳市司法局本级、岳阳市法律援助中心、岳阳市强制隔离戒毒所共3家行政事业单位“三公”经费预算数135万元（数据来源见表14），其中，公务接待费65万元，因公出国（境）费5万元，公务用车购置及运行费65万元（其中，公务用车购置费0万元，公务用车运行费65万元）。2022年三公经费预算较上年减少20.7万元，主要原因是厉行节约，缩减开支。</w:t>
            </w:r>
          </w:p>
        </w:tc>
      </w:tr>
      <w:tr>
        <w:tblPrEx>
          <w:tblCellMar>
            <w:top w:w="0" w:type="dxa"/>
            <w:left w:w="108" w:type="dxa"/>
            <w:bottom w:w="0" w:type="dxa"/>
            <w:right w:w="108" w:type="dxa"/>
          </w:tblCellMar>
        </w:tblPrEx>
        <w:trPr>
          <w:trHeight w:val="3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会议费预算5万元，拟召开5次会议，人数260人，内容为全市司法行政会议、普法工作会议等；培训费预算21万元，拟开展6次培训，人数480人，内容为人民监督员培训、人民调解员培训、司法业务培训；未计划举办节庆、晚会、论坛、赛事活动。</w:t>
            </w:r>
          </w:p>
        </w:tc>
      </w:tr>
      <w:tr>
        <w:tblPrEx>
          <w:tblCellMar>
            <w:top w:w="0" w:type="dxa"/>
            <w:left w:w="108" w:type="dxa"/>
            <w:bottom w:w="0" w:type="dxa"/>
            <w:right w:w="108" w:type="dxa"/>
          </w:tblCellMar>
        </w:tblPrEx>
        <w:trPr>
          <w:trHeight w:val="61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2022年度本单位未安排政府采购预算。</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25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截至上年底，本部门共有车辆9辆，其中领导干部用车0辆，一般公务用车4辆，其他用车5辆。单位价值50万元以上通用设备0台，单位价值100万元以上专用设备0台。</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2022年拟报废处置公务用车0辆，拟新增配置车辆0辆，其中领导干部用车0辆，一般公务用车0辆，其他用车0辆。</w:t>
            </w:r>
            <w:r>
              <w:rPr>
                <w:rFonts w:hint="eastAsia" w:ascii="仿宋_GB2312" w:hAnsi="宋体" w:eastAsia="仿宋_GB2312" w:cs="宋体"/>
                <w:kern w:val="0"/>
                <w:sz w:val="28"/>
                <w:szCs w:val="28"/>
              </w:rPr>
              <w:br w:type="textWrapping"/>
            </w:r>
            <w:r>
              <w:rPr>
                <w:rFonts w:hint="eastAsia" w:ascii="仿宋_GB2312" w:hAnsi="宋体" w:eastAsia="仿宋_GB2312" w:cs="宋体"/>
                <w:kern w:val="0"/>
                <w:sz w:val="28"/>
                <w:szCs w:val="28"/>
              </w:rPr>
              <w:t xml:space="preserve">    2022年拟新增配备领导干部用车0辆，一般公务用车0辆，其他用车0辆，新增配备单位价值50万元以上通用设备0台，单位价值100万元以上专用设备0台。</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2022年度本部门未计划处置或新增车辆、设备等。</w:t>
            </w:r>
            <w:r>
              <w:rPr>
                <w:rFonts w:hint="eastAsia" w:ascii="仿宋_GB2312" w:hAnsi="宋体" w:eastAsia="仿宋_GB2312" w:cs="宋体"/>
                <w:kern w:val="0"/>
                <w:sz w:val="28"/>
                <w:szCs w:val="28"/>
              </w:rPr>
              <w:br w:type="textWrapping"/>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本部门所有支出实行绩效目标管理。纳入2022年部门整体支出绩效目标的金额为4995.62万元，其中，基本支出2821.74万元，项目支出2173.88万元，详见文尾附表中部门预算公开表格的表21-22。</w:t>
            </w:r>
          </w:p>
        </w:tc>
      </w:tr>
      <w:tr>
        <w:tblPrEx>
          <w:tblCellMar>
            <w:top w:w="0" w:type="dxa"/>
            <w:left w:w="108" w:type="dxa"/>
            <w:bottom w:w="0" w:type="dxa"/>
            <w:right w:w="108" w:type="dxa"/>
          </w:tblCellMar>
        </w:tblPrEx>
        <w:trPr>
          <w:trHeight w:val="499"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5000" w:type="pct"/>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5000" w:type="pct"/>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2022年部门预算公开表格</w:t>
            </w:r>
          </w:p>
        </w:tc>
      </w:tr>
      <w:tr>
        <w:tblPrEx>
          <w:tblCellMar>
            <w:top w:w="0" w:type="dxa"/>
            <w:left w:w="108" w:type="dxa"/>
            <w:bottom w:w="0" w:type="dxa"/>
            <w:right w:w="108" w:type="dxa"/>
          </w:tblCellMar>
        </w:tblPrEx>
        <w:trPr>
          <w:trHeight w:val="4500" w:hRule="atLeast"/>
        </w:trPr>
        <w:tc>
          <w:tcPr>
            <w:tcW w:w="5000" w:type="pct"/>
            <w:vMerge w:val="restart"/>
            <w:tcBorders>
              <w:top w:val="nil"/>
              <w:left w:val="nil"/>
              <w:bottom w:val="nil"/>
              <w:right w:val="nil"/>
            </w:tcBorders>
            <w:shd w:val="clear" w:color="auto" w:fill="auto"/>
            <w:vAlign w:val="center"/>
          </w:tcPr>
          <w:p>
            <w:pPr>
              <w:pStyle w:val="9"/>
              <w:widowControl/>
              <w:numPr>
                <w:ilvl w:val="0"/>
                <w:numId w:val="2"/>
              </w:numPr>
              <w:ind w:firstLineChars="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bookmarkStart w:id="0" w:name="_GoBack"/>
            <w:bookmarkEnd w:id="0"/>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4"/>
              <w:widowControl/>
              <w:spacing w:beforeAutospacing="0" w:afterAutospacing="0"/>
              <w:ind w:firstLine="700" w:firstLineChars="250"/>
              <w:jc w:val="both"/>
              <w:textAlignment w:val="center"/>
              <w:rPr>
                <w:rFonts w:hint="eastAsia"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23、一般公共预算基本支出表</w:t>
            </w:r>
          </w:p>
          <w:p>
            <w:pPr>
              <w:pStyle w:val="9"/>
              <w:widowControl/>
              <w:ind w:left="720" w:firstLine="0" w:firstLineChars="0"/>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00" w:hRule="atLeast"/>
        </w:trPr>
        <w:tc>
          <w:tcPr>
            <w:tcW w:w="5000" w:type="pct"/>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54C0A"/>
    <w:multiLevelType w:val="multilevel"/>
    <w:tmpl w:val="13554C0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FF75F9"/>
    <w:multiLevelType w:val="multilevel"/>
    <w:tmpl w:val="58FF75F9"/>
    <w:lvl w:ilvl="0" w:tentative="0">
      <w:start w:val="1"/>
      <w:numFmt w:val="decimal"/>
      <w:lvlText w:val="%1、"/>
      <w:lvlJc w:val="left"/>
      <w:pPr>
        <w:ind w:left="720" w:hanging="720"/>
      </w:pPr>
      <w:rPr>
        <w:rFonts w:hint="default"/>
      </w:rPr>
    </w:lvl>
    <w:lvl w:ilvl="1" w:tentative="0">
      <w:start w:val="23"/>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xYTk2ODNkM2JjMjhmOGQ1OTBkMDcxNmY3M2Y0OWUifQ=="/>
  </w:docVars>
  <w:rsids>
    <w:rsidRoot w:val="00CC5D70"/>
    <w:rsid w:val="002975D7"/>
    <w:rsid w:val="003D1556"/>
    <w:rsid w:val="00500484"/>
    <w:rsid w:val="00BC6228"/>
    <w:rsid w:val="00CC5D70"/>
    <w:rsid w:val="00FA76C6"/>
    <w:rsid w:val="0F9A088A"/>
    <w:rsid w:val="3D9E5EC9"/>
    <w:rsid w:val="42634926"/>
    <w:rsid w:val="4BDE2E1D"/>
    <w:rsid w:val="64F7641F"/>
    <w:rsid w:val="743C0C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ascii="Calibri" w:hAnsi="Calibri" w:eastAsia="宋体" w:cs="Times New Roman"/>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3849</Words>
  <Characters>4203</Characters>
  <Lines>31</Lines>
  <Paragraphs>8</Paragraphs>
  <TotalTime>4</TotalTime>
  <ScaleCrop>false</ScaleCrop>
  <LinksUpToDate>false</LinksUpToDate>
  <CharactersWithSpaces>4264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2023-09-21T07:13:00Z</dcterms:created>
  <dc:creator>PC</dc:creator>
  <cp:lastModifiedBy>zyh</cp:lastModifiedBy>
  <dcterms:modified xsi:type="dcterms:W3CDTF">2023-09-22T23:41:05Z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6BC38CF14C834C67B2F0D3CA3FB1AB06</vt:lpwstr>
  </property>
</Properties>
</file>