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hint="default" w:ascii="Times New Roman" w:hAnsi="Times New Roman" w:eastAsia="黑体"/>
          <w:color w:val="000000"/>
          <w:kern w:val="0"/>
          <w:sz w:val="84"/>
          <w:szCs w:val="24"/>
          <w:highlight w:val="white"/>
        </w:rPr>
      </w:pPr>
      <w:r>
        <w:rPr>
          <w:rFonts w:hint="eastAsia" w:ascii="黑体" w:eastAsia="黑体"/>
          <w:color w:val="000000"/>
          <w:kern w:val="0"/>
          <w:sz w:val="84"/>
          <w:szCs w:val="24"/>
          <w:highlight w:val="white"/>
        </w:rPr>
        <w:t>2021年度</w:t>
      </w:r>
    </w:p>
    <w:p>
      <w:pPr>
        <w:autoSpaceDE w:val="0"/>
        <w:autoSpaceDN w:val="0"/>
        <w:adjustRightInd w:val="0"/>
        <w:jc w:val="center"/>
        <w:rPr>
          <w:rFonts w:hint="default" w:ascii="Times New Roman" w:hAnsi="Times New Roman" w:eastAsia="黑体"/>
          <w:color w:val="000000"/>
          <w:kern w:val="0"/>
          <w:sz w:val="84"/>
          <w:szCs w:val="24"/>
          <w:highlight w:val="white"/>
        </w:rPr>
      </w:pPr>
      <w:r>
        <w:rPr>
          <w:rFonts w:hint="eastAsia" w:ascii="黑体" w:hAnsi="Times New Roman" w:eastAsia="黑体"/>
          <w:sz w:val="84"/>
          <w:szCs w:val="24"/>
          <w:highlight w:val="white"/>
          <w:lang w:val="zh-CN"/>
        </w:rPr>
        <w:t>中共岳阳市委统一战线工作部</w:t>
      </w:r>
      <w:r>
        <w:rPr>
          <w:rFonts w:hint="eastAsia" w:ascii="黑体" w:hAnsi="Times New Roman" w:eastAsia="黑体"/>
          <w:color w:val="000000"/>
          <w:kern w:val="0"/>
          <w:sz w:val="84"/>
          <w:szCs w:val="24"/>
          <w:highlight w:val="white"/>
        </w:rPr>
        <w:t>部门决算</w:t>
      </w: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p>
    <w:p>
      <w:pPr>
        <w:autoSpaceDE w:val="0"/>
        <w:autoSpaceDN w:val="0"/>
        <w:adjustRightInd w:val="0"/>
        <w:spacing w:line="520" w:lineRule="exact"/>
        <w:jc w:val="center"/>
        <w:rPr>
          <w:rFonts w:hint="eastAsia" w:ascii="宋体" w:hAnsi="Times New Roman" w:eastAsia="宋体"/>
          <w:b/>
          <w:color w:val="000000"/>
          <w:kern w:val="0"/>
          <w:sz w:val="44"/>
          <w:szCs w:val="24"/>
          <w:highlight w:val="white"/>
        </w:rPr>
      </w:pPr>
      <w:r>
        <w:rPr>
          <w:rFonts w:hint="eastAsia" w:ascii="宋体" w:hAnsi="Times New Roman" w:eastAsia="宋体"/>
          <w:b/>
          <w:color w:val="000000"/>
          <w:kern w:val="0"/>
          <w:sz w:val="44"/>
          <w:szCs w:val="24"/>
          <w:highlight w:val="white"/>
        </w:rPr>
        <w:t>目 录</w:t>
      </w:r>
    </w:p>
    <w:p>
      <w:pPr>
        <w:autoSpaceDE w:val="0"/>
        <w:autoSpaceDN w:val="0"/>
        <w:adjustRightInd w:val="0"/>
        <w:spacing w:line="520" w:lineRule="exact"/>
        <w:jc w:val="left"/>
        <w:rPr>
          <w:rFonts w:hint="default" w:ascii="Times New Roman" w:hAnsi="Times New Roman" w:eastAsia="黑体"/>
          <w:b/>
          <w:color w:val="000000"/>
          <w:kern w:val="0"/>
          <w:sz w:val="28"/>
          <w:szCs w:val="24"/>
          <w:highlight w:val="yellow"/>
        </w:rPr>
      </w:pPr>
      <w:r>
        <w:rPr>
          <w:rFonts w:hint="eastAsia" w:ascii="黑体" w:hAnsi="Times New Roman" w:eastAsia="黑体"/>
          <w:b/>
          <w:color w:val="000000"/>
          <w:kern w:val="0"/>
          <w:sz w:val="28"/>
          <w:szCs w:val="24"/>
          <w:highlight w:val="white"/>
        </w:rPr>
        <w:t>第一部分</w:t>
      </w:r>
      <w:r>
        <w:rPr>
          <w:rFonts w:hint="eastAsia" w:ascii="黑体" w:hAnsi="Times New Roman" w:eastAsia="黑体"/>
          <w:b/>
          <w:sz w:val="28"/>
          <w:szCs w:val="24"/>
          <w:highlight w:val="white"/>
          <w:lang w:val="zh-CN"/>
        </w:rPr>
        <w:t>中共岳阳市委统一战线工作部</w:t>
      </w:r>
      <w:r>
        <w:rPr>
          <w:rFonts w:hint="eastAsia" w:ascii="黑体" w:hAnsi="Times New Roman" w:eastAsia="黑体"/>
          <w:b/>
          <w:color w:val="000000"/>
          <w:kern w:val="0"/>
          <w:sz w:val="28"/>
          <w:szCs w:val="24"/>
          <w:highlight w:val="white"/>
        </w:rPr>
        <w:t>概况</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一、部门职责</w:t>
      </w:r>
    </w:p>
    <w:p>
      <w:pPr>
        <w:autoSpaceDE w:val="0"/>
        <w:autoSpaceDN w:val="0"/>
        <w:adjustRightInd w:val="0"/>
        <w:spacing w:line="520" w:lineRule="exact"/>
        <w:ind w:firstLine="700"/>
        <w:jc w:val="left"/>
        <w:rPr>
          <w:rFonts w:hint="eastAsia"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二、机构设置及决算单位构成</w:t>
      </w:r>
    </w:p>
    <w:p>
      <w:pPr>
        <w:autoSpaceDE w:val="0"/>
        <w:autoSpaceDN w:val="0"/>
        <w:adjustRightInd w:val="0"/>
        <w:spacing w:line="520" w:lineRule="exact"/>
        <w:jc w:val="left"/>
        <w:rPr>
          <w:rFonts w:hint="default" w:ascii="Times New Roman" w:hAnsi="Times New Roman" w:eastAsia="黑体"/>
          <w:b/>
          <w:color w:val="000000"/>
          <w:kern w:val="0"/>
          <w:sz w:val="28"/>
          <w:szCs w:val="24"/>
          <w:highlight w:val="white"/>
        </w:rPr>
      </w:pPr>
      <w:r>
        <w:rPr>
          <w:rFonts w:hint="eastAsia" w:ascii="黑体" w:hAnsi="Times New Roman" w:eastAsia="黑体"/>
          <w:b/>
          <w:color w:val="000000"/>
          <w:kern w:val="0"/>
          <w:sz w:val="28"/>
          <w:szCs w:val="24"/>
          <w:highlight w:val="white"/>
        </w:rPr>
        <w:t>第二部分2021年度部门决算表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一、收入支出决算总表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二、收入决算表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三、支出决算表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四、财政拨款收入支出决算总表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五、一般公共预算财政拨款支出决算表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六、一般公共预算财政拨款基本支出决算表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七、一般公共预算财政拨款三公经费支出决算表</w:t>
      </w:r>
    </w:p>
    <w:p>
      <w:pPr>
        <w:autoSpaceDE w:val="0"/>
        <w:autoSpaceDN w:val="0"/>
        <w:adjustRightInd w:val="0"/>
        <w:spacing w:line="520" w:lineRule="exact"/>
        <w:ind w:firstLine="700"/>
        <w:jc w:val="left"/>
        <w:rPr>
          <w:rFonts w:hint="eastAsia" w:ascii="宋体"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八、政府性基金预算财政拨款收入支出决算表</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九、国有资本经营预算财政拨款支出决算表</w:t>
      </w:r>
    </w:p>
    <w:p>
      <w:pPr>
        <w:autoSpaceDE w:val="0"/>
        <w:autoSpaceDN w:val="0"/>
        <w:adjustRightInd w:val="0"/>
        <w:spacing w:line="520" w:lineRule="exact"/>
        <w:jc w:val="left"/>
        <w:rPr>
          <w:rFonts w:hint="default" w:ascii="Times New Roman" w:hAnsi="Times New Roman" w:eastAsia="黑体"/>
          <w:b/>
          <w:color w:val="000000"/>
          <w:kern w:val="0"/>
          <w:sz w:val="28"/>
          <w:szCs w:val="24"/>
          <w:highlight w:val="white"/>
        </w:rPr>
      </w:pPr>
      <w:r>
        <w:rPr>
          <w:rFonts w:hint="eastAsia" w:ascii="黑体" w:hAnsi="Times New Roman" w:eastAsia="黑体"/>
          <w:b/>
          <w:color w:val="000000"/>
          <w:kern w:val="0"/>
          <w:sz w:val="28"/>
          <w:szCs w:val="24"/>
          <w:highlight w:val="white"/>
        </w:rPr>
        <w:t>第三部分2021年度部门决算情况说明</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一、收入支出决算总体情况说明</w:t>
      </w:r>
    </w:p>
    <w:p>
      <w:pPr>
        <w:autoSpaceDE w:val="0"/>
        <w:autoSpaceDN w:val="0"/>
        <w:adjustRightInd w:val="0"/>
        <w:spacing w:line="520" w:lineRule="exact"/>
        <w:ind w:firstLine="700"/>
        <w:jc w:val="left"/>
        <w:rPr>
          <w:rFonts w:hint="default" w:ascii="Times New Roman" w:hAnsi="Times New Roman" w:eastAsia="宋体"/>
          <w:sz w:val="28"/>
          <w:szCs w:val="24"/>
          <w:highlight w:val="white"/>
        </w:rPr>
      </w:pPr>
      <w:r>
        <w:rPr>
          <w:rFonts w:hint="eastAsia" w:ascii="宋体" w:hAnsi="Times New Roman" w:eastAsia="宋体"/>
          <w:sz w:val="28"/>
          <w:szCs w:val="24"/>
          <w:highlight w:val="white"/>
        </w:rPr>
        <w:t>二、收入决算情况说明</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三、支出决算情况说明</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四、财政拨款收入支出决算总体情况说明</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五、一般公共预算财政拨款支出决算情况说明</w:t>
      </w:r>
    </w:p>
    <w:p>
      <w:pPr>
        <w:autoSpaceDE w:val="0"/>
        <w:autoSpaceDN w:val="0"/>
        <w:adjustRightInd w:val="0"/>
        <w:spacing w:line="520" w:lineRule="exact"/>
        <w:ind w:firstLine="700"/>
        <w:jc w:val="left"/>
        <w:rPr>
          <w:rFonts w:hint="default" w:ascii="Times New Roman"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六、一般公共预算财政拨款基本支出决算情况说明</w:t>
      </w:r>
    </w:p>
    <w:p>
      <w:pPr>
        <w:autoSpaceDE w:val="0"/>
        <w:autoSpaceDN w:val="0"/>
        <w:adjustRightInd w:val="0"/>
        <w:spacing w:line="520" w:lineRule="exact"/>
        <w:ind w:firstLine="700"/>
        <w:jc w:val="left"/>
        <w:rPr>
          <w:rFonts w:hint="eastAsia" w:ascii="宋体"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七、一般公共预算财政拨款三公经费支出决算情况说明</w:t>
      </w:r>
    </w:p>
    <w:p>
      <w:pPr>
        <w:autoSpaceDE w:val="0"/>
        <w:autoSpaceDN w:val="0"/>
        <w:adjustRightInd w:val="0"/>
        <w:spacing w:line="500" w:lineRule="exact"/>
        <w:ind w:firstLine="700"/>
        <w:jc w:val="left"/>
        <w:rPr>
          <w:rFonts w:hint="eastAsia" w:ascii="宋体" w:hAnsi="Times New Roman" w:eastAsia="宋体"/>
          <w:color w:val="000000"/>
          <w:kern w:val="0"/>
          <w:sz w:val="28"/>
          <w:szCs w:val="24"/>
          <w:highlight w:val="white"/>
        </w:rPr>
      </w:pPr>
      <w:r>
        <w:rPr>
          <w:rFonts w:hint="eastAsia" w:ascii="宋体" w:hAnsi="Times New Roman" w:eastAsia="宋体"/>
          <w:color w:val="000000"/>
          <w:kern w:val="0"/>
          <w:sz w:val="28"/>
          <w:szCs w:val="24"/>
          <w:highlight w:val="white"/>
        </w:rPr>
        <w:t>八、政府性基金预算收入支出决算情况</w:t>
      </w:r>
    </w:p>
    <w:p>
      <w:pPr>
        <w:autoSpaceDE w:val="0"/>
        <w:autoSpaceDN w:val="0"/>
        <w:adjustRightInd w:val="0"/>
        <w:spacing w:line="500" w:lineRule="exact"/>
        <w:ind w:firstLine="700"/>
        <w:jc w:val="left"/>
        <w:rPr>
          <w:rFonts w:hint="eastAsia" w:ascii="仿宋_GB2312" w:hAnsi="Times New Roman" w:eastAsia="仿宋_GB2312"/>
          <w:color w:val="000000"/>
          <w:kern w:val="0"/>
          <w:sz w:val="28"/>
          <w:szCs w:val="24"/>
          <w:highlight w:val="white"/>
        </w:rPr>
      </w:pPr>
      <w:r>
        <w:rPr>
          <w:rFonts w:hint="eastAsia" w:ascii="宋体" w:hAnsi="Times New Roman" w:eastAsia="宋体"/>
          <w:color w:val="000000"/>
          <w:kern w:val="0"/>
          <w:sz w:val="28"/>
          <w:szCs w:val="24"/>
          <w:highlight w:val="white"/>
        </w:rPr>
        <w:t>九、国有资本经营预算财政拨款支出决算情况</w:t>
      </w:r>
    </w:p>
    <w:p>
      <w:pPr>
        <w:autoSpaceDE w:val="0"/>
        <w:autoSpaceDN w:val="0"/>
        <w:adjustRightInd w:val="0"/>
        <w:spacing w:line="500" w:lineRule="exact"/>
        <w:ind w:firstLine="700"/>
        <w:jc w:val="left"/>
        <w:rPr>
          <w:rFonts w:hint="eastAsia" w:ascii="仿宋_GB2312" w:hAnsi="Times New Roman" w:eastAsia="仿宋_GB2312"/>
          <w:color w:val="000000"/>
          <w:kern w:val="0"/>
          <w:sz w:val="28"/>
          <w:szCs w:val="24"/>
          <w:highlight w:val="white"/>
        </w:rPr>
      </w:pPr>
      <w:r>
        <w:rPr>
          <w:rFonts w:hint="eastAsia" w:ascii="宋体" w:hAnsi="Times New Roman" w:eastAsia="宋体"/>
          <w:color w:val="000000"/>
          <w:kern w:val="0"/>
          <w:sz w:val="28"/>
          <w:szCs w:val="24"/>
          <w:highlight w:val="white"/>
        </w:rPr>
        <w:t>十、机关运行经费支出说明</w:t>
      </w:r>
    </w:p>
    <w:p>
      <w:pPr>
        <w:autoSpaceDE w:val="0"/>
        <w:autoSpaceDN w:val="0"/>
        <w:adjustRightInd w:val="0"/>
        <w:spacing w:line="500" w:lineRule="exact"/>
        <w:ind w:firstLine="700"/>
        <w:jc w:val="left"/>
        <w:rPr>
          <w:rFonts w:hint="eastAsia" w:ascii="仿宋_GB2312" w:hAnsi="Times New Roman" w:eastAsia="仿宋_GB2312"/>
          <w:color w:val="000000"/>
          <w:kern w:val="0"/>
          <w:sz w:val="28"/>
          <w:szCs w:val="24"/>
          <w:highlight w:val="white"/>
        </w:rPr>
      </w:pPr>
      <w:r>
        <w:rPr>
          <w:rFonts w:hint="eastAsia" w:ascii="宋体" w:hAnsi="Times New Roman" w:eastAsia="宋体"/>
          <w:color w:val="000000"/>
          <w:kern w:val="0"/>
          <w:sz w:val="28"/>
          <w:szCs w:val="24"/>
          <w:highlight w:val="white"/>
        </w:rPr>
        <w:t>十一、一般性支出情况</w:t>
      </w:r>
    </w:p>
    <w:p>
      <w:pPr>
        <w:autoSpaceDE w:val="0"/>
        <w:autoSpaceDN w:val="0"/>
        <w:adjustRightInd w:val="0"/>
        <w:spacing w:line="500" w:lineRule="exact"/>
        <w:ind w:firstLine="700"/>
        <w:jc w:val="left"/>
        <w:rPr>
          <w:rFonts w:hint="eastAsia" w:ascii="仿宋_GB2312" w:hAnsi="Times New Roman" w:eastAsia="仿宋_GB2312"/>
          <w:color w:val="000000"/>
          <w:kern w:val="0"/>
          <w:sz w:val="28"/>
          <w:szCs w:val="24"/>
          <w:highlight w:val="white"/>
        </w:rPr>
      </w:pPr>
      <w:r>
        <w:rPr>
          <w:rFonts w:hint="eastAsia" w:ascii="宋体" w:hAnsi="Times New Roman" w:eastAsia="宋体"/>
          <w:color w:val="000000"/>
          <w:kern w:val="0"/>
          <w:sz w:val="28"/>
          <w:szCs w:val="24"/>
          <w:highlight w:val="white"/>
        </w:rPr>
        <w:t>十二、政府采购支出说明</w:t>
      </w:r>
    </w:p>
    <w:p>
      <w:pPr>
        <w:autoSpaceDE w:val="0"/>
        <w:autoSpaceDN w:val="0"/>
        <w:adjustRightInd w:val="0"/>
        <w:spacing w:line="500" w:lineRule="exact"/>
        <w:ind w:firstLine="700"/>
        <w:jc w:val="left"/>
        <w:rPr>
          <w:rFonts w:hint="eastAsia" w:ascii="仿宋_GB2312" w:hAnsi="Times New Roman" w:eastAsia="仿宋_GB2312"/>
          <w:color w:val="000000"/>
          <w:kern w:val="0"/>
          <w:sz w:val="28"/>
          <w:szCs w:val="24"/>
          <w:highlight w:val="white"/>
        </w:rPr>
      </w:pPr>
      <w:r>
        <w:rPr>
          <w:rFonts w:hint="eastAsia" w:ascii="宋体" w:hAnsi="Times New Roman" w:eastAsia="宋体"/>
          <w:color w:val="000000"/>
          <w:kern w:val="0"/>
          <w:sz w:val="28"/>
          <w:szCs w:val="24"/>
          <w:highlight w:val="white"/>
        </w:rPr>
        <w:t>十三、国有资产占用情况说明</w:t>
      </w:r>
    </w:p>
    <w:p>
      <w:pPr>
        <w:autoSpaceDE w:val="0"/>
        <w:autoSpaceDN w:val="0"/>
        <w:adjustRightInd w:val="0"/>
        <w:spacing w:line="500" w:lineRule="exact"/>
        <w:ind w:firstLine="700"/>
        <w:jc w:val="left"/>
        <w:rPr>
          <w:rFonts w:hint="eastAsia" w:ascii="宋体" w:hAnsi="Times New Roman" w:eastAsia="宋体"/>
          <w:color w:val="000000"/>
          <w:sz w:val="28"/>
          <w:szCs w:val="24"/>
          <w:highlight w:val="white"/>
        </w:rPr>
      </w:pPr>
      <w:r>
        <w:rPr>
          <w:rFonts w:hint="eastAsia" w:ascii="宋体" w:hAnsi="Times New Roman" w:eastAsia="宋体"/>
          <w:color w:val="000000"/>
          <w:kern w:val="0"/>
          <w:sz w:val="28"/>
          <w:szCs w:val="24"/>
          <w:highlight w:val="white"/>
        </w:rPr>
        <w:t>十四、2021年度预算绩效情况的说明</w:t>
      </w:r>
    </w:p>
    <w:p>
      <w:pPr>
        <w:autoSpaceDE w:val="0"/>
        <w:autoSpaceDN w:val="0"/>
        <w:adjustRightInd w:val="0"/>
        <w:spacing w:line="520" w:lineRule="exact"/>
        <w:jc w:val="left"/>
        <w:rPr>
          <w:rFonts w:hint="default" w:ascii="Times New Roman" w:hAnsi="Times New Roman" w:eastAsia="黑体"/>
          <w:b/>
          <w:color w:val="000000"/>
          <w:kern w:val="0"/>
          <w:sz w:val="28"/>
          <w:szCs w:val="24"/>
          <w:highlight w:val="white"/>
        </w:rPr>
      </w:pPr>
      <w:r>
        <w:rPr>
          <w:rFonts w:hint="eastAsia" w:ascii="黑体" w:hAnsi="Times New Roman" w:eastAsia="黑体"/>
          <w:b/>
          <w:color w:val="000000"/>
          <w:kern w:val="0"/>
          <w:sz w:val="28"/>
          <w:szCs w:val="24"/>
          <w:highlight w:val="white"/>
        </w:rPr>
        <w:t>第四部分名词解释</w:t>
      </w:r>
    </w:p>
    <w:p>
      <w:pPr>
        <w:autoSpaceDE w:val="0"/>
        <w:autoSpaceDN w:val="0"/>
        <w:adjustRightInd w:val="0"/>
        <w:spacing w:line="520" w:lineRule="exact"/>
        <w:jc w:val="left"/>
        <w:rPr>
          <w:rFonts w:hint="default" w:ascii="Times New Roman" w:hAnsi="Times New Roman" w:eastAsia="黑体"/>
          <w:sz w:val="44"/>
          <w:szCs w:val="24"/>
          <w:highlight w:val="white"/>
          <w:lang w:val="zh-CN"/>
        </w:rPr>
      </w:pPr>
      <w:r>
        <w:rPr>
          <w:rFonts w:hint="eastAsia" w:ascii="黑体" w:hAnsi="Times New Roman" w:eastAsia="黑体"/>
          <w:b/>
          <w:color w:val="000000"/>
          <w:kern w:val="0"/>
          <w:sz w:val="28"/>
          <w:szCs w:val="24"/>
          <w:highlight w:val="white"/>
        </w:rPr>
        <w:t>第五部分附件</w:t>
      </w:r>
    </w:p>
    <w:p>
      <w:pPr>
        <w:autoSpaceDE w:val="0"/>
        <w:autoSpaceDN w:val="0"/>
        <w:adjustRightInd w:val="0"/>
        <w:ind w:firstLine="640" w:firstLineChars="200"/>
        <w:rPr>
          <w:rFonts w:hint="default" w:ascii="Times New Roman" w:hAnsi="Times New Roman" w:eastAsia="黑体"/>
          <w:sz w:val="32"/>
          <w:szCs w:val="24"/>
        </w:rPr>
      </w:pPr>
      <w:r>
        <w:rPr>
          <w:rFonts w:hint="eastAsia" w:ascii="黑体" w:hAnsi="Times New Roman" w:eastAsia="黑体"/>
          <w:sz w:val="32"/>
          <w:szCs w:val="24"/>
        </w:rPr>
        <w:t>第一部分</w:t>
      </w:r>
    </w:p>
    <w:p>
      <w:pPr>
        <w:autoSpaceDE w:val="0"/>
        <w:autoSpaceDN w:val="0"/>
        <w:adjustRightInd w:val="0"/>
        <w:ind w:firstLine="640" w:firstLineChars="200"/>
        <w:rPr>
          <w:rFonts w:hint="default" w:ascii="Times New Roman" w:hAnsi="Times New Roman" w:eastAsia="黑体"/>
          <w:sz w:val="32"/>
          <w:szCs w:val="24"/>
        </w:rPr>
      </w:pPr>
      <w:r>
        <w:rPr>
          <w:rFonts w:hint="eastAsia" w:ascii="黑体" w:hAnsi="Times New Roman" w:eastAsia="黑体"/>
          <w:sz w:val="32"/>
          <w:szCs w:val="24"/>
          <w:lang w:val="zh-CN"/>
        </w:rPr>
        <w:t>中共岳阳市委统一战线工作部</w:t>
      </w:r>
      <w:r>
        <w:rPr>
          <w:rFonts w:hint="eastAsia" w:ascii="黑体" w:hAnsi="Times New Roman" w:eastAsia="黑体"/>
          <w:sz w:val="32"/>
          <w:szCs w:val="24"/>
        </w:rPr>
        <w:t>概况</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一、</w:t>
      </w:r>
      <w:r>
        <w:rPr>
          <w:rFonts w:hint="eastAsia" w:ascii="宋体" w:hAnsi="Times New Roman" w:eastAsia="宋体"/>
          <w:sz w:val="32"/>
          <w:szCs w:val="24"/>
          <w:lang w:val="zh-CN"/>
        </w:rPr>
        <w:t>部门职责</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和落实中央、省委、市委统一战线工作重大决策部署，巩固壮大最个广泛的统一战线。</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二、机构设置</w:t>
      </w:r>
      <w:r>
        <w:rPr>
          <w:rFonts w:hint="eastAsia" w:ascii="宋体" w:hAnsi="Times New Roman" w:eastAsia="宋体"/>
          <w:sz w:val="32"/>
          <w:szCs w:val="24"/>
          <w:lang w:val="zh-CN"/>
        </w:rPr>
        <w:t>及</w:t>
      </w:r>
      <w:r>
        <w:rPr>
          <w:rFonts w:hint="eastAsia" w:ascii="宋体" w:hAnsi="Times New Roman" w:eastAsia="宋体"/>
          <w:sz w:val="32"/>
          <w:szCs w:val="24"/>
        </w:rPr>
        <w:t>决算单位构成</w:t>
      </w:r>
    </w:p>
    <w:p>
      <w:pPr>
        <w:autoSpaceDE w:val="0"/>
        <w:autoSpaceDN w:val="0"/>
        <w:adjustRightInd w:val="0"/>
        <w:ind w:firstLine="640" w:firstLineChars="200"/>
        <w:rPr>
          <w:rFonts w:hint="eastAsia" w:ascii="宋体" w:hAnsi="Times New Roman" w:eastAsia="宋体"/>
          <w:sz w:val="32"/>
          <w:szCs w:val="24"/>
          <w:lang w:val="zh-CN"/>
        </w:rPr>
      </w:pPr>
      <w:r>
        <w:rPr>
          <w:rFonts w:hint="eastAsia" w:ascii="宋体" w:hAnsi="Times New Roman" w:eastAsia="宋体"/>
          <w:sz w:val="32"/>
          <w:szCs w:val="24"/>
        </w:rPr>
        <w:t>(一)内设机构设置</w:t>
      </w:r>
      <w:r>
        <w:rPr>
          <w:rFonts w:hint="eastAsia" w:ascii="宋体" w:hAnsi="Times New Roman" w:eastAsia="宋体"/>
          <w:sz w:val="32"/>
          <w:szCs w:val="24"/>
          <w:lang w:val="zh-CN"/>
        </w:rPr>
        <w:t>。</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中共岳阳市委统一战线工作部单位内设机构包括：办公室：负责对外联系和日常协调工作。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研究室：负责协调开展全市统一战线重大理论政策研究；组织起草统一战线工作重要文稿；负责拟定全市统一战线重点课题调研计划，协调部机关、各级统战部门和有关研究机构开展研究，组织开展综合性课题调研。</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干部科：负责党外代表人士的政治安排和担任政府、司法机关及其他单位领导职务的党外人士的培养、选拔、考察、推荐等工作。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统战宣传信息科：负责全市统战宣传信息工作的指导、督查、培训；指导和管理本部网站（含新媒体）；联系并利用上级媒体和各种社会宣传媒介宣传统一战线，配合有关部门开展海外统战宣传工作。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民主党派工作科：负责联系各民主党派市委及民主党派代表人士，反映意见建议。</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民族事务科：负责开展民族政策、重大问题的调查研究，提出有关民族工作的政策建议。</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宗教事务科：负责依法履行宗教事务管理职责，依法保护公民宗教信仰自由和正常的宗教活动，维护宗教界的合法权益，促进宗教关系和谐。</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政策法规科：承担民族、宗教、归侨、侨眷法律法规和政策的督促检查、宣传教育工作。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非公有制经济工作科：负责参与制定、推动落实鼓励支持引导非公有制经济发展的方针政策，了解贯彻落实情况并提出个工作建议。</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党外知识分子和新的社会阶层人士统战工作科：承担党外知识分子联谊会和新的社会阶层人士联谊会日常管理工作，负责联系、培养无党派、党外知识分子和新的社会阶层人士。</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港澳台侨统战工作科：负责机关及统战系统单位外事管理工作，归口管理民主党派市委、市工商联；承担归侨、侨眷身份认定工作；负责全市侨界知识分子联谊工作。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机关党委：负责部机关和系统单位的党群工作；负责离退休人员管理工作；负责关心下一代工作。</w:t>
      </w:r>
    </w:p>
    <w:p>
      <w:pPr>
        <w:ind w:firstLine="640" w:firstLineChars="200"/>
        <w:rPr>
          <w:rFonts w:hint="eastAsia" w:ascii="宋体" w:hAnsi="Times New Roman" w:eastAsia="宋体"/>
          <w:sz w:val="32"/>
          <w:szCs w:val="24"/>
          <w:highlight w:val="white"/>
          <w:lang w:val="zh-CN"/>
        </w:rPr>
      </w:pPr>
      <w:r>
        <w:rPr>
          <w:rFonts w:hint="eastAsia" w:ascii="宋体" w:hAnsi="Times New Roman" w:eastAsia="宋体"/>
          <w:sz w:val="32"/>
          <w:szCs w:val="24"/>
          <w:highlight w:val="white"/>
          <w:lang w:val="zh-CN"/>
        </w:rPr>
        <w:t>机关纪委：负责部机关和系统单位的纪检工作。</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（二）决算单位构成。</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lang w:val="zh-CN"/>
        </w:rPr>
        <w:t>中共岳阳市委统一战线工作部单位2021年部门决算汇总公开单位构成包括：部</w:t>
      </w:r>
      <w:r>
        <w:rPr>
          <w:rFonts w:hint="eastAsia" w:ascii="宋体" w:hAnsi="Times New Roman" w:eastAsia="宋体"/>
          <w:sz w:val="32"/>
          <w:szCs w:val="24"/>
          <w:highlight w:val="white"/>
          <w:lang w:val="zh-CN"/>
        </w:rPr>
        <w:t>机关本级决算,无下属单位。</w:t>
      </w:r>
    </w:p>
    <w:p>
      <w:pPr>
        <w:autoSpaceDE w:val="0"/>
        <w:autoSpaceDN w:val="0"/>
        <w:adjustRightInd w:val="0"/>
        <w:ind w:firstLine="640" w:firstLineChars="200"/>
        <w:rPr>
          <w:rFonts w:hint="default" w:ascii="Times New Roman" w:hAnsi="Times New Roman" w:eastAsia="黑体"/>
          <w:sz w:val="32"/>
          <w:szCs w:val="24"/>
        </w:rPr>
      </w:pPr>
      <w:r>
        <w:rPr>
          <w:rFonts w:hint="eastAsia" w:ascii="黑体" w:hAnsi="Times New Roman" w:eastAsia="黑体"/>
          <w:sz w:val="32"/>
          <w:szCs w:val="24"/>
        </w:rPr>
        <w:t xml:space="preserve">第二部分 </w:t>
      </w:r>
      <w:r>
        <w:rPr>
          <w:rFonts w:hint="eastAsia" w:ascii="黑体" w:hAnsi="Times New Roman" w:eastAsia="黑体"/>
          <w:sz w:val="32"/>
          <w:szCs w:val="24"/>
          <w:lang w:val="zh-CN"/>
        </w:rPr>
        <w:t>中共岳阳市委统一战线工作部</w:t>
      </w:r>
      <w:r>
        <w:rPr>
          <w:rFonts w:hint="eastAsia" w:ascii="黑体" w:hAnsi="Times New Roman" w:eastAsia="黑体"/>
          <w:sz w:val="32"/>
          <w:szCs w:val="24"/>
        </w:rPr>
        <w:t>2021年度部门决算表（见附表）</w:t>
      </w:r>
    </w:p>
    <w:p>
      <w:pPr>
        <w:autoSpaceDE w:val="0"/>
        <w:autoSpaceDN w:val="0"/>
        <w:adjustRightInd w:val="0"/>
        <w:ind w:firstLine="640" w:firstLineChars="200"/>
        <w:rPr>
          <w:rFonts w:hint="default" w:ascii="Times New Roman" w:hAnsi="Times New Roman" w:eastAsia="黑体"/>
          <w:sz w:val="32"/>
          <w:szCs w:val="24"/>
        </w:rPr>
      </w:pPr>
      <w:r>
        <w:rPr>
          <w:rFonts w:hint="eastAsia" w:ascii="黑体" w:hAnsi="Times New Roman" w:eastAsia="黑体"/>
          <w:sz w:val="32"/>
          <w:szCs w:val="24"/>
        </w:rPr>
        <w:t xml:space="preserve">第三部分 </w:t>
      </w:r>
      <w:r>
        <w:rPr>
          <w:rFonts w:hint="eastAsia" w:ascii="黑体" w:hAnsi="Times New Roman" w:eastAsia="黑体"/>
          <w:sz w:val="32"/>
          <w:szCs w:val="24"/>
          <w:lang w:val="zh-CN"/>
        </w:rPr>
        <w:t>中共岳阳市委统一战线工作部</w:t>
      </w:r>
      <w:r>
        <w:rPr>
          <w:rFonts w:hint="eastAsia" w:ascii="黑体" w:hAnsi="Times New Roman" w:eastAsia="黑体"/>
          <w:sz w:val="32"/>
          <w:szCs w:val="24"/>
        </w:rPr>
        <w:t>2021年度部门决算情况说明</w:t>
      </w:r>
    </w:p>
    <w:p>
      <w:pPr>
        <w:autoSpaceDE w:val="0"/>
        <w:autoSpaceDN w:val="0"/>
        <w:adjustRightInd w:val="0"/>
        <w:ind w:firstLine="640" w:firstLineChars="200"/>
        <w:rPr>
          <w:rFonts w:hint="eastAsia" w:ascii="黑体" w:hAnsi="Times New Roman" w:eastAsia="黑体"/>
          <w:sz w:val="32"/>
          <w:szCs w:val="24"/>
          <w:lang w:val="zh-CN"/>
        </w:rPr>
      </w:pPr>
      <w:r>
        <w:rPr>
          <w:rFonts w:hint="eastAsia" w:ascii="黑体" w:hAnsi="Times New Roman" w:eastAsia="黑体"/>
          <w:sz w:val="32"/>
          <w:szCs w:val="24"/>
          <w:lang w:val="zh-CN"/>
        </w:rPr>
        <w:t>一、收入支出决算总体情况说明</w:t>
      </w:r>
    </w:p>
    <w:p>
      <w:pPr>
        <w:autoSpaceDE w:val="0"/>
        <w:autoSpaceDN w:val="0"/>
        <w:adjustRightInd w:val="0"/>
        <w:ind w:firstLine="640" w:firstLineChars="200"/>
        <w:rPr>
          <w:rFonts w:hint="default" w:ascii="Times New Roman" w:hAnsi="Times New Roman" w:eastAsia="宋体"/>
          <w:sz w:val="32"/>
          <w:szCs w:val="24"/>
          <w:lang w:val="zh-CN"/>
        </w:rPr>
      </w:pPr>
      <w:r>
        <w:rPr>
          <w:rFonts w:hint="eastAsia" w:ascii="宋体" w:hAnsi="Times New Roman" w:eastAsia="宋体"/>
          <w:sz w:val="32"/>
          <w:szCs w:val="24"/>
          <w:lang w:val="zh-CN"/>
        </w:rPr>
        <w:t>2021年度收、支总计均为1111.94万元，与2020年相比，</w:t>
      </w:r>
      <w:r>
        <w:rPr>
          <w:rFonts w:hint="eastAsia" w:ascii="宋体" w:hAnsi="Times New Roman" w:eastAsia="宋体"/>
          <w:sz w:val="32"/>
          <w:szCs w:val="24"/>
          <w:highlight w:val="white"/>
          <w:lang w:val="zh-CN"/>
        </w:rPr>
        <w:t>本单位2021年部门决算为新报单位，新报因素是我单位从市委办在</w:t>
      </w:r>
      <w:r>
        <w:rPr>
          <w:rFonts w:hint="eastAsia" w:ascii="宋体" w:hAnsi="Times New Roman" w:eastAsia="宋体"/>
          <w:sz w:val="32"/>
          <w:szCs w:val="24"/>
          <w:highlight w:val="white"/>
          <w:lang w:val="en-US" w:eastAsia="zh-CN"/>
        </w:rPr>
        <w:t>20</w:t>
      </w:r>
      <w:r>
        <w:rPr>
          <w:rFonts w:hint="eastAsia" w:ascii="宋体" w:hAnsi="Times New Roman" w:eastAsia="宋体"/>
          <w:sz w:val="32"/>
          <w:szCs w:val="24"/>
          <w:highlight w:val="white"/>
          <w:lang w:val="zh-CN"/>
        </w:rPr>
        <w:t>21年单列独立核算，没有与上年对比情况。</w:t>
      </w:r>
    </w:p>
    <w:p>
      <w:pPr>
        <w:autoSpaceDE w:val="0"/>
        <w:autoSpaceDN w:val="0"/>
        <w:adjustRightInd w:val="0"/>
        <w:ind w:firstLine="640" w:firstLineChars="200"/>
        <w:rPr>
          <w:rFonts w:hint="eastAsia" w:ascii="黑体" w:hAnsi="Times New Roman" w:eastAsia="黑体"/>
          <w:sz w:val="32"/>
          <w:szCs w:val="24"/>
        </w:rPr>
      </w:pPr>
      <w:r>
        <w:rPr>
          <w:rFonts w:hint="eastAsia" w:ascii="黑体" w:hAnsi="Times New Roman" w:eastAsia="黑体"/>
          <w:sz w:val="32"/>
          <w:szCs w:val="24"/>
        </w:rPr>
        <w:t>二、收入决算情况说明</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2021年度收入合计1031.24万元，其中：财政拨款收入989.97万元，占96%；其他收入41.27万元，占4%。</w:t>
      </w:r>
    </w:p>
    <w:p>
      <w:pPr>
        <w:autoSpaceDE w:val="0"/>
        <w:autoSpaceDN w:val="0"/>
        <w:adjustRightInd w:val="0"/>
        <w:ind w:firstLine="640" w:firstLineChars="200"/>
        <w:rPr>
          <w:rFonts w:hint="eastAsia" w:ascii="黑体" w:hAnsi="Times New Roman" w:eastAsia="黑体"/>
          <w:sz w:val="32"/>
          <w:szCs w:val="24"/>
        </w:rPr>
      </w:pPr>
      <w:r>
        <w:rPr>
          <w:rFonts w:hint="eastAsia" w:ascii="黑体" w:hAnsi="Times New Roman" w:eastAsia="黑体"/>
          <w:sz w:val="32"/>
          <w:szCs w:val="24"/>
        </w:rPr>
        <w:t>三、支出决算情况说明</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2021年度支出合计1111.71万元，其中：基本支出</w:t>
      </w:r>
      <w:r>
        <w:rPr>
          <w:rFonts w:hint="eastAsia" w:ascii="宋体" w:hAnsi="Times New Roman" w:eastAsia="宋体"/>
          <w:sz w:val="32"/>
          <w:szCs w:val="24"/>
          <w:lang w:val="zh-CN"/>
        </w:rPr>
        <w:t>1111.7万元，</w:t>
      </w:r>
      <w:r>
        <w:rPr>
          <w:rFonts w:hint="eastAsia" w:ascii="宋体" w:hAnsi="Times New Roman" w:eastAsia="宋体"/>
          <w:sz w:val="32"/>
          <w:szCs w:val="24"/>
        </w:rPr>
        <w:t>占100%；</w:t>
      </w:r>
      <w:r>
        <w:rPr>
          <w:rFonts w:hint="eastAsia" w:ascii="宋体" w:hAnsi="Times New Roman" w:eastAsia="宋体"/>
          <w:sz w:val="32"/>
          <w:szCs w:val="24"/>
          <w:highlight w:val="white"/>
          <w:lang w:val="zh-CN"/>
        </w:rPr>
        <w:t>本单位2021年部门决算为新报单位，新报因素是我单位从市委办在21年单列独立核算，没有与上年对比情况。</w:t>
      </w:r>
    </w:p>
    <w:p>
      <w:pPr>
        <w:autoSpaceDE w:val="0"/>
        <w:autoSpaceDN w:val="0"/>
        <w:adjustRightInd w:val="0"/>
        <w:ind w:firstLine="640" w:firstLineChars="200"/>
        <w:rPr>
          <w:rFonts w:hint="eastAsia" w:ascii="黑体" w:hAnsi="Times New Roman" w:eastAsia="黑体"/>
          <w:sz w:val="32"/>
          <w:szCs w:val="24"/>
        </w:rPr>
      </w:pPr>
      <w:r>
        <w:rPr>
          <w:rFonts w:hint="eastAsia" w:ascii="黑体" w:hAnsi="Times New Roman" w:eastAsia="黑体"/>
          <w:sz w:val="32"/>
          <w:szCs w:val="24"/>
        </w:rPr>
        <w:t xml:space="preserve">四、财政拨款收入支出决算总体情况说明 </w:t>
      </w:r>
    </w:p>
    <w:p>
      <w:pPr>
        <w:autoSpaceDE w:val="0"/>
        <w:autoSpaceDN w:val="0"/>
        <w:adjustRightInd w:val="0"/>
        <w:ind w:firstLine="640" w:firstLineChars="200"/>
        <w:rPr>
          <w:rFonts w:hint="eastAsia" w:ascii="宋体" w:hAnsi="Times New Roman" w:eastAsia="宋体"/>
          <w:color w:val="000000"/>
          <w:kern w:val="0"/>
          <w:sz w:val="32"/>
          <w:szCs w:val="24"/>
        </w:rPr>
      </w:pPr>
      <w:r>
        <w:rPr>
          <w:rFonts w:hint="eastAsia" w:ascii="宋体" w:hAnsi="Times New Roman" w:eastAsia="宋体"/>
          <w:sz w:val="32"/>
          <w:szCs w:val="24"/>
        </w:rPr>
        <w:t>2021年度财政拨款收、支总计均为1070.68万元，</w:t>
      </w:r>
      <w:r>
        <w:rPr>
          <w:rFonts w:hint="eastAsia" w:ascii="宋体" w:hAnsi="Times New Roman" w:eastAsia="宋体"/>
          <w:sz w:val="32"/>
          <w:szCs w:val="24"/>
          <w:highlight w:val="white"/>
          <w:lang w:val="zh-CN"/>
        </w:rPr>
        <w:t>本单位2021年部门决算为新报单位，新报因素是我单位从市委办在21年单列独立核算，没有与上年对比情况。</w:t>
      </w:r>
    </w:p>
    <w:p>
      <w:pPr>
        <w:autoSpaceDE w:val="0"/>
        <w:autoSpaceDN w:val="0"/>
        <w:adjustRightInd w:val="0"/>
        <w:ind w:firstLine="640" w:firstLineChars="200"/>
        <w:rPr>
          <w:rFonts w:hint="eastAsia" w:ascii="黑体" w:hAnsi="Times New Roman" w:eastAsia="黑体"/>
          <w:sz w:val="32"/>
          <w:szCs w:val="24"/>
        </w:rPr>
      </w:pPr>
      <w:r>
        <w:rPr>
          <w:rFonts w:hint="eastAsia" w:ascii="黑体" w:hAnsi="Times New Roman" w:eastAsia="黑体"/>
          <w:sz w:val="32"/>
          <w:szCs w:val="24"/>
        </w:rPr>
        <w:t>五、一般公共预算财政拨款支出决算情况说明</w:t>
      </w:r>
    </w:p>
    <w:p>
      <w:pPr>
        <w:autoSpaceDE w:val="0"/>
        <w:autoSpaceDN w:val="0"/>
        <w:adjustRightInd w:val="0"/>
        <w:ind w:firstLine="643" w:firstLineChars="200"/>
        <w:rPr>
          <w:rFonts w:hint="eastAsia" w:ascii="宋体" w:hAnsi="Times New Roman" w:eastAsia="宋体"/>
          <w:b/>
          <w:sz w:val="32"/>
          <w:szCs w:val="24"/>
        </w:rPr>
      </w:pPr>
      <w:r>
        <w:rPr>
          <w:rFonts w:hint="eastAsia" w:ascii="宋体" w:hAnsi="Times New Roman" w:eastAsia="宋体"/>
          <w:b/>
          <w:sz w:val="32"/>
          <w:szCs w:val="24"/>
        </w:rPr>
        <w:t>（一）</w:t>
      </w:r>
      <w:r>
        <w:rPr>
          <w:rFonts w:hint="eastAsia" w:ascii="宋体" w:hAnsi="Times New Roman" w:eastAsia="宋体"/>
          <w:b/>
          <w:sz w:val="32"/>
          <w:szCs w:val="24"/>
          <w:lang w:val="zh-CN"/>
        </w:rPr>
        <w:t>财政</w:t>
      </w:r>
      <w:r>
        <w:rPr>
          <w:rFonts w:hint="eastAsia" w:ascii="宋体" w:hAnsi="Times New Roman" w:eastAsia="宋体"/>
          <w:b/>
          <w:sz w:val="32"/>
          <w:szCs w:val="24"/>
        </w:rPr>
        <w:t>拨款支出决算总体情况</w:t>
      </w:r>
    </w:p>
    <w:p>
      <w:pPr>
        <w:autoSpaceDE w:val="0"/>
        <w:autoSpaceDN w:val="0"/>
        <w:adjustRightInd w:val="0"/>
        <w:ind w:firstLine="640" w:firstLineChars="200"/>
        <w:rPr>
          <w:rFonts w:hint="eastAsia" w:ascii="宋体" w:hAnsi="Times New Roman" w:eastAsia="宋体"/>
          <w:color w:val="FF0000"/>
          <w:sz w:val="32"/>
          <w:szCs w:val="24"/>
        </w:rPr>
      </w:pPr>
      <w:r>
        <w:rPr>
          <w:rFonts w:hint="eastAsia" w:ascii="宋体" w:hAnsi="Times New Roman" w:eastAsia="宋体"/>
          <w:sz w:val="32"/>
          <w:szCs w:val="24"/>
        </w:rPr>
        <w:t>2021年度财政拨款支出1070.44万元，占本年支出合计的96.29%。与2020年度相比，</w:t>
      </w:r>
      <w:r>
        <w:rPr>
          <w:rFonts w:hint="eastAsia" w:ascii="宋体" w:hAnsi="Times New Roman" w:eastAsia="宋体"/>
          <w:sz w:val="32"/>
          <w:szCs w:val="24"/>
          <w:highlight w:val="white"/>
          <w:lang w:val="zh-CN"/>
        </w:rPr>
        <w:t>本单位2021年部门决算为新报单位，新报因素是我单位从市委办在21年单列独立核算，没有与上年对比情况。</w:t>
      </w:r>
    </w:p>
    <w:p>
      <w:pPr>
        <w:autoSpaceDE w:val="0"/>
        <w:autoSpaceDN w:val="0"/>
        <w:adjustRightInd w:val="0"/>
        <w:ind w:firstLine="643" w:firstLineChars="200"/>
        <w:rPr>
          <w:rFonts w:hint="eastAsia" w:ascii="宋体" w:hAnsi="Times New Roman" w:eastAsia="宋体"/>
          <w:b/>
          <w:sz w:val="32"/>
          <w:szCs w:val="24"/>
        </w:rPr>
      </w:pPr>
      <w:r>
        <w:rPr>
          <w:rFonts w:hint="eastAsia" w:ascii="宋体" w:hAnsi="Times New Roman" w:eastAsia="宋体"/>
          <w:b/>
          <w:sz w:val="32"/>
          <w:szCs w:val="24"/>
        </w:rPr>
        <w:t>（二）财政拨款支出决算结构情况</w:t>
      </w:r>
    </w:p>
    <w:p>
      <w:pPr>
        <w:autoSpaceDE w:val="0"/>
        <w:autoSpaceDN w:val="0"/>
        <w:adjustRightInd w:val="0"/>
        <w:ind w:firstLine="640" w:firstLineChars="200"/>
        <w:rPr>
          <w:rFonts w:hint="default" w:ascii="Calibri" w:hAnsi="Calibri" w:eastAsia="宋体"/>
          <w:sz w:val="21"/>
          <w:szCs w:val="24"/>
          <w:lang w:val="zh-CN"/>
        </w:rPr>
      </w:pPr>
      <w:r>
        <w:rPr>
          <w:rFonts w:hint="eastAsia" w:ascii="宋体" w:hAnsi="Times New Roman" w:eastAsia="宋体"/>
          <w:color w:val="000000"/>
          <w:kern w:val="0"/>
          <w:sz w:val="32"/>
          <w:szCs w:val="24"/>
        </w:rPr>
        <w:t>2021年度财政拨款支出1070.44万元，主要用于以下方面：一般公共服务（类）支出</w:t>
      </w:r>
      <w:r>
        <w:rPr>
          <w:rFonts w:hint="eastAsia" w:ascii="宋体" w:hAnsi="Times New Roman" w:eastAsia="宋体"/>
          <w:color w:val="0000FF"/>
          <w:kern w:val="0"/>
          <w:sz w:val="32"/>
          <w:szCs w:val="24"/>
        </w:rPr>
        <w:t>1010.8</w:t>
      </w:r>
      <w:r>
        <w:rPr>
          <w:rFonts w:hint="eastAsia" w:ascii="宋体" w:hAnsi="Times New Roman" w:eastAsia="宋体"/>
          <w:color w:val="0000FF"/>
          <w:kern w:val="0"/>
          <w:sz w:val="32"/>
          <w:szCs w:val="24"/>
          <w:lang w:val="en-US" w:eastAsia="zh-CN"/>
        </w:rPr>
        <w:t>5</w:t>
      </w:r>
      <w:r>
        <w:rPr>
          <w:rFonts w:hint="eastAsia" w:ascii="宋体" w:hAnsi="Times New Roman" w:eastAsia="宋体"/>
          <w:color w:val="000000"/>
          <w:kern w:val="0"/>
          <w:sz w:val="32"/>
          <w:szCs w:val="24"/>
        </w:rPr>
        <w:t>万元，占94.43%；社会保障和就业（类）支出35.03万元，占3.27%；卫生健康（类）支出14.55万元，占1.36%；粮油物资储备（类）支出10万元，占</w:t>
      </w:r>
      <w:r>
        <w:rPr>
          <w:rFonts w:hint="eastAsia" w:ascii="宋体" w:hAnsi="Times New Roman" w:eastAsia="宋体"/>
          <w:color w:val="0000FF"/>
          <w:kern w:val="0"/>
          <w:sz w:val="32"/>
          <w:szCs w:val="24"/>
        </w:rPr>
        <w:t>0.9</w:t>
      </w:r>
      <w:r>
        <w:rPr>
          <w:rFonts w:hint="eastAsia" w:ascii="宋体" w:hAnsi="Times New Roman" w:eastAsia="宋体"/>
          <w:color w:val="0000FF"/>
          <w:kern w:val="0"/>
          <w:sz w:val="32"/>
          <w:szCs w:val="24"/>
          <w:lang w:val="en-US" w:eastAsia="zh-CN"/>
        </w:rPr>
        <w:t>4</w:t>
      </w:r>
      <w:r>
        <w:rPr>
          <w:rFonts w:hint="eastAsia" w:ascii="宋体" w:hAnsi="Times New Roman" w:eastAsia="宋体"/>
          <w:color w:val="000000"/>
          <w:kern w:val="0"/>
          <w:sz w:val="32"/>
          <w:szCs w:val="24"/>
        </w:rPr>
        <w:t>%；</w:t>
      </w:r>
    </w:p>
    <w:p>
      <w:pPr>
        <w:autoSpaceDE w:val="0"/>
        <w:autoSpaceDN w:val="0"/>
        <w:adjustRightInd w:val="0"/>
        <w:ind w:firstLine="643" w:firstLineChars="200"/>
        <w:rPr>
          <w:rFonts w:hint="eastAsia" w:ascii="宋体" w:hAnsi="Calibri" w:eastAsia="宋体"/>
          <w:b/>
          <w:sz w:val="32"/>
          <w:szCs w:val="24"/>
        </w:rPr>
      </w:pPr>
      <w:r>
        <w:rPr>
          <w:rFonts w:hint="eastAsia" w:ascii="宋体" w:hAnsi="Calibri" w:eastAsia="宋体"/>
          <w:b/>
          <w:sz w:val="32"/>
          <w:szCs w:val="24"/>
        </w:rPr>
        <w:t>（三）财政拨款支出决算具体情况</w:t>
      </w:r>
    </w:p>
    <w:p>
      <w:pPr>
        <w:suppressLineNumbers/>
        <w:autoSpaceDE w:val="0"/>
        <w:autoSpaceDN w:val="0"/>
        <w:adjustRightInd w:val="0"/>
        <w:ind w:firstLine="640" w:firstLineChars="200"/>
        <w:jc w:val="left"/>
        <w:rPr>
          <w:rFonts w:hint="eastAsia" w:ascii="宋体" w:hAnsi="Calibri" w:eastAsia="宋体"/>
          <w:color w:val="000000"/>
          <w:sz w:val="32"/>
          <w:szCs w:val="24"/>
          <w:lang w:val="zh-CN"/>
        </w:rPr>
      </w:pPr>
      <w:r>
        <w:rPr>
          <w:rFonts w:hint="eastAsia" w:ascii="宋体" w:hAnsi="Calibri" w:eastAsia="宋体"/>
          <w:color w:val="000000"/>
          <w:sz w:val="32"/>
          <w:szCs w:val="24"/>
          <w:lang w:val="zh-CN"/>
        </w:rPr>
        <w:t>2021年度财政拨款支出年初预算为583.55万元，支出决算为1070.44万元，完成年初预算的183.43%。其中：</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w:t>
      </w:r>
      <w:r>
        <w:rPr>
          <w:rFonts w:hint="eastAsia" w:ascii="宋体" w:hAnsi="Calibri" w:eastAsia="宋体"/>
          <w:sz w:val="32"/>
          <w:szCs w:val="24"/>
        </w:rPr>
        <w:t>一般公共服务支出（类）民族事务（款）一般行政管理事务（项）。年初预算为45万元，支出决算为50万元，完成年初预算的111.11%。决算数大于预算数的主要原因是年中追加预算。</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2、</w:t>
      </w:r>
      <w:r>
        <w:rPr>
          <w:rFonts w:hint="eastAsia" w:ascii="宋体" w:hAnsi="Calibri" w:eastAsia="宋体"/>
          <w:sz w:val="32"/>
          <w:szCs w:val="24"/>
        </w:rPr>
        <w:t>一般公共服务支出（类）民族事务（款）民族工作专项（项）。年初预算为0，支出决算为5万元，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决算数大于预算数的主要原因是功能科目间调剂。</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3、</w:t>
      </w:r>
      <w:r>
        <w:rPr>
          <w:rFonts w:hint="eastAsia" w:ascii="宋体" w:hAnsi="Calibri" w:eastAsia="宋体"/>
          <w:sz w:val="32"/>
          <w:szCs w:val="24"/>
        </w:rPr>
        <w:t>一般公共服务支出（类）港澳台事务（款）行政运行（项）。年初预算为8.5万元，支出决算为8.5万元，完成年初预算的100%。决算数与预算数一致，我单位严格按预算执行决算。</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4、</w:t>
      </w:r>
      <w:r>
        <w:rPr>
          <w:rFonts w:hint="eastAsia" w:ascii="宋体" w:hAnsi="Calibri" w:eastAsia="宋体"/>
          <w:sz w:val="32"/>
          <w:szCs w:val="24"/>
        </w:rPr>
        <w:t>一般公共服务支出（类）港澳台事务（款）港澳事务（项）。年初预算为31.44万元，支出决算为200万元，完成年初预算的636.13%。决算数大于预算数的主要原因是年中追加预算经费。</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5、</w:t>
      </w:r>
      <w:r>
        <w:rPr>
          <w:rFonts w:hint="eastAsia" w:ascii="宋体" w:hAnsi="Calibri" w:eastAsia="宋体"/>
          <w:sz w:val="32"/>
          <w:szCs w:val="24"/>
        </w:rPr>
        <w:t>一般公共服务支出（类）党委办公厅（室）及相关机构事务（款）一般行政管理事务（项）。年初预算为0万元，支出决算为15.06万元，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决算数大于预算数的主要原因是年中追加预算经费。</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6、</w:t>
      </w:r>
      <w:r>
        <w:rPr>
          <w:rFonts w:hint="eastAsia" w:ascii="宋体" w:hAnsi="Calibri" w:eastAsia="宋体"/>
          <w:sz w:val="32"/>
          <w:szCs w:val="24"/>
        </w:rPr>
        <w:t>一般公共服务支出（类）宣传事务（款）其他宣传事务支出（项）。年初预算为0万元，支出决算为0.15万元，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决算数大于预算数的主要原因是年中追加预算经费。</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7、</w:t>
      </w:r>
      <w:r>
        <w:rPr>
          <w:rFonts w:hint="eastAsia" w:ascii="宋体" w:hAnsi="Calibri" w:eastAsia="宋体"/>
          <w:sz w:val="32"/>
          <w:szCs w:val="24"/>
        </w:rPr>
        <w:t>一般公共服务支出（类）统战事务（款）行政运行（项）。年初预算为431.99万元，支出决算为588.66万元，完成年初预算的136.27%。决算数大于预算数的主要原因是年中追加预算经费。</w:t>
      </w:r>
    </w:p>
    <w:p>
      <w:pPr>
        <w:autoSpaceDE w:val="0"/>
        <w:autoSpaceDN w:val="0"/>
        <w:adjustRightInd w:val="0"/>
        <w:ind w:firstLine="640" w:firstLineChars="200"/>
        <w:rPr>
          <w:rFonts w:hint="eastAsia" w:ascii="宋体" w:hAnsi="Calibri" w:eastAsia="宋体"/>
          <w:b/>
          <w:sz w:val="32"/>
          <w:szCs w:val="24"/>
        </w:rPr>
      </w:pPr>
      <w:r>
        <w:rPr>
          <w:rFonts w:hint="eastAsia" w:ascii="宋体" w:hAnsi="Calibri" w:eastAsia="宋体"/>
          <w:sz w:val="32"/>
          <w:szCs w:val="24"/>
          <w:lang w:val="en-US" w:eastAsia="zh-CN"/>
        </w:rPr>
        <w:t>8、</w:t>
      </w:r>
      <w:r>
        <w:rPr>
          <w:rFonts w:hint="eastAsia" w:ascii="宋体" w:hAnsi="Calibri" w:eastAsia="宋体"/>
          <w:sz w:val="32"/>
          <w:szCs w:val="24"/>
        </w:rPr>
        <w:t>一般公共服务支出（类）统战事务（款）一般行政管理事务（项）。年初预算为0万元，支出决算为105.7万元，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决算数大于预算数的主要原因是功能科目间调整。</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9、</w:t>
      </w:r>
      <w:r>
        <w:rPr>
          <w:rFonts w:hint="eastAsia" w:ascii="宋体" w:hAnsi="Calibri" w:eastAsia="宋体"/>
          <w:sz w:val="32"/>
          <w:szCs w:val="24"/>
        </w:rPr>
        <w:t>一般公共服务支出（类）统战事务（款）宗教事务（项）。年初预算为0万元，支出决算为4.48万元，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决算数大于预算数的主要原因是年中追加预算经费。</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10、</w:t>
      </w:r>
      <w:r>
        <w:rPr>
          <w:rFonts w:hint="eastAsia" w:ascii="宋体" w:hAnsi="Calibri" w:eastAsia="宋体"/>
          <w:sz w:val="32"/>
          <w:szCs w:val="24"/>
        </w:rPr>
        <w:t xml:space="preserve">一般公共服务支出（类）统战事务（款）其他统战事务支出（项）。年初预算为18万元，支出决算为33.3万元，完成年初预算的185%。决算数大于预算数的主要原因是年中追加预算经费。 </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11、</w:t>
      </w:r>
      <w:r>
        <w:rPr>
          <w:rFonts w:hint="eastAsia" w:ascii="宋体" w:hAnsi="Calibri" w:eastAsia="宋体"/>
          <w:sz w:val="32"/>
          <w:szCs w:val="24"/>
        </w:rPr>
        <w:t>社会保障和就业支出（类）行政事业单位养老支出（款）机关事业单位基本养老保险缴费支出（项）。年初预算为31.44万元，支出决算为31.44万元，完成年初预算的100%。决算数与预算数一致，我单位严格按预算执行决算。</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12、</w:t>
      </w:r>
      <w:r>
        <w:rPr>
          <w:rFonts w:hint="eastAsia" w:ascii="宋体" w:hAnsi="Calibri" w:eastAsia="宋体"/>
          <w:sz w:val="32"/>
          <w:szCs w:val="24"/>
        </w:rPr>
        <w:t>社会保障和就业支出（类）残疾人事业（款）其他残疾人事业支出（项）。年初预算为2.63万元，支出决算为2.63万元，完成年初预算的100%。决算数与预算数一致，我单位严格按预算执行决算。</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13、</w:t>
      </w:r>
      <w:r>
        <w:rPr>
          <w:rFonts w:hint="eastAsia" w:ascii="宋体" w:hAnsi="Calibri" w:eastAsia="宋体"/>
          <w:sz w:val="32"/>
          <w:szCs w:val="24"/>
        </w:rPr>
        <w:t>社会保障和就业支出（类）其他社会保障和就业支出（款）其他社会保障和就业支出（项）。年初预算为0万元，支出决算为0.96万元，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决算数大于预算数的主要原因是功能科目间调剂。</w:t>
      </w:r>
    </w:p>
    <w:p>
      <w:pPr>
        <w:autoSpaceDE w:val="0"/>
        <w:autoSpaceDN w:val="0"/>
        <w:adjustRightInd w:val="0"/>
        <w:ind w:firstLine="640" w:firstLineChars="200"/>
        <w:rPr>
          <w:rFonts w:hint="eastAsia" w:ascii="宋体" w:hAnsi="Calibri" w:eastAsia="宋体"/>
          <w:sz w:val="32"/>
          <w:szCs w:val="24"/>
        </w:rPr>
      </w:pPr>
      <w:r>
        <w:rPr>
          <w:rFonts w:hint="eastAsia" w:ascii="宋体" w:hAnsi="Calibri" w:eastAsia="宋体"/>
          <w:sz w:val="32"/>
          <w:szCs w:val="24"/>
          <w:lang w:val="en-US" w:eastAsia="zh-CN"/>
        </w:rPr>
        <w:t>14、</w:t>
      </w:r>
      <w:r>
        <w:rPr>
          <w:rFonts w:hint="eastAsia" w:ascii="宋体" w:hAnsi="Calibri" w:eastAsia="宋体"/>
          <w:sz w:val="32"/>
          <w:szCs w:val="24"/>
        </w:rPr>
        <w:t>卫生健康支出（类）行政事业单位医疗（款）行政单位医疗（项）。年初预算为14.55万元，支出决算为14.55万元，完成年初预算的100%。决算数与预算数一致，我单位严格按预算执行决算。</w:t>
      </w:r>
    </w:p>
    <w:p>
      <w:pPr>
        <w:autoSpaceDE w:val="0"/>
        <w:autoSpaceDN w:val="0"/>
        <w:adjustRightInd w:val="0"/>
        <w:ind w:firstLine="640" w:firstLineChars="200"/>
        <w:rPr>
          <w:rFonts w:hint="eastAsia" w:ascii="宋体" w:hAnsi="Calibri" w:eastAsia="宋体"/>
          <w:b/>
          <w:sz w:val="32"/>
          <w:szCs w:val="24"/>
        </w:rPr>
      </w:pPr>
      <w:r>
        <w:rPr>
          <w:rFonts w:hint="eastAsia" w:ascii="宋体" w:hAnsi="Calibri" w:eastAsia="宋体"/>
          <w:sz w:val="32"/>
          <w:szCs w:val="24"/>
          <w:lang w:val="en-US" w:eastAsia="zh-CN"/>
        </w:rPr>
        <w:t>15、</w:t>
      </w:r>
      <w:r>
        <w:rPr>
          <w:rFonts w:hint="eastAsia" w:ascii="宋体" w:hAnsi="Calibri" w:eastAsia="宋体"/>
          <w:sz w:val="32"/>
          <w:szCs w:val="24"/>
        </w:rPr>
        <w:t>粮油物资储备支出（类）粮油物资事务（款）其他粮油物资事务支出（项）。年初预算为0万元，支出决算为10万元，</w:t>
      </w:r>
      <w:r>
        <w:rPr>
          <w:rFonts w:hint="eastAsia" w:ascii="宋体" w:hAnsi="Times New Roman" w:eastAsia="宋体"/>
          <w:sz w:val="32"/>
          <w:szCs w:val="24"/>
        </w:rPr>
        <w:t>由于预算数为0，无法计算百分比</w:t>
      </w:r>
      <w:r>
        <w:rPr>
          <w:rFonts w:hint="eastAsia" w:ascii="宋体" w:hAnsi="Times New Roman" w:eastAsia="宋体"/>
          <w:sz w:val="32"/>
          <w:szCs w:val="24"/>
          <w:lang w:eastAsia="zh-CN"/>
        </w:rPr>
        <w:t>，</w:t>
      </w:r>
      <w:r>
        <w:rPr>
          <w:rFonts w:hint="eastAsia" w:ascii="宋体" w:hAnsi="Calibri" w:eastAsia="宋体"/>
          <w:sz w:val="32"/>
          <w:szCs w:val="24"/>
        </w:rPr>
        <w:t>决算数大于预算数的主要原因是年中追加预算。</w:t>
      </w:r>
    </w:p>
    <w:p>
      <w:pPr>
        <w:autoSpaceDE w:val="0"/>
        <w:autoSpaceDN w:val="0"/>
        <w:adjustRightInd w:val="0"/>
        <w:ind w:firstLine="640" w:firstLineChars="200"/>
        <w:rPr>
          <w:rFonts w:hint="default" w:ascii="Times New Roman" w:hAnsi="Times New Roman" w:eastAsia="黑体"/>
          <w:kern w:val="0"/>
          <w:sz w:val="32"/>
          <w:szCs w:val="24"/>
        </w:rPr>
      </w:pPr>
      <w:r>
        <w:rPr>
          <w:rFonts w:hint="eastAsia" w:ascii="黑体" w:hAnsi="Calibri" w:eastAsia="黑体"/>
          <w:kern w:val="0"/>
          <w:sz w:val="32"/>
          <w:szCs w:val="24"/>
        </w:rPr>
        <w:t>六、一般公共预算财政拨款基本支出决算情况说明</w:t>
      </w:r>
    </w:p>
    <w:p>
      <w:pPr>
        <w:autoSpaceDE w:val="0"/>
        <w:autoSpaceDN w:val="0"/>
        <w:adjustRightInd w:val="0"/>
        <w:ind w:firstLine="640" w:firstLineChars="200"/>
        <w:jc w:val="left"/>
        <w:rPr>
          <w:rFonts w:hint="eastAsia" w:ascii="宋体" w:hAnsi="Times New Roman" w:eastAsia="宋体"/>
          <w:kern w:val="0"/>
          <w:sz w:val="32"/>
          <w:szCs w:val="24"/>
        </w:rPr>
      </w:pPr>
      <w:r>
        <w:rPr>
          <w:rFonts w:hint="eastAsia" w:ascii="宋体" w:hAnsi="Times New Roman" w:eastAsia="宋体"/>
          <w:sz w:val="32"/>
          <w:szCs w:val="24"/>
          <w:lang w:val="zh-CN"/>
        </w:rPr>
        <w:t>2021年度</w:t>
      </w:r>
      <w:r>
        <w:rPr>
          <w:rFonts w:hint="eastAsia" w:ascii="宋体" w:hAnsi="Times New Roman" w:eastAsia="宋体"/>
          <w:kern w:val="0"/>
          <w:sz w:val="32"/>
          <w:szCs w:val="24"/>
        </w:rPr>
        <w:t>财政拨款基本支出1070.44万元，其中:</w:t>
      </w:r>
    </w:p>
    <w:p>
      <w:pPr>
        <w:autoSpaceDE w:val="0"/>
        <w:autoSpaceDN w:val="0"/>
        <w:adjustRightInd w:val="0"/>
        <w:ind w:firstLine="643" w:firstLineChars="200"/>
        <w:jc w:val="left"/>
        <w:rPr>
          <w:rFonts w:hint="eastAsia" w:ascii="宋体" w:hAnsi="Times New Roman" w:eastAsia="宋体"/>
          <w:kern w:val="0"/>
          <w:sz w:val="32"/>
          <w:szCs w:val="24"/>
          <w:lang w:val="zh-CN"/>
        </w:rPr>
      </w:pPr>
      <w:r>
        <w:rPr>
          <w:rFonts w:hint="eastAsia" w:ascii="宋体" w:hAnsi="Times New Roman" w:eastAsia="宋体"/>
          <w:b/>
          <w:kern w:val="0"/>
          <w:sz w:val="32"/>
          <w:szCs w:val="24"/>
        </w:rPr>
        <w:t>人员经费</w:t>
      </w:r>
      <w:r>
        <w:rPr>
          <w:rFonts w:hint="eastAsia" w:ascii="宋体" w:hAnsi="Times New Roman" w:eastAsia="宋体"/>
          <w:kern w:val="0"/>
          <w:sz w:val="32"/>
          <w:szCs w:val="24"/>
        </w:rPr>
        <w:t>595.1万元，</w:t>
      </w:r>
      <w:r>
        <w:rPr>
          <w:rFonts w:hint="eastAsia" w:ascii="宋体" w:hAnsi="Times New Roman" w:eastAsia="宋体"/>
          <w:sz w:val="32"/>
          <w:szCs w:val="24"/>
          <w:lang w:val="zh-CN"/>
        </w:rPr>
        <w:t>占基本支出的</w:t>
      </w:r>
      <w:r>
        <w:rPr>
          <w:rFonts w:hint="eastAsia" w:ascii="宋体" w:hAnsi="Times New Roman" w:eastAsia="宋体"/>
          <w:kern w:val="0"/>
          <w:sz w:val="32"/>
          <w:szCs w:val="24"/>
        </w:rPr>
        <w:t>55.59%，主要包括基本工资、津贴补贴、</w:t>
      </w:r>
      <w:r>
        <w:rPr>
          <w:rFonts w:hint="eastAsia" w:ascii="宋体" w:hAnsi="Times New Roman" w:eastAsia="宋体"/>
          <w:kern w:val="0"/>
          <w:sz w:val="32"/>
          <w:szCs w:val="24"/>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ind w:firstLine="643" w:firstLineChars="200"/>
        <w:jc w:val="left"/>
        <w:rPr>
          <w:rFonts w:hint="eastAsia" w:ascii="宋体" w:hAnsi="Times New Roman" w:eastAsia="宋体"/>
          <w:kern w:val="0"/>
          <w:sz w:val="32"/>
          <w:szCs w:val="24"/>
        </w:rPr>
      </w:pPr>
      <w:r>
        <w:rPr>
          <w:rFonts w:hint="eastAsia" w:ascii="宋体" w:hAnsi="Times New Roman" w:eastAsia="宋体"/>
          <w:b/>
          <w:kern w:val="0"/>
          <w:sz w:val="32"/>
          <w:szCs w:val="24"/>
        </w:rPr>
        <w:t>公用经费</w:t>
      </w:r>
      <w:r>
        <w:rPr>
          <w:rFonts w:hint="eastAsia" w:ascii="宋体" w:hAnsi="Times New Roman" w:eastAsia="宋体"/>
          <w:kern w:val="0"/>
          <w:sz w:val="32"/>
          <w:szCs w:val="24"/>
        </w:rPr>
        <w:t>475.34万元，</w:t>
      </w:r>
      <w:r>
        <w:rPr>
          <w:rFonts w:hint="eastAsia" w:ascii="宋体" w:hAnsi="Times New Roman" w:eastAsia="宋体"/>
          <w:sz w:val="32"/>
          <w:szCs w:val="24"/>
          <w:lang w:val="zh-CN"/>
        </w:rPr>
        <w:t>占基本支出的</w:t>
      </w:r>
      <w:r>
        <w:rPr>
          <w:rFonts w:hint="eastAsia" w:ascii="宋体" w:hAnsi="Times New Roman" w:eastAsia="宋体"/>
          <w:kern w:val="0"/>
          <w:sz w:val="32"/>
          <w:szCs w:val="24"/>
        </w:rPr>
        <w:t>44.41%，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autoSpaceDE w:val="0"/>
        <w:autoSpaceDN w:val="0"/>
        <w:adjustRightInd w:val="0"/>
        <w:ind w:firstLine="640" w:firstLineChars="200"/>
        <w:jc w:val="left"/>
        <w:rPr>
          <w:rFonts w:hint="default" w:ascii="Times New Roman" w:hAnsi="Times New Roman" w:eastAsia="黑体"/>
          <w:sz w:val="32"/>
          <w:szCs w:val="24"/>
          <w:lang w:val="zh-CN"/>
        </w:rPr>
      </w:pPr>
      <w:r>
        <w:rPr>
          <w:rFonts w:hint="eastAsia" w:ascii="黑体" w:hAnsi="Times New Roman" w:eastAsia="黑体"/>
          <w:sz w:val="32"/>
          <w:szCs w:val="24"/>
          <w:lang w:val="zh-CN"/>
        </w:rPr>
        <w:t>七、一般公共预算财政拨款</w:t>
      </w:r>
      <w:r>
        <w:rPr>
          <w:rFonts w:hint="eastAsia" w:ascii="黑体" w:hAnsi="Calibri" w:eastAsia="黑体"/>
          <w:sz w:val="32"/>
          <w:szCs w:val="24"/>
          <w:lang w:val="zh-CN"/>
        </w:rPr>
        <w:t>三公经费支出决算情况说明</w:t>
      </w:r>
    </w:p>
    <w:p>
      <w:pPr>
        <w:autoSpaceDE w:val="0"/>
        <w:autoSpaceDN w:val="0"/>
        <w:adjustRightInd w:val="0"/>
        <w:ind w:firstLine="643" w:firstLineChars="200"/>
        <w:rPr>
          <w:rFonts w:hint="eastAsia" w:ascii="宋体" w:hAnsi="Times New Roman" w:eastAsia="宋体"/>
          <w:b/>
          <w:sz w:val="32"/>
          <w:szCs w:val="24"/>
          <w:lang w:val="zh-CN"/>
        </w:rPr>
      </w:pPr>
      <w:r>
        <w:rPr>
          <w:rFonts w:hint="eastAsia" w:ascii="宋体" w:hAnsi="Times New Roman" w:eastAsia="宋体"/>
          <w:b/>
          <w:sz w:val="32"/>
          <w:szCs w:val="24"/>
          <w:lang w:val="zh-CN"/>
        </w:rPr>
        <w:t>（一）三公经费财政拨款支出决算总体情况说明。</w:t>
      </w:r>
    </w:p>
    <w:p>
      <w:pPr>
        <w:autoSpaceDE w:val="0"/>
        <w:autoSpaceDN w:val="0"/>
        <w:adjustRightInd w:val="0"/>
        <w:ind w:firstLine="640" w:firstLineChars="200"/>
        <w:rPr>
          <w:rFonts w:hint="eastAsia" w:ascii="宋体" w:hAnsi="Times New Roman" w:eastAsia="宋体"/>
          <w:sz w:val="32"/>
          <w:szCs w:val="24"/>
        </w:rPr>
      </w:pPr>
      <w:r>
        <w:rPr>
          <w:rFonts w:hint="eastAsia" w:ascii="宋体" w:hAnsi="Times New Roman" w:eastAsia="宋体"/>
          <w:sz w:val="32"/>
          <w:szCs w:val="24"/>
        </w:rPr>
        <w:t>2021年度三公经费财政拨款支出预算为16万元，支出决算为15.28万元,</w:t>
      </w:r>
      <w:r>
        <w:rPr>
          <w:rFonts w:hint="eastAsia" w:ascii="宋体" w:hAnsi="Times New Roman" w:eastAsia="宋体"/>
          <w:sz w:val="32"/>
          <w:szCs w:val="24"/>
          <w:lang w:val="zh-CN"/>
        </w:rPr>
        <w:t>完成预算的95.5%，其中：</w:t>
      </w:r>
    </w:p>
    <w:p>
      <w:pPr>
        <w:keepNext/>
        <w:keepLines/>
        <w:autoSpaceDE w:val="0"/>
        <w:autoSpaceDN w:val="0"/>
        <w:adjustRightInd w:val="0"/>
        <w:spacing w:beforeLines="0" w:afterLines="0" w:line="560" w:lineRule="exact"/>
        <w:ind w:firstLine="640"/>
        <w:rPr>
          <w:rFonts w:hint="eastAsia" w:ascii="宋体" w:hAnsi="Times New Roman" w:eastAsia="宋体"/>
          <w:sz w:val="32"/>
          <w:szCs w:val="24"/>
          <w:highlight w:val="white"/>
          <w:lang w:val="zh-CN"/>
        </w:rPr>
      </w:pPr>
      <w:r>
        <w:rPr>
          <w:rFonts w:hint="eastAsia" w:ascii="宋体" w:hAnsi="Times New Roman" w:eastAsia="宋体"/>
          <w:sz w:val="32"/>
          <w:szCs w:val="24"/>
          <w:highlight w:val="white"/>
        </w:rPr>
        <w:t>因公出国（境）费支出预算为0万元，支出决算为0万元，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Calibri" w:eastAsia="宋体"/>
          <w:sz w:val="32"/>
          <w:szCs w:val="24"/>
          <w:lang w:val="en-US" w:eastAsia="zh-CN"/>
        </w:rPr>
        <w:t>，</w:t>
      </w:r>
      <w:r>
        <w:rPr>
          <w:rFonts w:hint="eastAsia" w:ascii="宋体" w:hAnsi="Times New Roman" w:eastAsia="宋体"/>
          <w:sz w:val="32"/>
          <w:szCs w:val="24"/>
          <w:highlight w:val="white"/>
          <w:lang w:val="zh-CN"/>
        </w:rPr>
        <w:t>决算数与预算数一致，主要原因是认真贯彻落实中央“八项规定”精神和厉行节约要求，从严控制“三公”经费开支，全年未作出国（境）公务安排。</w:t>
      </w:r>
      <w:r>
        <w:rPr>
          <w:rFonts w:hint="eastAsia" w:ascii="宋体" w:hAnsi="Times New Roman" w:eastAsia="宋体"/>
          <w:sz w:val="32"/>
          <w:szCs w:val="24"/>
          <w:highlight w:val="white"/>
        </w:rPr>
        <w:t>与上年相比无增减变化，主要原因是持续</w:t>
      </w:r>
      <w:r>
        <w:rPr>
          <w:rFonts w:hint="eastAsia" w:ascii="宋体" w:hAnsi="Times New Roman" w:eastAsia="宋体"/>
          <w:sz w:val="32"/>
          <w:szCs w:val="24"/>
          <w:highlight w:val="white"/>
          <w:lang w:val="zh-CN"/>
        </w:rPr>
        <w:t>认真贯彻落实中央“八项规定”精神和厉行节约要求，从严控制“三公”经费开支，未作出国（境）公务安排。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宋体"/>
          <w:color w:val="000000"/>
          <w:sz w:val="21"/>
          <w:szCs w:val="24"/>
        </w:rPr>
      </w:pPr>
      <w:r>
        <w:rPr>
          <w:rFonts w:hint="eastAsia" w:ascii="宋体" w:hAnsi="Times New Roman" w:eastAsia="宋体"/>
          <w:color w:val="000000"/>
          <w:sz w:val="32"/>
          <w:szCs w:val="24"/>
          <w:lang w:val="zh-CN"/>
        </w:rPr>
        <w:t>公务接待费支出预算为4万元，支出决算为3.76万元,完成预算的94%,决算数小于预算数的主要原因是认真贯彻落实中央八项规定精神和厉行节约要求，从严控制三公经费开支，全年实际支出比预算有所节约。</w:t>
      </w:r>
      <w:r>
        <w:rPr>
          <w:rFonts w:hint="eastAsia" w:ascii="宋体" w:hAnsi="Times New Roman" w:eastAsia="宋体"/>
          <w:sz w:val="32"/>
          <w:szCs w:val="24"/>
          <w:highlight w:val="white"/>
          <w:lang w:val="zh-CN"/>
        </w:rPr>
        <w:t>本单位2021年部门决算为新报单位，新报因素是我单位从市委办在21年单列独立核算，没有与上年对比情况。</w:t>
      </w:r>
    </w:p>
    <w:p>
      <w:pPr>
        <w:pStyle w:val="2"/>
        <w:rPr>
          <w:rFonts w:hint="eastAsia"/>
          <w:lang w:val="zh-CN"/>
        </w:rPr>
      </w:pPr>
    </w:p>
    <w:p>
      <w:pPr>
        <w:keepNext/>
        <w:keepLines/>
        <w:autoSpaceDE w:val="0"/>
        <w:autoSpaceDN w:val="0"/>
        <w:adjustRightInd w:val="0"/>
        <w:spacing w:beforeLines="0" w:afterLines="0" w:line="560" w:lineRule="exact"/>
        <w:ind w:firstLine="640"/>
        <w:rPr>
          <w:rFonts w:hint="default" w:ascii="Times New Roman" w:hAnsi="Times New Roman" w:eastAsia="宋体"/>
          <w:sz w:val="21"/>
          <w:szCs w:val="24"/>
        </w:rPr>
      </w:pPr>
      <w:r>
        <w:rPr>
          <w:rFonts w:hint="eastAsia" w:ascii="宋体" w:hAnsi="Times New Roman" w:eastAsia="宋体"/>
          <w:color w:val="000000"/>
          <w:sz w:val="32"/>
          <w:szCs w:val="24"/>
          <w:highlight w:val="white"/>
        </w:rPr>
        <w:t>公务用车购置费支出预算为0万元，支出决算为0万元，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Calibri" w:eastAsia="宋体"/>
          <w:sz w:val="32"/>
          <w:szCs w:val="24"/>
          <w:lang w:val="en-US" w:eastAsia="zh-CN"/>
        </w:rPr>
        <w:t>，</w:t>
      </w:r>
      <w:r>
        <w:rPr>
          <w:rFonts w:hint="eastAsia" w:ascii="宋体" w:hAnsi="Times New Roman" w:eastAsia="宋体"/>
          <w:color w:val="000000"/>
          <w:sz w:val="32"/>
          <w:szCs w:val="24"/>
          <w:highlight w:val="white"/>
        </w:rPr>
        <w:t>决算数与预算数一致，主要原因是</w:t>
      </w:r>
      <w:r>
        <w:rPr>
          <w:rFonts w:hint="eastAsia" w:ascii="宋体" w:hAnsi="Times New Roman" w:eastAsia="宋体"/>
          <w:color w:val="000000"/>
          <w:sz w:val="32"/>
          <w:szCs w:val="24"/>
          <w:highlight w:val="white"/>
          <w:lang w:val="zh-CN"/>
        </w:rPr>
        <w:t>认真贯彻落实中央</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八项规定</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精神和厉行节约要求，从严控制</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三公</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经费开支，未作公务用车购置安排。</w:t>
      </w:r>
      <w:r>
        <w:rPr>
          <w:rFonts w:hint="eastAsia" w:ascii="宋体" w:hAnsi="Times New Roman" w:eastAsia="宋体"/>
          <w:sz w:val="32"/>
          <w:szCs w:val="24"/>
          <w:highlight w:val="white"/>
        </w:rPr>
        <w:t>与上年相比无增减变化，主要原因是持续</w:t>
      </w:r>
      <w:r>
        <w:rPr>
          <w:rFonts w:hint="eastAsia" w:ascii="宋体" w:hAnsi="Times New Roman" w:eastAsia="宋体"/>
          <w:sz w:val="32"/>
          <w:szCs w:val="24"/>
          <w:highlight w:val="white"/>
          <w:lang w:val="zh-CN"/>
        </w:rPr>
        <w:t>认真贯彻落实中央“八项规定”精神和厉行节约要求，从严控制“三公”经费开支，</w:t>
      </w:r>
      <w:r>
        <w:rPr>
          <w:rFonts w:hint="eastAsia" w:ascii="宋体" w:hAnsi="Times New Roman" w:eastAsia="宋体"/>
          <w:color w:val="000000"/>
          <w:sz w:val="32"/>
          <w:szCs w:val="24"/>
          <w:highlight w:val="white"/>
          <w:lang w:val="zh-CN"/>
        </w:rPr>
        <w:t>未作公务用车购置安排</w:t>
      </w:r>
      <w:r>
        <w:rPr>
          <w:rFonts w:hint="eastAsia" w:ascii="宋体" w:hAnsi="Times New Roman" w:eastAsia="宋体"/>
          <w:sz w:val="32"/>
          <w:szCs w:val="24"/>
          <w:highlight w:val="white"/>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宋体"/>
          <w:color w:val="FF0000"/>
          <w:sz w:val="32"/>
          <w:szCs w:val="24"/>
        </w:rPr>
      </w:pPr>
      <w:r>
        <w:rPr>
          <w:rFonts w:hint="eastAsia" w:ascii="宋体" w:hAnsi="Times New Roman" w:eastAsia="宋体"/>
          <w:color w:val="000000"/>
          <w:sz w:val="32"/>
          <w:szCs w:val="24"/>
        </w:rPr>
        <w:t>公务用车运行维护费支出预算为12万元，支出决算为11.52万元,</w:t>
      </w:r>
      <w:r>
        <w:rPr>
          <w:rFonts w:hint="eastAsia" w:ascii="宋体" w:hAnsi="Times New Roman" w:eastAsia="宋体"/>
          <w:color w:val="000000"/>
          <w:sz w:val="32"/>
          <w:szCs w:val="24"/>
          <w:lang w:val="zh-CN"/>
        </w:rPr>
        <w:t>完成预算的96%,决算数小于预算数的主要原因是认真贯彻落实中央八项规定精神和厉行节约要求，从严控制三公经费开支，全年实际支出比预算有所节约。</w:t>
      </w:r>
      <w:r>
        <w:rPr>
          <w:rFonts w:hint="eastAsia" w:ascii="宋体" w:hAnsi="Times New Roman" w:eastAsia="宋体"/>
          <w:sz w:val="32"/>
          <w:szCs w:val="24"/>
          <w:highlight w:val="white"/>
          <w:lang w:val="zh-CN"/>
        </w:rPr>
        <w:t>本单位2021年部门决算为新报单位，新报因素是我单位从市委办在21年单列独立核算，没有与上年对比情况。</w:t>
      </w:r>
    </w:p>
    <w:p>
      <w:pPr>
        <w:autoSpaceDE w:val="0"/>
        <w:autoSpaceDN w:val="0"/>
        <w:adjustRightInd w:val="0"/>
        <w:ind w:firstLine="643" w:firstLineChars="200"/>
        <w:rPr>
          <w:rFonts w:hint="eastAsia" w:ascii="宋体" w:hAnsi="Times New Roman" w:eastAsia="宋体"/>
          <w:b/>
          <w:sz w:val="32"/>
          <w:szCs w:val="24"/>
          <w:lang w:val="zh-CN"/>
        </w:rPr>
      </w:pPr>
      <w:r>
        <w:rPr>
          <w:rFonts w:hint="eastAsia" w:ascii="宋体" w:hAnsi="Times New Roman" w:eastAsia="宋体"/>
          <w:b/>
          <w:sz w:val="32"/>
          <w:szCs w:val="24"/>
          <w:lang w:val="zh-CN"/>
        </w:rPr>
        <w:t>（二）三公经费财政拨款支出决算具体情况说明。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kern w:val="0"/>
          <w:sz w:val="32"/>
          <w:szCs w:val="24"/>
          <w:lang w:val="zh-CN"/>
        </w:rPr>
      </w:pPr>
      <w:r>
        <w:rPr>
          <w:rFonts w:hint="eastAsia" w:ascii="宋体" w:hAnsi="Times New Roman" w:eastAsia="宋体"/>
          <w:kern w:val="0"/>
          <w:sz w:val="32"/>
          <w:szCs w:val="24"/>
          <w:lang w:val="zh-CN"/>
        </w:rPr>
        <w:t>2021年度三公经费财政拨款支出决算中，</w:t>
      </w:r>
      <w:r>
        <w:rPr>
          <w:rFonts w:hint="eastAsia" w:ascii="宋体" w:hAnsi="Times New Roman" w:eastAsia="宋体"/>
          <w:kern w:val="0"/>
          <w:sz w:val="32"/>
          <w:szCs w:val="24"/>
          <w:lang w:val="zh-CN"/>
        </w:rPr>
        <w:t>公务接待费支出决算3.76万元，占24.61%；</w:t>
      </w:r>
      <w:r>
        <w:rPr>
          <w:rFonts w:hint="eastAsia" w:ascii="宋体" w:hAnsi="Times New Roman" w:eastAsia="宋体"/>
          <w:kern w:val="0"/>
          <w:sz w:val="32"/>
          <w:szCs w:val="24"/>
          <w:lang w:val="zh-CN"/>
        </w:rPr>
        <w:t>因公出国（境）费支出决算0万元，占0%；公务用车购置费及运行维护费支出决算11.52万元，占75.39%。其中：</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kern w:val="0"/>
          <w:sz w:val="32"/>
          <w:szCs w:val="24"/>
          <w:lang w:val="zh-CN"/>
        </w:rPr>
      </w:pPr>
      <w:r>
        <w:rPr>
          <w:rFonts w:hint="eastAsia" w:ascii="宋体" w:hAnsi="Times New Roman" w:eastAsia="宋体"/>
          <w:kern w:val="0"/>
          <w:sz w:val="32"/>
          <w:szCs w:val="24"/>
          <w:lang w:val="en-US" w:eastAsia="zh-CN"/>
        </w:rPr>
        <w:t>1、</w:t>
      </w:r>
      <w:r>
        <w:rPr>
          <w:rFonts w:hint="eastAsia" w:ascii="宋体" w:hAnsi="Times New Roman" w:eastAsia="宋体"/>
          <w:kern w:val="0"/>
          <w:sz w:val="32"/>
          <w:szCs w:val="24"/>
          <w:lang w:val="zh-CN"/>
        </w:rPr>
        <w:t>因公出国（境）费支出决算0万元，全年安排因公出国（境）团组0个，累计0人次。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kern w:val="0"/>
          <w:sz w:val="32"/>
          <w:szCs w:val="24"/>
          <w:lang w:val="zh-CN"/>
        </w:rPr>
      </w:pPr>
      <w:r>
        <w:rPr>
          <w:rFonts w:hint="eastAsia" w:ascii="宋体" w:hAnsi="Times New Roman" w:eastAsia="宋体"/>
          <w:kern w:val="0"/>
          <w:sz w:val="32"/>
          <w:szCs w:val="24"/>
          <w:lang w:val="en-US" w:eastAsia="zh-CN"/>
        </w:rPr>
        <w:t>2、</w:t>
      </w:r>
      <w:r>
        <w:rPr>
          <w:rFonts w:hint="eastAsia" w:ascii="宋体" w:hAnsi="Times New Roman" w:eastAsia="宋体"/>
          <w:kern w:val="0"/>
          <w:sz w:val="32"/>
          <w:szCs w:val="24"/>
          <w:lang w:val="zh-CN"/>
        </w:rPr>
        <w:t>公务接待费支出决算为3.76万元，其中：其他国内公务接待支出3.76万元,</w:t>
      </w:r>
      <w:r>
        <w:rPr>
          <w:rFonts w:hint="eastAsia" w:ascii="宋体" w:hAnsi="Times New Roman" w:eastAsia="宋体"/>
          <w:kern w:val="0"/>
          <w:sz w:val="32"/>
          <w:szCs w:val="24"/>
          <w:lang w:val="en-US" w:eastAsia="zh-CN"/>
        </w:rPr>
        <w:t>全</w:t>
      </w:r>
      <w:r>
        <w:rPr>
          <w:rFonts w:hint="eastAsia" w:ascii="宋体" w:hAnsi="Times New Roman" w:eastAsia="宋体"/>
          <w:kern w:val="0"/>
          <w:sz w:val="32"/>
          <w:szCs w:val="24"/>
          <w:lang w:val="zh-CN"/>
        </w:rPr>
        <w:t>年共接待国内公务接待批次41个、接待人次397人次（不包括陪同人员），主要用于与有关单位交流工作情况及接受相关部门检查指导工作发生的接待支出。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kern w:val="0"/>
          <w:sz w:val="32"/>
          <w:szCs w:val="24"/>
          <w:lang w:val="zh-CN"/>
        </w:rPr>
      </w:pPr>
      <w:r>
        <w:rPr>
          <w:rFonts w:hint="eastAsia" w:ascii="宋体" w:hAnsi="Times New Roman" w:eastAsia="宋体"/>
          <w:kern w:val="0"/>
          <w:sz w:val="32"/>
          <w:szCs w:val="24"/>
          <w:lang w:val="en-US" w:eastAsia="zh-CN"/>
        </w:rPr>
        <w:t>3、</w:t>
      </w:r>
      <w:r>
        <w:rPr>
          <w:rFonts w:hint="eastAsia" w:ascii="宋体" w:hAnsi="Times New Roman" w:eastAsia="宋体"/>
          <w:kern w:val="0"/>
          <w:sz w:val="32"/>
          <w:szCs w:val="24"/>
          <w:lang w:val="zh-CN"/>
        </w:rPr>
        <w:t>公务用车购置及运行维护费支出决算为11.52万元，其中： 公务用车购置支出0万元，更新公务用车0辆。公务用车运行费支出11.52万元。主要是按规定保留的公务用车的燃料费、维修费、过桥过路费、保险费、安全奖励费用等支出。截至2021年12月31日，我单位开支财政拨款的公务用车保有量为</w:t>
      </w:r>
      <w:r>
        <w:rPr>
          <w:rFonts w:hint="eastAsia" w:ascii="宋体" w:hAnsi="Times New Roman" w:eastAsia="宋体"/>
          <w:kern w:val="0"/>
          <w:sz w:val="32"/>
          <w:szCs w:val="24"/>
        </w:rPr>
        <w:t>2</w:t>
      </w:r>
      <w:r>
        <w:rPr>
          <w:rFonts w:hint="eastAsia" w:ascii="宋体" w:hAnsi="Times New Roman" w:eastAsia="宋体"/>
          <w:kern w:val="0"/>
          <w:sz w:val="32"/>
          <w:szCs w:val="24"/>
          <w:lang w:val="zh-CN"/>
        </w:rPr>
        <w:t>辆。</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rPr>
          <w:rFonts w:hint="eastAsia" w:ascii="宋体" w:hAnsi="Times New Roman" w:eastAsia="宋体"/>
          <w:b/>
          <w:color w:val="FF0000"/>
          <w:sz w:val="32"/>
          <w:szCs w:val="24"/>
          <w:lang w:val="zh-CN"/>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Times New Roman" w:eastAsia="黑体"/>
          <w:sz w:val="32"/>
          <w:szCs w:val="24"/>
          <w:lang w:val="zh-CN"/>
        </w:rPr>
      </w:pPr>
      <w:r>
        <w:rPr>
          <w:rFonts w:hint="eastAsia" w:ascii="黑体" w:hAnsi="Times New Roman" w:eastAsia="黑体"/>
          <w:sz w:val="32"/>
          <w:szCs w:val="24"/>
          <w:lang w:val="zh-CN"/>
        </w:rPr>
        <w:t>八、政府性基金预算收入支出决算情况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宋体"/>
          <w:sz w:val="21"/>
          <w:szCs w:val="24"/>
        </w:rPr>
      </w:pPr>
      <w:r>
        <w:rPr>
          <w:rFonts w:hint="eastAsia" w:ascii="宋体" w:hAnsi="Times New Roman" w:eastAsia="宋体"/>
          <w:sz w:val="32"/>
          <w:szCs w:val="24"/>
          <w:lang w:val="zh-CN"/>
        </w:rPr>
        <w:t>2021年本单位没有使用政府性基金预算财政拨款安排的收支。</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Times New Roman" w:eastAsia="黑体"/>
          <w:kern w:val="0"/>
          <w:sz w:val="32"/>
          <w:szCs w:val="24"/>
        </w:rPr>
      </w:pPr>
      <w:r>
        <w:rPr>
          <w:rFonts w:hint="eastAsia" w:ascii="黑体" w:hAnsi="Times New Roman" w:eastAsia="黑体"/>
          <w:sz w:val="32"/>
          <w:szCs w:val="24"/>
          <w:lang w:val="zh-CN"/>
        </w:rPr>
        <w:t>九、国有资本经营预算财政拨款支出决算情况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lang w:val="zh-CN"/>
        </w:rPr>
      </w:pPr>
      <w:r>
        <w:rPr>
          <w:rFonts w:hint="eastAsia" w:ascii="宋体" w:hAnsi="Times New Roman" w:eastAsia="宋体"/>
          <w:sz w:val="32"/>
          <w:szCs w:val="24"/>
          <w:lang w:val="zh-CN"/>
        </w:rPr>
        <w:t>2021年本单位没有使用国有资本经营预算安排的支出。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黑体" w:hAnsi="Times New Roman" w:eastAsia="黑体"/>
          <w:kern w:val="0"/>
          <w:sz w:val="32"/>
          <w:szCs w:val="24"/>
        </w:rPr>
        <w:t>十、</w:t>
      </w:r>
      <w:r>
        <w:rPr>
          <w:rFonts w:hint="eastAsia" w:ascii="黑体" w:hAnsi="Times New Roman" w:eastAsia="黑体"/>
          <w:sz w:val="32"/>
          <w:szCs w:val="24"/>
        </w:rPr>
        <w:t>机关运行经费支出说明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宋体" w:hAnsi="Times New Roman" w:eastAsia="宋体"/>
          <w:sz w:val="32"/>
          <w:szCs w:val="24"/>
        </w:rPr>
        <w:t>2021年度机关运行经费支出475.34万元。比年初预算数增加99.76万元。增长26.56%，主要原因是：年中追加预算经费。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Times New Roman" w:eastAsia="黑体"/>
          <w:color w:val="000000"/>
          <w:kern w:val="0"/>
          <w:sz w:val="32"/>
          <w:szCs w:val="24"/>
        </w:rPr>
      </w:pPr>
      <w:r>
        <w:rPr>
          <w:rFonts w:hint="eastAsia" w:ascii="黑体" w:hAnsi="Times New Roman" w:eastAsia="黑体"/>
          <w:sz w:val="32"/>
          <w:szCs w:val="24"/>
        </w:rPr>
        <w:t>十一、</w:t>
      </w:r>
      <w:r>
        <w:rPr>
          <w:rFonts w:hint="eastAsia" w:ascii="黑体" w:hAnsi="Times New Roman" w:eastAsia="黑体"/>
          <w:color w:val="000000"/>
          <w:kern w:val="0"/>
          <w:sz w:val="32"/>
          <w:szCs w:val="24"/>
        </w:rPr>
        <w:t>一般性支出情况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2021年本部门开支会议费11.2万元，用于召开全市统战部长、民族宗教、民主监督、党外暑期谈心活动等会议，人数500人，内容为统一战线各领域；开支培训费1.5万元，用于开展党外代表人士、宗教代表人士等培训，人数150人，内容为统一战线各领域培训；未举办节庆、晚会、论坛、赛事活动，开支0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黑体" w:hAnsi="Times New Roman" w:eastAsia="黑体"/>
          <w:kern w:val="0"/>
          <w:sz w:val="32"/>
          <w:szCs w:val="24"/>
        </w:rPr>
        <w:t>十二、</w:t>
      </w:r>
      <w:r>
        <w:rPr>
          <w:rFonts w:hint="eastAsia" w:ascii="黑体" w:hAnsi="Times New Roman" w:eastAsia="黑体"/>
          <w:sz w:val="32"/>
          <w:szCs w:val="24"/>
        </w:rPr>
        <w:t>政府采购支出说明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宋体" w:hAnsi="Times New Roman" w:eastAsia="宋体"/>
          <w:sz w:val="32"/>
          <w:szCs w:val="24"/>
        </w:rPr>
        <w:t>2021年度政府采购支出总额0万元，其中：政府采购货物支出0万元；政府采购工程支出0万元；政府采购服务支出0万元。授予中小企业合同金额0万元，占政府采购支出总额的0%。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宋体" w:hAnsi="Times New Roman" w:eastAsia="宋体"/>
          <w:sz w:val="32"/>
          <w:szCs w:val="24"/>
        </w:rPr>
        <w:t>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Times New Roman" w:eastAsia="黑体"/>
          <w:color w:val="000000"/>
          <w:kern w:val="0"/>
          <w:sz w:val="32"/>
          <w:szCs w:val="24"/>
        </w:rPr>
      </w:pPr>
      <w:r>
        <w:rPr>
          <w:rFonts w:hint="eastAsia" w:ascii="黑体" w:hAnsi="Times New Roman" w:eastAsia="黑体"/>
          <w:sz w:val="32"/>
          <w:szCs w:val="24"/>
        </w:rPr>
        <w:t>十三、国有资产占有情况</w:t>
      </w:r>
      <w:r>
        <w:rPr>
          <w:rFonts w:hint="eastAsia" w:ascii="黑体" w:hAnsi="Times New Roman" w:eastAsia="黑体"/>
          <w:color w:val="000000"/>
          <w:kern w:val="0"/>
          <w:sz w:val="32"/>
          <w:szCs w:val="24"/>
        </w:rPr>
        <w:t>说明</w:t>
      </w:r>
    </w:p>
    <w:p>
      <w:pPr>
        <w:keepNext/>
        <w:keepLines/>
        <w:autoSpaceDE w:val="0"/>
        <w:autoSpaceDN w:val="0"/>
        <w:adjustRightInd w:val="0"/>
        <w:spacing w:beforeLines="0" w:afterLines="0" w:line="560" w:lineRule="exact"/>
        <w:ind w:firstLine="641"/>
        <w:rPr>
          <w:rFonts w:hint="default" w:ascii="Calibri" w:hAnsi="Calibri" w:eastAsia="宋体"/>
          <w:sz w:val="21"/>
          <w:szCs w:val="24"/>
          <w:lang w:val="zh-CN"/>
        </w:rPr>
      </w:pPr>
      <w:r>
        <w:rPr>
          <w:rFonts w:hint="eastAsia" w:ascii="宋体" w:hAnsi="Times New Roman" w:eastAsia="宋体"/>
          <w:sz w:val="32"/>
          <w:szCs w:val="24"/>
        </w:rPr>
        <w:t>截至2021年12月31日，中共岳阳市委统一战线工作部共有车辆1辆。其中：</w:t>
      </w:r>
      <w:r>
        <w:rPr>
          <w:rFonts w:hint="eastAsia" w:ascii="宋体" w:hAnsi="Times New Roman" w:eastAsia="宋体"/>
          <w:sz w:val="32"/>
          <w:szCs w:val="24"/>
        </w:rPr>
        <w:t>主要领导干部用车0辆，机要通信用车0辆，应急保障用车</w:t>
      </w:r>
      <w:r>
        <w:rPr>
          <w:rFonts w:hint="eastAsia" w:ascii="宋体" w:hAnsi="Times New Roman" w:eastAsia="宋体"/>
          <w:sz w:val="32"/>
          <w:szCs w:val="24"/>
          <w:lang w:val="en-US" w:eastAsia="zh-CN"/>
        </w:rPr>
        <w:t>0</w:t>
      </w:r>
      <w:r>
        <w:rPr>
          <w:rFonts w:hint="eastAsia" w:ascii="宋体" w:hAnsi="Times New Roman" w:eastAsia="宋体"/>
          <w:sz w:val="32"/>
          <w:szCs w:val="24"/>
        </w:rPr>
        <w:t>辆、执法执勤用车</w:t>
      </w:r>
      <w:r>
        <w:rPr>
          <w:rFonts w:hint="eastAsia" w:ascii="宋体" w:hAnsi="Times New Roman" w:eastAsia="宋体"/>
          <w:sz w:val="32"/>
          <w:szCs w:val="24"/>
          <w:lang w:val="en-US" w:eastAsia="zh-CN"/>
        </w:rPr>
        <w:t>0</w:t>
      </w:r>
      <w:r>
        <w:rPr>
          <w:rFonts w:hint="eastAsia" w:ascii="宋体" w:hAnsi="Times New Roman" w:eastAsia="宋体"/>
          <w:sz w:val="32"/>
          <w:szCs w:val="24"/>
        </w:rPr>
        <w:t>辆、特种专业技术用车</w:t>
      </w:r>
      <w:r>
        <w:rPr>
          <w:rFonts w:hint="eastAsia" w:ascii="宋体" w:hAnsi="Times New Roman" w:eastAsia="宋体"/>
          <w:sz w:val="32"/>
          <w:szCs w:val="24"/>
          <w:lang w:val="en-US" w:eastAsia="zh-CN"/>
        </w:rPr>
        <w:t>0</w:t>
      </w:r>
      <w:r>
        <w:rPr>
          <w:rFonts w:hint="eastAsia" w:ascii="宋体" w:hAnsi="Times New Roman" w:eastAsia="宋体"/>
          <w:sz w:val="32"/>
          <w:szCs w:val="24"/>
        </w:rPr>
        <w:t>辆、其他用车</w:t>
      </w:r>
      <w:r>
        <w:rPr>
          <w:rFonts w:hint="eastAsia" w:ascii="宋体" w:hAnsi="Times New Roman" w:eastAsia="宋体"/>
          <w:color w:val="auto"/>
          <w:sz w:val="32"/>
          <w:szCs w:val="24"/>
          <w:lang w:val="en-US" w:eastAsia="zh-CN"/>
        </w:rPr>
        <w:t>1</w:t>
      </w:r>
      <w:r>
        <w:rPr>
          <w:rFonts w:hint="eastAsia" w:ascii="宋体" w:hAnsi="Times New Roman" w:eastAsia="宋体"/>
          <w:sz w:val="32"/>
          <w:szCs w:val="24"/>
        </w:rPr>
        <w:t>辆，其他用车主要是用于机要通信和应急保障之外公务用途的车辆；单位价值50万元(含)以上通用设备0台（套），单位价值100万元(含)以上专用设备1</w:t>
      </w:r>
      <w:bookmarkStart w:id="0" w:name="_GoBack"/>
      <w:bookmarkEnd w:id="0"/>
      <w:r>
        <w:rPr>
          <w:rFonts w:hint="eastAsia" w:ascii="宋体" w:hAnsi="Times New Roman" w:eastAsia="宋体"/>
          <w:sz w:val="32"/>
          <w:szCs w:val="24"/>
        </w:rPr>
        <w:t>台（套）。</w:t>
      </w:r>
    </w:p>
    <w:p>
      <w:pPr>
        <w:keepNext w:val="0"/>
        <w:keepLines w:val="0"/>
        <w:pageBreakBefore w:val="0"/>
        <w:kinsoku/>
        <w:wordWrap/>
        <w:overflowPunct/>
        <w:topLinePunct w:val="0"/>
        <w:autoSpaceDE w:val="0"/>
        <w:autoSpaceDN w:val="0"/>
        <w:bidi w:val="0"/>
        <w:adjustRightInd w:val="0"/>
        <w:snapToGrid/>
        <w:spacing w:line="560" w:lineRule="exact"/>
        <w:ind w:firstLine="420" w:firstLineChars="200"/>
        <w:textAlignment w:val="auto"/>
        <w:rPr>
          <w:rFonts w:hint="default" w:ascii="Calibri" w:hAnsi="Calibri" w:eastAsia="宋体"/>
          <w:sz w:val="21"/>
          <w:szCs w:val="24"/>
          <w:lang w:val="zh-CN"/>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Calibri" w:eastAsia="黑体"/>
          <w:sz w:val="32"/>
          <w:szCs w:val="24"/>
        </w:rPr>
      </w:pPr>
      <w:r>
        <w:rPr>
          <w:rFonts w:hint="eastAsia" w:ascii="黑体" w:hAnsi="Calibri" w:eastAsia="黑体"/>
          <w:sz w:val="32"/>
          <w:szCs w:val="24"/>
        </w:rPr>
        <w:t>十</w:t>
      </w:r>
      <w:r>
        <w:rPr>
          <w:rFonts w:hint="eastAsia" w:ascii="黑体" w:hAnsi="Calibri" w:eastAsia="黑体"/>
          <w:color w:val="000000"/>
          <w:kern w:val="0"/>
          <w:sz w:val="32"/>
          <w:szCs w:val="24"/>
        </w:rPr>
        <w:t>四、2021年度预算绩效情况的说明</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宋体" w:hAnsi="Calibri" w:eastAsia="宋体"/>
          <w:b/>
          <w:color w:val="FF0000"/>
          <w:kern w:val="0"/>
          <w:sz w:val="32"/>
          <w:szCs w:val="24"/>
        </w:rPr>
      </w:pPr>
      <w:r>
        <w:rPr>
          <w:rFonts w:hint="eastAsia" w:ascii="宋体" w:hAnsi="Times New Roman" w:eastAsia="宋体"/>
          <w:sz w:val="32"/>
          <w:szCs w:val="24"/>
        </w:rPr>
        <w:t>根据预算绩效管理要求，我部门组织对2021年度整体支出全面开展绩效自评，整体评价为优，共涉及资金1111.71万元。</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宋体" w:hAnsi="Calibri" w:eastAsia="宋体"/>
          <w:b/>
          <w:kern w:val="0"/>
          <w:sz w:val="32"/>
          <w:szCs w:val="24"/>
        </w:rPr>
      </w:pPr>
      <w:r>
        <w:rPr>
          <w:rFonts w:hint="eastAsia" w:ascii="宋体" w:hAnsi="Calibri" w:eastAsia="宋体"/>
          <w:b/>
          <w:kern w:val="0"/>
          <w:sz w:val="32"/>
          <w:szCs w:val="24"/>
        </w:rPr>
        <w:t>（二）部门决算中项目绩效自评结果。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宋体" w:hAnsi="Times New Roman" w:eastAsia="宋体"/>
          <w:sz w:val="32"/>
          <w:szCs w:val="24"/>
        </w:rPr>
      </w:pPr>
      <w:r>
        <w:rPr>
          <w:rFonts w:hint="eastAsia" w:ascii="宋体" w:hAnsi="Times New Roman" w:eastAsia="宋体"/>
          <w:sz w:val="32"/>
          <w:szCs w:val="24"/>
        </w:rPr>
        <w:t>注明：本单位无项目支出，故未展项目自评，无自评结果。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宋体" w:hAnsi="Calibri" w:eastAsia="宋体"/>
          <w:b/>
          <w:kern w:val="0"/>
          <w:sz w:val="32"/>
          <w:szCs w:val="24"/>
        </w:rPr>
      </w:pPr>
      <w:r>
        <w:rPr>
          <w:rFonts w:hint="eastAsia" w:ascii="宋体" w:hAnsi="Calibri" w:eastAsia="宋体"/>
          <w:b/>
          <w:kern w:val="0"/>
          <w:sz w:val="32"/>
          <w:szCs w:val="24"/>
        </w:rPr>
        <w:t>（三）部门评价项目绩效评价结果。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sz w:val="32"/>
          <w:szCs w:val="24"/>
        </w:rPr>
      </w:pPr>
      <w:r>
        <w:rPr>
          <w:rFonts w:hint="eastAsia" w:ascii="宋体" w:hAnsi="Times New Roman" w:eastAsia="宋体"/>
          <w:sz w:val="32"/>
          <w:szCs w:val="24"/>
        </w:rPr>
        <w:t>注明：本单位无项目支出，故未展项目自评，无自评结果。（详细绩效评价报告见附件）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sz w:val="32"/>
          <w:szCs w:val="24"/>
        </w:rPr>
      </w:pPr>
      <w:r>
        <w:rPr>
          <w:rFonts w:hint="eastAsia" w:ascii="黑体" w:hAnsi="Calibri" w:eastAsia="黑体"/>
          <w:sz w:val="32"/>
          <w:szCs w:val="24"/>
        </w:rPr>
        <w:t>第四部分 名词解释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财政拨款收入：指本级财政当年拨付的资金。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其他收入：指除上述财政拨款收入、上级补助收入、事业收入、经营收入、附属单位上缴收入等以外的收入。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上年结转和结余：指以前年度尚未完成、结转到本年按有关规定继续使用的资金。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年末结转和结余资金：指本年度或以前年度预算安排、因客观条件发生变化无法按原计划实施，需要延迟到以后年度按有关规定继续使用的资金。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卫生健康支出（类）：是指用于医疗卫生与计划生育方面的支出，包括保障机构正常运转、完成日常和特定的工作任务或事业发展目标的支出。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粮油物资储备支出（类）：是指用于粮油物资储备方面的支出，包括保障机构正常运转、完成日常和特定的工作任务或事业发展目标的支出。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其他支出（类）：是指用于反映除上述项目以外其他不能划分到具体功能科目中的支出项目，包括保障机构正常运转、完成日常和特定的工作任务或事业发展目标的支出。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基本支出：指保障机构正常运转、完成支日常工作任务而发生的人员支出和公用支出。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奖金：反映机关工作人员年终一次性奖金。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伙食补助费：反映单位发给职工的伙食补助费，如误餐补助等。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绩效工资：反映事业单位工作人员的绩效工资。</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机关事业单位基本养老保险缴费：反映机关事业单位缴纳的基本养老保险费。由单位代扣的工作人员基本养老保险缴费，不在此科目反映。</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职业年金缴费：反映机关事业单位实际缴纳的职业年金支出。由单位代扣的工作人员职业年金缴费，不在此科目反映。</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职工基本医疗保险缴费：反映单位为职工缴纳的基本医疗保险费。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其他社会保障缴费：反映单位为职工缴纳的基本医疗、失业、工伤、生育等社会保险费，残疾人就业保障金，军队（含武警）为军人缴纳的伤亡、退役医疗等社会保险费。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住房公积金：反映行政事业单位按人力资源和社会保障部、财政部规定的基本工资和津贴补贴以及规定比例为职工缴纳的住房公积金。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医疗费：反映未参加医疗保险单位的医疗经费和单位按规定为职工支出的其他医疗费用。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商品和服务支出：反映单位购买商品和服务的支出（不包括用于购置固定资产的支出、战略性和应急储备支出）。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办公费：反映单位购买按财务会计制度规定不符合固定资产确认标准的日常办公用品、书报杂志等支出。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印刷费：反映单位的印刷费支出。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咨询费：反映单位咨询方面的支出。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水费：反映单位支付的水费、污水处理费等支出。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电费：反映单位的电费支出。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邮电费：反映单位开支的信函、包裹、货物等物品的邮寄费及电话费、电报费、传真费、网络通讯费等。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取暖费：反映单位取暖用燃料费、热力费、炉具购置费、锅炉临时工的工资、节煤奖以及由单位支付的未实行职工住房采暖补贴改革的在职职工和离退休人员宿舍取暖费。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物业管理费：反映单位开支的办公用房以及未实行职工住宅物业服务改革的在职职工和离退休人员宿舍等的物业管理费，包括综合治理、绿化、卫生等方面的支出。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差旅费：反映单位工作人员出差发生的城市间交通费、住宿费、伙食补贴费和市内交通费。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维修(护)费：反映单位日常开支的固定资产（不包括车船等交通工具）修理和维护费用，网络信息系统运行与维护费用，以及按规定提取的修购基金。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租赁费：反映租赁办公用房、宿舍、专用通讯网以及其他设备等方面的费用。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会议费：反映会议中按规定开支的住宿费、伙食费、会议室租金、交通费、文件印刷费、医药费等。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培训费：反映除因公出国（境）培训费以外的各类培训支出。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公务接待费：反映单位按规定开支的各类公务接待（含外宾接待）费用。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劳务费：反映支付给单位和个人的劳务费用，如临时聘用人员、钟点工工资，稿费、翻译费，评审费等。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委托业务费：反映因委托外单位办理业务而支付的委托业务费。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工会经费：反映单位按规定提取的工会经费。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公务用车运行维护费：反映单位按规定保留的公务用车燃料费、维修费、过桥过路费、保险费、安全奖励费用等支出。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其他交通费用：反映单位除公务用车运行维护费以外的其他交通费用。如公务交通补贴，租车费用、出租车费用，飞机、船舶等的燃料费、维修费、保险费等。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对个人和家庭的补助：反映政府用于对个人和家庭的补助支出。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退休费：反映行政事业单位和军队移交政府安置的退休人员的退休费和其他补贴。</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办公设备购置：反映用于购置并按财务会计制度规定纳入固定资产核算范围的办公家具和办公设备的支出，以及按规定提取的修购基金。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Times New Roman" w:eastAsia="宋体"/>
          <w:color w:val="000000"/>
          <w:kern w:val="0"/>
          <w:sz w:val="32"/>
          <w:szCs w:val="24"/>
        </w:rPr>
      </w:pPr>
      <w:r>
        <w:rPr>
          <w:rFonts w:hint="eastAsia" w:ascii="宋体" w:hAnsi="Times New Roman" w:eastAsia="宋体"/>
          <w:color w:val="000000"/>
          <w:kern w:val="0"/>
          <w:sz w:val="32"/>
          <w:szCs w:val="24"/>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sz w:val="32"/>
          <w:szCs w:val="24"/>
        </w:rPr>
      </w:pPr>
      <w:r>
        <w:rPr>
          <w:rFonts w:hint="eastAsia" w:ascii="黑体" w:hAnsi="Times New Roman" w:eastAsia="黑体"/>
          <w:sz w:val="32"/>
          <w:szCs w:val="24"/>
        </w:rPr>
        <w:t>第五部分 附件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宋体"/>
          <w:b/>
          <w:sz w:val="32"/>
          <w:szCs w:val="24"/>
          <w:lang w:val="zh-CN"/>
        </w:rPr>
      </w:pPr>
      <w:r>
        <w:rPr>
          <w:rFonts w:hint="eastAsia" w:ascii="宋体" w:hAnsi="Times New Roman" w:eastAsia="宋体"/>
          <w:sz w:val="32"/>
          <w:szCs w:val="24"/>
        </w:rPr>
        <w:t>2021年度中共岳阳市委统一战线工作部部门决算公开表格</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Times New Roman" w:eastAsia="宋体"/>
          <w:sz w:val="32"/>
          <w:szCs w:val="24"/>
        </w:rPr>
      </w:pPr>
      <w:r>
        <w:rPr>
          <w:rFonts w:hint="eastAsia" w:ascii="宋体" w:hAnsi="Times New Roman" w:eastAsia="宋体"/>
          <w:sz w:val="32"/>
          <w:szCs w:val="24"/>
        </w:rPr>
        <w:t>2021年度中共岳阳市委统一战线工作部绩效评价自评报告</w:t>
      </w:r>
    </w:p>
    <w:p>
      <w:pPr>
        <w:keepNext w:val="0"/>
        <w:keepLines w:val="0"/>
        <w:pageBreakBefore w:val="0"/>
        <w:kinsoku/>
        <w:wordWrap/>
        <w:overflowPunct/>
        <w:topLinePunct w:val="0"/>
        <w:autoSpaceDE w:val="0"/>
        <w:autoSpaceDN w:val="0"/>
        <w:bidi w:val="0"/>
        <w:adjustRightInd w:val="0"/>
        <w:snapToGrid/>
        <w:spacing w:line="560" w:lineRule="exact"/>
        <w:ind w:firstLine="360" w:firstLineChars="200"/>
        <w:jc w:val="left"/>
        <w:textAlignment w:val="auto"/>
        <w:rPr>
          <w:rFonts w:hint="eastAsia" w:ascii="宋体" w:hAnsi="Chiller" w:eastAsia="宋体"/>
          <w:kern w:val="0"/>
          <w:sz w:val="18"/>
          <w:szCs w:val="24"/>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hiller">
    <w:panose1 w:val="040204040310070206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0172A27"/>
    <w:rsid w:val="2BFA7026"/>
    <w:rsid w:val="443A47DE"/>
    <w:rsid w:val="59F052C5"/>
    <w:rsid w:val="5B757E56"/>
    <w:rsid w:val="63481715"/>
    <w:rsid w:val="EF6C6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等线" w:hAnsi="等线" w:eastAsia="等线" w:cs="Times New Roman"/>
      <w:kern w:val="2"/>
      <w:sz w:val="21"/>
      <w:szCs w:val="24"/>
      <w:lang w:val="en-US" w:eastAsia="zh-CN"/>
    </w:rPr>
  </w:style>
  <w:style w:type="character" w:default="1" w:styleId="6">
    <w:name w:val="Default Paragraph Font"/>
    <w:unhideWhenUsed/>
    <w:uiPriority w:val="1"/>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footer"/>
    <w:basedOn w:val="1"/>
    <w:link w:val="7"/>
    <w:unhideWhenUsed/>
    <w:qFormat/>
    <w:uiPriority w:val="99"/>
    <w:pPr>
      <w:tabs>
        <w:tab w:val="center" w:pos="4153"/>
        <w:tab w:val="right" w:pos="8306"/>
      </w:tabs>
      <w:snapToGrid w:val="0"/>
      <w:jc w:val="left"/>
    </w:pPr>
    <w:rPr>
      <w:rFonts w:hint="eastAsia"/>
      <w:sz w:val="18"/>
      <w:szCs w:val="24"/>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hint="eastAsia"/>
      <w:sz w:val="18"/>
      <w:szCs w:val="24"/>
    </w:rPr>
  </w:style>
  <w:style w:type="character" w:customStyle="1" w:styleId="7">
    <w:name w:val="页脚 字符"/>
    <w:basedOn w:val="6"/>
    <w:link w:val="3"/>
    <w:unhideWhenUsed/>
    <w:qFormat/>
    <w:locked/>
    <w:uiPriority w:val="99"/>
    <w:rPr>
      <w:rFonts w:hint="default" w:ascii="Times New Roman" w:hAnsi="Times New Roman" w:eastAsia="宋体"/>
      <w:sz w:val="18"/>
      <w:szCs w:val="24"/>
    </w:rPr>
  </w:style>
  <w:style w:type="character" w:customStyle="1" w:styleId="8">
    <w:name w:val="页眉 字符"/>
    <w:basedOn w:val="6"/>
    <w:link w:val="4"/>
    <w:unhideWhenUsed/>
    <w:qFormat/>
    <w:lock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2023-09-22T17:48:00Z</dcterms:created>
  <dc:creator>xjkp</dc:creator>
  <cp:lastModifiedBy>何蔚</cp:lastModifiedBy>
  <dcterms:modified xsi:type="dcterms:W3CDTF">2023-09-23T09:29:17Z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8410EFE83903424788BA9E006818B06B_12</vt:lpwstr>
  </property>
</Properties>
</file>