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中共岳阳市委老干部局2022年度部门预算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收入总表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支出总表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支出预算分类汇总表（按政府预算经济分类）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支出预算分类汇总表（按部门预算经济分类）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财政拨款收支总表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一般公共预算支出表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一般公共预算基本支出表-人员经费（工资福利支出）（按政府预算经济分类）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一般公共预算基本支出表-人员经费（工资福利支出）（按部门预算经济分类）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一般公共预算基本支出表-人员经费（对个人和家庭的补助）（按政府预算经济分类）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一般公共预算基本支出表-人员经费（对个人和家庭的补助）（按部门预算经济分类）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一般公共预算“三公”经费支出表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政府性基金预算支出表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政府性基金预算支出分类汇总表（按政府预算经济分类）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政府性基金预算支出分类汇总表（按部门预算经济分类）</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国有资本经营预算支出表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财政专户管理资金预算支出表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专项资金预算汇总表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项目支出绩效目标表</w:t>
            </w:r>
          </w:p>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整体支出绩效目标表</w:t>
            </w:r>
          </w:p>
          <w:p>
            <w:pPr>
              <w:widowControl/>
              <w:numPr>
                <w:ilvl w:val="0"/>
                <w:numId w:val="0"/>
              </w:numPr>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贯彻执行党和政府关于离退休工作的方针、政策和法规，做好离休干部和副市级以上退休干部的服务管理工作；开展调查研究，针对全市离退休干部工作中出现的新情况、新问题，及时提出建议性意见，为市委、市政府制订有关离退休干部工作政策规定提供情况和依据，当好参谋和助手。</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(2)负责对全市离退休干部工作的督查、指导和协调，会同有关部门完善离退休干部离休费、医药费保障机制和财政支持机制，对全市离退休干部的“政治待遇和生活待遇”落实情况进行宏观指导和检查督促。</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承担市委离退休干部工作委员会办公室的日常工作，加强和指导全市离退休干部党组织建设，组织和指导全市离退休干部开展活动、发挥作用，并适时总结交流经验；负责离退休干部和离退休干部工作的宣传，开展尊老、敬老、爱老活动，依法维护离退休干部的合法权益。</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(4)承担市老干部工作领导小组办公室和市关心下一代工作委员会办公室的日常工作。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 加强老干部的学习教育，办好老年（老干部）大学。</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(6)负责处理老干部的来信来访，做好外省市老干工作部门来岳参观、考察的接待服务工作。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(7)负责对所属事业单位的国有资产和财务进行管理和监督，改善办公和老干部活动条件，充分发挥各种场地和设施的作用，发展老干部事业。</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(8）承办市委、市政府和市组织部交办的其他事项。</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市委编办《关于重新明确市委老干部局机构编制事项的通知》（岳编办通〔2018〕51号）核定人员编制数为47人（其中老干局机关行政编16人，事业编13人，参公事业编17人，工勤编1人）我局内设机构6个：办公室、待遇保障科、政工科、市离退休干部工委办公室、机关党委（机关纪委）、市关工委办公室。直属事业单位（2个）：其中：独立预算单位1个：老干部活动服务中心（参公事业单位）。并入局机关核算的非独立预算单位1个：岳阳市老干部老年大学(副处级公益一类全额拨款)。</w:t>
            </w:r>
          </w:p>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二、部门预算单位构成</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本部门预算为汇总预算，纳入编制范围的预算单位包括：</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1、老干部局本级</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2、老干部活动服务中心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1102.21万元，其中，一般公共预算拨款1102.21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收入较去年增加519.21万元，主要是因为人员增加和二级机构预算公开合并。</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部门支出预算1102.21万元，其中，一般公共服务支出991.39万元，占比89.95%，社会保障和就业支出45.65万元，占比4.14%，卫生健康支出30.93万元，占比2.81%，住房保障支出34.24万元，占比3.11%。支出较去年增加519.21万元，其中基本支出增加205.47万元，项目支出增加313.64万元。其中基本支出较上年增加主要是因为人员增加和二级机构预算公开合并。项目支出增加主要是因为绩效纳入预算和二级机构预算公开合并（岳阳市老干部活动服务中心）。</w:t>
            </w:r>
          </w:p>
          <w:p>
            <w:pPr>
              <w:widowControl/>
              <w:ind w:firstLine="560"/>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说明：</w:t>
            </w:r>
            <w:r>
              <w:rPr>
                <w:rFonts w:hint="eastAsia" w:ascii="仿宋_GB2312" w:hAnsi="仿宋_GB2312" w:eastAsia="仿宋_GB2312" w:cs="仿宋_GB2312"/>
                <w:sz w:val="28"/>
                <w:szCs w:val="28"/>
              </w:rPr>
              <w:t>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1102.21万元，其中，一般公共服务支出991.39万元，占比89.95%，社会保障和就业支出45.65万元，占比4.14%，卫生健康支出30.93万元，占比2.81%，住房保障支出34.24万元，占比3.11%。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502.07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（二）项目支出：2022年项目支出年初预算数为600.14万元，是指单位为完成特定行政工作任务或事业发展目标而发生的支出，包括有关业务工作经费、运行维护经费等。其中：</w:t>
            </w:r>
            <w:r>
              <w:rPr>
                <w:rFonts w:hint="eastAsia" w:ascii="仿宋_GB2312" w:hAnsi="宋体" w:eastAsia="仿宋_GB2312" w:cs="宋体"/>
                <w:kern w:val="0"/>
                <w:sz w:val="28"/>
                <w:szCs w:val="28"/>
                <w:lang w:val="en-US" w:eastAsia="zh-CN"/>
              </w:rPr>
              <w:t>项目</w:t>
            </w:r>
            <w:r>
              <w:rPr>
                <w:rFonts w:hint="eastAsia" w:ascii="仿宋_GB2312" w:hAnsi="宋体" w:eastAsia="仿宋_GB2312" w:cs="宋体"/>
                <w:kern w:val="0"/>
                <w:sz w:val="28"/>
                <w:szCs w:val="28"/>
              </w:rPr>
              <w:t>运行维护经费</w:t>
            </w:r>
            <w:r>
              <w:rPr>
                <w:rFonts w:hint="eastAsia" w:ascii="仿宋_GB2312" w:hAnsi="宋体" w:eastAsia="仿宋_GB2312" w:cs="宋体"/>
                <w:kern w:val="0"/>
                <w:sz w:val="28"/>
                <w:szCs w:val="28"/>
                <w:lang w:val="en-US" w:eastAsia="zh-CN"/>
              </w:rPr>
              <w:t>支出257.04</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工会经费补助25.20万元，绩效奖168万元，伙食费补助33.60万元，物业补贴30.24万元），</w:t>
            </w:r>
            <w:r>
              <w:rPr>
                <w:rFonts w:hint="eastAsia" w:ascii="仿宋_GB2312" w:hAnsi="宋体" w:eastAsia="仿宋_GB2312" w:cs="宋体"/>
                <w:kern w:val="0"/>
                <w:sz w:val="28"/>
                <w:szCs w:val="28"/>
              </w:rPr>
              <w:t>主要用于发放在职离退休人员绩效、工会经费、伙食补助</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物业补贴</w:t>
            </w:r>
            <w:r>
              <w:rPr>
                <w:rFonts w:hint="eastAsia" w:ascii="仿宋_GB2312" w:hAnsi="宋体" w:eastAsia="仿宋_GB2312" w:cs="宋体"/>
                <w:kern w:val="0"/>
                <w:sz w:val="28"/>
                <w:szCs w:val="28"/>
              </w:rPr>
              <w:t>等方面。</w:t>
            </w:r>
            <w:r>
              <w:rPr>
                <w:rFonts w:hint="eastAsia" w:ascii="仿宋_GB2312" w:hAnsi="宋体" w:eastAsia="仿宋_GB2312" w:cs="宋体"/>
                <w:kern w:val="0"/>
                <w:sz w:val="28"/>
                <w:szCs w:val="28"/>
                <w:lang w:val="en-US" w:eastAsia="zh-CN"/>
              </w:rPr>
              <w:t>项目</w:t>
            </w:r>
            <w:r>
              <w:rPr>
                <w:rFonts w:hint="eastAsia" w:ascii="仿宋_GB2312" w:hAnsi="宋体" w:eastAsia="仿宋_GB2312" w:cs="宋体"/>
                <w:kern w:val="0"/>
                <w:sz w:val="28"/>
                <w:szCs w:val="28"/>
              </w:rPr>
              <w:t>业务工作经费支出</w:t>
            </w:r>
            <w:r>
              <w:rPr>
                <w:rFonts w:hint="eastAsia" w:ascii="仿宋_GB2312" w:hAnsi="宋体" w:eastAsia="仿宋_GB2312" w:cs="宋体"/>
                <w:kern w:val="0"/>
                <w:sz w:val="28"/>
                <w:szCs w:val="28"/>
                <w:lang w:val="en-US" w:eastAsia="zh-CN"/>
              </w:rPr>
              <w:t>343.10</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非税收入征收成本123.90万元、关工委工作经费50万元，老干专项经费72.11万元，老年教育工作经费31.09万元、离退休干部党建网宣工作经费14.40万元，老干部活动服务中心运行费51.60万元），</w:t>
            </w:r>
            <w:r>
              <w:rPr>
                <w:rFonts w:hint="eastAsia" w:ascii="仿宋_GB2312" w:hAnsi="宋体" w:eastAsia="仿宋_GB2312" w:cs="宋体"/>
                <w:kern w:val="0"/>
                <w:sz w:val="28"/>
                <w:szCs w:val="28"/>
              </w:rPr>
              <w:t>主要用于开展专项活动等方面</w:t>
            </w:r>
            <w:r>
              <w:rPr>
                <w:rFonts w:hint="eastAsia" w:ascii="仿宋_GB2312" w:hAnsi="宋体" w:eastAsia="仿宋_GB2312" w:cs="宋体"/>
                <w:kern w:val="0"/>
                <w:sz w:val="28"/>
                <w:szCs w:val="28"/>
                <w:lang w:eastAsia="zh-CN"/>
              </w:rPr>
              <w:t>。</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本单位2022年机关运行经费当年一般公共预算拨款98.85万元，比上一年增加50.18万元，增加50.76%。主要原因是因为人员增加和二级机构预算公开合并。</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本单位2022年“三公”经费预算数7.15万元，其中，公务接待费4.15万元，因公出国（境）费0万元，公务用车购置及运行费</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万元，其中公务用车购置费0万元，公务用车运行费3万元。比上一年减少11.85万元，降低165.73%，主要原因是落实中央八项规定履行节约各项经费。</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本单位2022年无预算会议费0万元，拟召开0次会议，人数0人，无内容；培训费预算1.5万元，拟开展4次培训，人数5人，内容为参加其他单位组织的培训费；2022年本单位没有计划举办节庆、晚会、论坛、赛事活动。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本单位2022年政府采购预算总额0万元，其中工程类0万元，货物类0万元，服务类0万元。2022年度本单位未安排政府采购预算。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截至上一年12月底，本单位共有车辆1辆，其中领导干部用车0辆，一般公务用车0辆，其他用车1辆。单位价值50万元以上通用设备0台，单位价值100万元以上专用设备0台。</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2022年拟报废处置公务用车0辆，拟新增配置车辆0辆，其中领导干部用车0辆，一般公务用车0辆，其他用车0辆。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2022年拟新增配备单位价值50万元以上通用设备0台，单位价值100万元以上专用设备0台。2022年度本单位未计划处置或新增车辆、设备等。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本部门所有支出实行绩效目标管理。纳入2022年部门整体支出绩效目标的金额为1102.21万元，其中，基本支出502.07万元，项目支出600.14万元，详见文尾附表中部门预算公开表格的表21-22。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ind w:firstLine="560" w:firstLineChars="200"/>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2、收入总表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3、支出总表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4、支出预算分类汇总表（按政府预算经济分类）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5、支出预算分类汇总表（按部门预算经济分类）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6、财政拨款收支总表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一般公共预算支出表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一般公共预算基本支出表-人员经费（工资福利支出）（按政府预算经济分类）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一般公共预算基本支出表-人员经费（工资福利支出）（按部门预算经济分类）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一般公共预算基本支出表-人员经费（对个人和家庭的补助）（按政府预算经济分类）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一般公共预算基本支出表-人员经费（对个人和家庭的补助）（按部门预算经济分类）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一般公共预算基本支出表-</w:t>
            </w:r>
            <w:r>
              <w:rPr>
                <w:rFonts w:hint="eastAsia" w:ascii="仿宋_GB2312" w:hAnsi="宋体" w:eastAsia="仿宋_GB2312" w:cs="宋体"/>
                <w:color w:val="000000"/>
                <w:kern w:val="0"/>
                <w:sz w:val="28"/>
                <w:szCs w:val="28"/>
                <w:lang w:val="en-US" w:eastAsia="zh-CN"/>
              </w:rPr>
              <w:t>公用</w:t>
            </w:r>
            <w:bookmarkStart w:id="0" w:name="_GoBack"/>
            <w:bookmarkEnd w:id="0"/>
            <w:r>
              <w:rPr>
                <w:rFonts w:hint="eastAsia" w:ascii="仿宋_GB2312" w:hAnsi="宋体" w:eastAsia="仿宋_GB2312" w:cs="宋体"/>
                <w:color w:val="000000"/>
                <w:kern w:val="0"/>
                <w:sz w:val="28"/>
                <w:szCs w:val="28"/>
              </w:rPr>
              <w:t>经费（商品和服务支出）（按部门预算经济分类）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一般公共预算“三公”经费支出表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政府性基金预算支出表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政府性基金预算支出分类汇总表（按政府预算经济分类）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政府性基金预算支出分类汇总表（按部门预算经济分类）</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国有资本经营预算支出表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财政专户管理资金预算支出表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专项资金预算汇总表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项目支出绩效目标表</w:t>
            </w:r>
          </w:p>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整体支出绩效目标表</w:t>
            </w:r>
          </w:p>
          <w:p>
            <w:pPr>
              <w:widowControl/>
              <w:numPr>
                <w:ilvl w:val="0"/>
                <w:numId w:val="0"/>
              </w:numPr>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roman"/>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8E3F9"/>
    <w:multiLevelType w:val="singleLevel"/>
    <w:tmpl w:val="8BD8E3F9"/>
    <w:lvl w:ilvl="0" w:tentative="0">
      <w:start w:val="1"/>
      <w:numFmt w:val="decimal"/>
      <w:suff w:val="nothing"/>
      <w:lvlText w:val="%1、"/>
      <w:lvlJc w:val="left"/>
    </w:lvl>
  </w:abstractNum>
  <w:abstractNum w:abstractNumId="1">
    <w:nsid w:val="C3710C4C"/>
    <w:multiLevelType w:val="singleLevel"/>
    <w:tmpl w:val="C3710C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Tk2ODNkM2JjMjhmOGQ1OTBkMDcxNmY3M2Y0OWUifQ=="/>
  </w:docVars>
  <w:rsids>
    <w:rsidRoot w:val="00185E49"/>
    <w:rsid w:val="00185E49"/>
    <w:rsid w:val="007B69F5"/>
    <w:rsid w:val="03304250"/>
    <w:rsid w:val="0A094DE3"/>
    <w:rsid w:val="157B75AD"/>
    <w:rsid w:val="195E6FCA"/>
    <w:rsid w:val="1D813BCE"/>
    <w:rsid w:val="202D7653"/>
    <w:rsid w:val="20D52267"/>
    <w:rsid w:val="24455956"/>
    <w:rsid w:val="28AC66D1"/>
    <w:rsid w:val="2AF91248"/>
    <w:rsid w:val="2FFF10AF"/>
    <w:rsid w:val="30FF1ADA"/>
    <w:rsid w:val="332E3A59"/>
    <w:rsid w:val="37B94FB1"/>
    <w:rsid w:val="47BA660F"/>
    <w:rsid w:val="48671147"/>
    <w:rsid w:val="5A5E159B"/>
    <w:rsid w:val="5B5C2705"/>
    <w:rsid w:val="5C3E0E10"/>
    <w:rsid w:val="62A414BE"/>
    <w:rsid w:val="64103880"/>
    <w:rsid w:val="6AB81FA0"/>
    <w:rsid w:val="6FA24D1C"/>
    <w:rsid w:val="73495C92"/>
    <w:rsid w:val="77AB07A1"/>
    <w:rsid w:val="7EBC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3862</Words>
  <Characters>4190</Characters>
  <Lines>29</Lines>
  <Paragraphs>8</Paragraphs>
  <TotalTime>6</TotalTime>
  <ScaleCrop>false</ScaleCrop>
  <LinksUpToDate>false</LinksUpToDate>
  <CharactersWithSpaces>4234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2023-05-26T07:27:00Z</dcterms:created>
  <dc:creator>微软用户</dc:creator>
  <cp:lastModifiedBy>zyh</cp:lastModifiedBy>
  <dcterms:modified xsi:type="dcterms:W3CDTF">2023-09-24T09:30:53Z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E750C80E110C40E68A11059809A35B90_12</vt:lpwstr>
  </property>
</Properties>
</file>