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8522" w:type="dxa"/>
            <w:tcBorders>
              <w:top w:val="nil"/>
              <w:left w:val="nil"/>
              <w:bottom w:val="nil"/>
              <w:right w:val="nil"/>
            </w:tcBorders>
            <w:shd w:val="clear" w:color="auto" w:fill="auto"/>
            <w:vAlign w:val="center"/>
          </w:tcPr>
          <w:p>
            <w:pPr>
              <w:widowControl/>
              <w:jc w:val="both"/>
              <w:rPr>
                <w:rFonts w:hint="default" w:ascii="方正小标宋_GBK" w:hAnsi="宋体" w:eastAsia="方正小标宋_GBK" w:cs="宋体"/>
                <w:color w:val="000000"/>
                <w:kern w:val="0"/>
                <w:sz w:val="44"/>
                <w:szCs w:val="44"/>
                <w:lang w:val="en-US" w:eastAsia="zh-CN"/>
              </w:rPr>
            </w:pP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center"/>
              <w:rPr>
                <w:rFonts w:hint="default" w:ascii="黑体" w:hAnsi="黑体" w:eastAsia="黑体" w:cs="宋体"/>
                <w:kern w:val="0"/>
                <w:sz w:val="36"/>
                <w:szCs w:val="36"/>
                <w:lang w:val="en-US" w:eastAsia="zh-CN"/>
              </w:rPr>
            </w:pPr>
            <w:r>
              <w:rPr>
                <w:rFonts w:hint="eastAsia" w:ascii="黑体" w:hAnsi="黑体" w:eastAsia="黑体" w:cs="宋体"/>
                <w:kern w:val="0"/>
                <w:sz w:val="36"/>
                <w:szCs w:val="36"/>
                <w:lang w:val="en-US" w:eastAsia="zh-CN"/>
              </w:rPr>
              <w:t>中国人民政治协商会议岳阳市委员会2022预算公开</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2022年部门预算说明</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2022年部门预算公开表格</w:t>
            </w:r>
          </w:p>
        </w:tc>
      </w:tr>
      <w:tr>
        <w:tblPrEx>
          <w:tblCellMar>
            <w:top w:w="0" w:type="dxa"/>
            <w:left w:w="108" w:type="dxa"/>
            <w:bottom w:w="0" w:type="dxa"/>
            <w:right w:w="108" w:type="dxa"/>
          </w:tblCellMar>
        </w:tblPrEx>
        <w:trPr>
          <w:trHeight w:val="4519" w:hRule="atLeast"/>
        </w:trPr>
        <w:tc>
          <w:tcPr>
            <w:tcW w:w="8522" w:type="dxa"/>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微软雅黑" w:hAnsi="微软雅黑" w:eastAsia="微软雅黑" w:cs="微软雅黑"/>
                <w:i w:val="0"/>
                <w:iCs w:val="0"/>
                <w:caps w:val="0"/>
                <w:color w:val="333333"/>
                <w:spacing w:val="0"/>
                <w:sz w:val="28"/>
                <w:szCs w:val="28"/>
                <w:lang w:val="en-US" w:eastAsia="zh-CN"/>
              </w:rPr>
            </w:pPr>
            <w:r>
              <w:rPr>
                <w:rFonts w:hint="eastAsia" w:ascii="微软雅黑" w:hAnsi="微软雅黑" w:eastAsia="微软雅黑" w:cs="微软雅黑"/>
                <w:i w:val="0"/>
                <w:iCs w:val="0"/>
                <w:caps w:val="0"/>
                <w:color w:val="333333"/>
                <w:spacing w:val="0"/>
                <w:sz w:val="28"/>
                <w:szCs w:val="28"/>
                <w:lang w:val="en-US" w:eastAsia="zh-CN"/>
              </w:rPr>
              <w:t>23、一般公共预算基本支出表</w:t>
            </w:r>
          </w:p>
          <w:p>
            <w:pPr>
              <w:widowControl/>
              <w:numPr>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19" w:hRule="atLeast"/>
        </w:trPr>
        <w:tc>
          <w:tcPr>
            <w:tcW w:w="8522" w:type="dxa"/>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8522" w:type="dxa"/>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2022年部门预算说明</w:t>
            </w:r>
          </w:p>
        </w:tc>
      </w:tr>
      <w:tr>
        <w:tblPrEx>
          <w:tblCellMar>
            <w:top w:w="0" w:type="dxa"/>
            <w:left w:w="108" w:type="dxa"/>
            <w:bottom w:w="0" w:type="dxa"/>
            <w:right w:w="108" w:type="dxa"/>
          </w:tblCellMar>
        </w:tblPrEx>
        <w:trPr>
          <w:trHeight w:val="3375" w:hRule="atLeast"/>
        </w:trPr>
        <w:tc>
          <w:tcPr>
            <w:tcW w:w="8522"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1.负责组织实施政协章程规定的任务和全国政协、湖南省政协所作的决议，履行政治协商、民主监督和参政议政的职能。</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2.负责市政协全体委员会议、常务委员会议、主席会议、专题议政性常委会议的会务工作。组织实施市政协全体委员会议、常务委员会议、主席会议的决议、决定。</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3.负责会同市委办、市政府办制订年度调研协商监督计划。</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4.整理、报送政协组织和委员履行职能形成的调研报告、视察报告、大会发言、建议案；收集反映社情民意，处理政协委员和人民群众的来信来访。</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5.研究统一战线和人民政协的理论、政策，提出人民政协履行职能的工作建议，总结地方政协的工作经验；协调和组织市政协的对内对外宣传工作。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6.负责委员视察、调查、评议、参观、学习、座谈、研讨等活动的具体组织和服务工作。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7.密切与市委、市政府有关部门和县(市、区)政协的工作联系；负责联络各民主党派市委、市工商联、市知联会。</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8.负责市政协机关的机构编制、人事管理和机关事务管理工作。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9.承办市政协全体委员会议、常务委员会议、主席会议交办的其它事项。</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编委核定，我机关由办公室、提案委员会、经济科技和外事委员会、委员学习联络委员会、社会法制和民族宗教委员会、人口资源环境委员会、文化教育卫生体育和文史委员会、农业和农村委员会、研究室9个正处级单位以及市纪委派驻市政协纪检组组成。办公室内设6个职能科室，分别为办公室秘书科、财务科、政工科、法制信访科、课题预研科、宣传信息科。研究室内设综合科，其他7个专门工作委员会各分别内设综合科。机关党委、机关纪委、机关工会、离退休人员管理服务科按有关章程和规定设置。机关下设办公室网络信息中心、机关事务中心为全额拨款事业单位。</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rPr>
                <w:rFonts w:hint="eastAsia" w:ascii="仿宋_GB2312" w:hAnsi="宋体" w:eastAsia="仿宋_GB2312" w:cs="宋体"/>
                <w:color w:val="FF0000"/>
                <w:kern w:val="0"/>
                <w:sz w:val="28"/>
                <w:szCs w:val="28"/>
              </w:rPr>
            </w:pPr>
            <w:r>
              <w:rPr>
                <w:rFonts w:hint="eastAsia" w:ascii="仿宋_GB2312" w:hAnsi="宋体" w:eastAsia="仿宋_GB2312" w:cs="宋体"/>
                <w:color w:val="auto"/>
                <w:kern w:val="0"/>
                <w:sz w:val="28"/>
                <w:szCs w:val="28"/>
              </w:rPr>
              <w:t>二、部门预算单位构成</w:t>
            </w:r>
            <w:r>
              <w:rPr>
                <w:rFonts w:hint="eastAsia" w:ascii="仿宋_GB2312" w:hAnsi="宋体" w:eastAsia="仿宋_GB2312" w:cs="宋体"/>
                <w:color w:val="FF0000"/>
                <w:kern w:val="0"/>
                <w:sz w:val="28"/>
                <w:szCs w:val="28"/>
              </w:rPr>
              <w:br w:type="textWrapping"/>
            </w: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kern w:val="0"/>
                <w:sz w:val="28"/>
                <w:szCs w:val="28"/>
              </w:rPr>
              <w:t>我单位无二级预算单位，因此，纳入2022年部门预算编制范围的为中国人民政治协商会议岳阳市委员会本级。</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三、部门收支总体情况</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部门收入预算1956.76万元，其中，一般公共预算拨款1956.76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61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收入较去年增加425.81万元，主要是因为一是增加了运转类项目绩效平安奖及物业服务补贴，二是正常的人员调入调出净增拨款预算。</w:t>
            </w:r>
          </w:p>
        </w:tc>
      </w:tr>
      <w:tr>
        <w:tblPrEx>
          <w:tblCellMar>
            <w:top w:w="0" w:type="dxa"/>
            <w:left w:w="108" w:type="dxa"/>
            <w:bottom w:w="0" w:type="dxa"/>
            <w:right w:w="108" w:type="dxa"/>
          </w:tblCellMar>
        </w:tblPrEx>
        <w:trPr>
          <w:trHeight w:val="402"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320" w:hRule="atLeast"/>
        </w:trPr>
        <w:tc>
          <w:tcPr>
            <w:tcW w:w="8522"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 xml:space="preserve">    2022年本部门支出预算1956.76万元，其中，一般公共服务支出1734.07万元，占比88.62%，社会保障和就业支出91.32万元，占比4.67%，卫生健康支出62.88万元，占比3.21%，住房保障支出68.49万元，占比3.50%。支出较去年增加413.1万元，其中基本支出增加149.71万元，项目支出增加276.1万元。其中基本支出较上年增加主要是因为一是正常的人员调入调出净增拨款预算，二是公务交通补贴今年全额拨款，上年是拨款50%，项目支出增加主要是因为增加了运转类项目绩效平安奖及物业服务补贴。</w:t>
            </w:r>
            <w:r>
              <w:rPr>
                <w:rFonts w:hint="eastAsia" w:ascii="仿宋_GB2312" w:hAnsi="宋体" w:eastAsia="仿宋_GB2312" w:cs="宋体"/>
                <w:kern w:val="0"/>
                <w:sz w:val="28"/>
                <w:szCs w:val="28"/>
                <w:lang w:val="en-US" w:eastAsia="zh-CN"/>
              </w:rPr>
              <w:t xml:space="preserve"> 2022年预算公开文档第三大点（对应表3）、第四大点（对应表7）中的金额和百分比，由于预算编制时金额明细到了“分”，而公开表格显示和公开文档取数只到“百元”，可能导致0.01的尾数差异。</w:t>
            </w:r>
          </w:p>
          <w:p>
            <w:pPr>
              <w:widowControl/>
              <w:jc w:val="left"/>
              <w:rPr>
                <w:rFonts w:ascii="仿宋_GB2312" w:hAnsi="宋体" w:eastAsia="仿宋_GB2312" w:cs="宋体"/>
                <w:kern w:val="0"/>
                <w:sz w:val="28"/>
                <w:szCs w:val="28"/>
              </w:rPr>
            </w:pPr>
            <w:bookmarkStart w:id="0" w:name="_GoBack"/>
            <w:bookmarkEnd w:id="0"/>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12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部门一般公共预算拨款支出预算1956.76万元，其中，一般公共服务支出1734.07万元，占比88.62%，社会保障和就业支出91.32万元，占比4.67%，卫生健康支出62.88万元，占比3.21%，住房保障支出68.49万元，占比3.50%。具体安排情况如下：</w:t>
            </w:r>
          </w:p>
        </w:tc>
      </w:tr>
      <w:tr>
        <w:tblPrEx>
          <w:tblCellMar>
            <w:top w:w="0" w:type="dxa"/>
            <w:left w:w="108" w:type="dxa"/>
            <w:bottom w:w="0" w:type="dxa"/>
            <w:right w:w="108" w:type="dxa"/>
          </w:tblCellMar>
        </w:tblPrEx>
        <w:trPr>
          <w:trHeight w:val="112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1069.73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33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887.03万元，是指单位为完成特定行政工作任务或事业发展目标而发生的支出，包括有关业务工作经费、运行维护经费、其他事业类发展资金、其他项目支出。其中：政协专项业务经费87.52万元，主要用于开展重点调研、督办提案、课题研究等工作，切实履行政协政治协商、民主监督、参政议政的职能；办公楼运行后勤保障经费118.51万元，主要用于办公大楼水电、物业、维修等后勤保障工作，保障办公楼正常运转；委员工作经费143.8万元，主要用于委员活动、课题调研、提案工作、社情民意、远程协商等委员履职活动开展；政协会议经费119万元，主要用于全年一次的政协全体会议及、常务委员会议等方面；农业农村委4.5万元，主要用于农业农村委室工作经费；绩效平安奖270万元、伙食补助54万元、工会经费补助40.5万元、物业服务补贴48.6万元；非税收入成本0.6万元。</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2022年度本部门无政府性基金安排的支出，所以公开的附件15-17（政府性基金预算）为空。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本单位2022年机关运行经费当年一般公共预算拨款255.64万元，比上一年增加62.72万元，增加32.51%。主要原因一是2022年公务交通补贴是全额预算拨款，上年是拨款50%；二是正常的人员调入调出净增拨款预算。</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50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color w:val="auto"/>
                <w:kern w:val="0"/>
                <w:sz w:val="28"/>
                <w:szCs w:val="28"/>
              </w:rPr>
              <w:t>本单位2022年“三公”经费预算数118万元，其中，公务接待费20万元，因公出国（境）费10万元，公务用车购置及运行费</w:t>
            </w:r>
            <w:r>
              <w:rPr>
                <w:rFonts w:hint="eastAsia" w:ascii="仿宋_GB2312" w:hAnsi="宋体" w:eastAsia="仿宋_GB2312" w:cs="宋体"/>
                <w:color w:val="auto"/>
                <w:kern w:val="0"/>
                <w:sz w:val="28"/>
                <w:szCs w:val="28"/>
                <w:lang w:val="en-US" w:eastAsia="zh-CN"/>
              </w:rPr>
              <w:t>88</w:t>
            </w:r>
            <w:r>
              <w:rPr>
                <w:rFonts w:hint="eastAsia" w:ascii="仿宋_GB2312" w:hAnsi="宋体" w:eastAsia="仿宋_GB2312" w:cs="宋体"/>
                <w:color w:val="auto"/>
                <w:kern w:val="0"/>
                <w:sz w:val="28"/>
                <w:szCs w:val="28"/>
              </w:rPr>
              <w:t>万元，其中公务用车购置费18万元，公务用车运行费70万元。比上一年减少2万元，降低1.67%，主要原因是继续严格落实过“紧日子”思想，进一步严明公务接待纪律，规范公务用车管理。</w:t>
            </w:r>
          </w:p>
        </w:tc>
      </w:tr>
      <w:tr>
        <w:tblPrEx>
          <w:tblCellMar>
            <w:top w:w="0" w:type="dxa"/>
            <w:left w:w="108" w:type="dxa"/>
            <w:bottom w:w="0" w:type="dxa"/>
            <w:right w:w="108" w:type="dxa"/>
          </w:tblCellMar>
        </w:tblPrEx>
        <w:trPr>
          <w:trHeight w:val="3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w:t>
            </w:r>
            <w:r>
              <w:rPr>
                <w:rFonts w:hint="eastAsia" w:ascii="仿宋_GB2312" w:hAnsi="宋体" w:eastAsia="仿宋_GB2312" w:cs="宋体"/>
                <w:color w:val="000000"/>
                <w:kern w:val="0"/>
                <w:sz w:val="28"/>
                <w:szCs w:val="28"/>
              </w:rPr>
              <w:t>一般性支出</w:t>
            </w:r>
            <w:r>
              <w:rPr>
                <w:rFonts w:hint="eastAsia" w:ascii="仿宋_GB2312" w:hAnsi="宋体" w:eastAsia="仿宋_GB2312" w:cs="宋体"/>
                <w:kern w:val="0"/>
                <w:sz w:val="28"/>
                <w:szCs w:val="28"/>
              </w:rPr>
              <w:t>会议费预算</w:t>
            </w:r>
            <w:r>
              <w:rPr>
                <w:rFonts w:hint="eastAsia" w:ascii="仿宋_GB2312" w:hAnsi="宋体" w:eastAsia="仿宋_GB2312" w:cs="宋体"/>
                <w:kern w:val="0"/>
                <w:sz w:val="28"/>
                <w:szCs w:val="28"/>
                <w:lang w:val="en-US" w:eastAsia="zh-CN"/>
              </w:rPr>
              <w:t>0</w:t>
            </w:r>
            <w:r>
              <w:rPr>
                <w:rFonts w:hint="eastAsia" w:ascii="仿宋_GB2312" w:hAnsi="宋体" w:eastAsia="仿宋_GB2312" w:cs="宋体"/>
                <w:kern w:val="0"/>
                <w:sz w:val="28"/>
                <w:szCs w:val="28"/>
              </w:rPr>
              <w:t>万元，</w:t>
            </w:r>
            <w:r>
              <w:rPr>
                <w:rFonts w:hint="eastAsia" w:ascii="仿宋_GB2312" w:hAnsi="宋体" w:eastAsia="仿宋_GB2312" w:cs="宋体"/>
                <w:kern w:val="0"/>
                <w:sz w:val="28"/>
                <w:szCs w:val="28"/>
                <w:lang w:eastAsia="zh-CN"/>
              </w:rPr>
              <w:t>会议费列支主要来源于项目支出中政协会议经费，</w:t>
            </w:r>
            <w:r>
              <w:rPr>
                <w:rFonts w:hint="eastAsia" w:ascii="仿宋_GB2312" w:hAnsi="宋体" w:eastAsia="仿宋_GB2312" w:cs="宋体"/>
                <w:kern w:val="0"/>
                <w:sz w:val="28"/>
                <w:szCs w:val="28"/>
              </w:rPr>
              <w:t>拟召开1次政协全体会议、政协常务委员会议、界别协商会、政协工作会议，人数3000余人；培训费预算</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万元，拟开展15次培训，人数900人，内容为政协委员、政协干部履职及业务知识培训；2022年度本单位未计划举办节庆、晚会、论坛、赛事活动。</w:t>
            </w:r>
          </w:p>
        </w:tc>
      </w:tr>
      <w:tr>
        <w:tblPrEx>
          <w:tblCellMar>
            <w:top w:w="0" w:type="dxa"/>
            <w:left w:w="108" w:type="dxa"/>
            <w:bottom w:w="0" w:type="dxa"/>
            <w:right w:w="108" w:type="dxa"/>
          </w:tblCellMar>
        </w:tblPrEx>
        <w:trPr>
          <w:trHeight w:val="61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本单位2022年政府采购预算总额340万元，其中物业管理等服务预算340万元。</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259" w:hRule="atLeast"/>
        </w:trPr>
        <w:tc>
          <w:tcPr>
            <w:tcW w:w="8522"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上一年12月底，本部门共有车辆10辆。其中，实物保障用车1辆、机要通信用车1辆、应急保障用车8辆、执法执勤用车0辆、特种专业技术用车0辆；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2022年拟报废处置公务用车1辆，拟新增配置车辆1辆，主要用于应急保障，资金来源为财政追加。拟新增配备单位价值50万元以上通用设备0台，单位价值100万元以上专用设备0台。</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本部门所有支出实行绩效目标管理。纳入2022年部门整体支出绩效目标的金额为1956.76万元，其中，基本支出1069.73万元，项目支出887.03万元，详见文尾附表中部门预算公开表格的表21-22。</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8522" w:type="dxa"/>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2022年部门预算公开表格</w:t>
            </w:r>
          </w:p>
        </w:tc>
      </w:tr>
      <w:tr>
        <w:tblPrEx>
          <w:tblCellMar>
            <w:top w:w="0" w:type="dxa"/>
            <w:left w:w="108" w:type="dxa"/>
            <w:bottom w:w="0" w:type="dxa"/>
            <w:right w:w="108" w:type="dxa"/>
          </w:tblCellMar>
        </w:tblPrEx>
        <w:trPr>
          <w:trHeight w:val="4500" w:hRule="atLeast"/>
        </w:trPr>
        <w:tc>
          <w:tcPr>
            <w:tcW w:w="8522" w:type="dxa"/>
            <w:vMerge w:val="restar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微软雅黑" w:hAnsi="微软雅黑" w:eastAsia="微软雅黑" w:cs="微软雅黑"/>
                <w:i w:val="0"/>
                <w:iCs w:val="0"/>
                <w:caps w:val="0"/>
                <w:color w:val="333333"/>
                <w:spacing w:val="0"/>
                <w:sz w:val="28"/>
                <w:szCs w:val="28"/>
                <w:lang w:val="en-US" w:eastAsia="zh-CN"/>
              </w:rPr>
            </w:pPr>
            <w:r>
              <w:rPr>
                <w:rFonts w:hint="eastAsia" w:ascii="微软雅黑" w:hAnsi="微软雅黑" w:eastAsia="微软雅黑" w:cs="微软雅黑"/>
                <w:i w:val="0"/>
                <w:iCs w:val="0"/>
                <w:caps w:val="0"/>
                <w:color w:val="333333"/>
                <w:spacing w:val="0"/>
                <w:sz w:val="28"/>
                <w:szCs w:val="28"/>
                <w:lang w:val="en-US" w:eastAsia="zh-CN"/>
              </w:rPr>
              <w:t>23、一般公共预算基本支出表</w:t>
            </w:r>
          </w:p>
          <w:p>
            <w:pPr>
              <w:widowControl/>
              <w:numPr>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00" w:hRule="atLeast"/>
        </w:trPr>
        <w:tc>
          <w:tcPr>
            <w:tcW w:w="8522" w:type="dxa"/>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A65F7-242D-4542-B151-989C8918E6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2C5218-82C0-4EB2-9614-634555816C01}"/>
  </w:font>
  <w:font w:name="方正小标宋_GBK">
    <w:panose1 w:val="03000509000000000000"/>
    <w:charset w:val="86"/>
    <w:family w:val="roman"/>
    <w:pitch w:val="default"/>
    <w:sig w:usb0="00000001" w:usb1="080E0000" w:usb2="00000000" w:usb3="00000000" w:csb0="00040000" w:csb1="00000000"/>
    <w:embedRegular r:id="rId3" w:fontKey="{909B59A9-8CC5-4CD9-A90E-40058B0DC182}"/>
  </w:font>
  <w:font w:name="仿宋_GB2312">
    <w:panose1 w:val="02010609030101010101"/>
    <w:charset w:val="86"/>
    <w:family w:val="auto"/>
    <w:pitch w:val="default"/>
    <w:sig w:usb0="00000001" w:usb1="080E0000" w:usb2="00000000" w:usb3="00000000" w:csb0="00040000" w:csb1="00000000"/>
    <w:embedRegular r:id="rId4" w:fontKey="{3425129A-1707-4D4C-ADBD-220C6C75A64A}"/>
  </w:font>
  <w:font w:name="微软雅黑">
    <w:panose1 w:val="020B0503020204020204"/>
    <w:charset w:val="86"/>
    <w:family w:val="auto"/>
    <w:pitch w:val="default"/>
    <w:sig w:usb0="80000287" w:usb1="2ACF3C50" w:usb2="00000016" w:usb3="00000000" w:csb0="0004001F" w:csb1="00000000"/>
    <w:embedRegular r:id="rId5" w:fontKey="{03215233-C62D-4B95-A570-3393E4209B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2E7C0"/>
    <w:multiLevelType w:val="singleLevel"/>
    <w:tmpl w:val="D7A2E7C0"/>
    <w:lvl w:ilvl="0" w:tentative="0">
      <w:start w:val="1"/>
      <w:numFmt w:val="decimal"/>
      <w:suff w:val="nothing"/>
      <w:lvlText w:val="%1、"/>
      <w:lvlJc w:val="left"/>
    </w:lvl>
  </w:abstractNum>
  <w:abstractNum w:abstractNumId="1">
    <w:nsid w:val="3BF3FB81"/>
    <w:multiLevelType w:val="singleLevel"/>
    <w:tmpl w:val="3BF3FB8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xYTk2ODNkM2JjMjhmOGQ1OTBkMDcxNmY3M2Y0OWUifQ=="/>
  </w:docVars>
  <w:rsids>
    <w:rsidRoot w:val="00240BF5"/>
    <w:rsid w:val="00240BF5"/>
    <w:rsid w:val="005C476B"/>
    <w:rsid w:val="005E3D8C"/>
    <w:rsid w:val="11506348"/>
    <w:rsid w:val="17D05065"/>
    <w:rsid w:val="1FEC11B9"/>
    <w:rsid w:val="30D56E8E"/>
    <w:rsid w:val="405D7D35"/>
    <w:rsid w:val="5291508F"/>
    <w:rsid w:val="5CD234E3"/>
    <w:rsid w:val="6BD05B63"/>
    <w:rsid w:val="718A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3966</Words>
  <Characters>4290</Characters>
  <Lines>31</Lines>
  <Paragraphs>8</Paragraphs>
  <TotalTime>0</TotalTime>
  <ScaleCrop>false</ScaleCrop>
  <LinksUpToDate>false</LinksUpToDate>
  <CharactersWithSpaces>4368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2023-05-27T02:05:00Z</dcterms:created>
  <dc:creator>PC</dc:creator>
  <cp:lastModifiedBy>zyh</cp:lastModifiedBy>
  <dcterms:modified xsi:type="dcterms:W3CDTF">2023-09-24T09:59:46Z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F920B6D4C2024EFA9F5ACE7395F1A95A</vt:lpwstr>
  </property>
</Properties>
</file>