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4" w:lineRule="atLeast"/>
        <w:ind w:left="0" w:firstLine="0"/>
        <w:jc w:val="center"/>
        <w:rPr>
          <w:rFonts w:ascii="微软雅黑" w:hAnsi="微软雅黑" w:eastAsia="微软雅黑" w:cs="微软雅黑"/>
          <w:i w:val="0"/>
          <w:iCs w:val="0"/>
          <w:caps w:val="0"/>
          <w:color w:val="0674C1"/>
          <w:spacing w:val="0"/>
        </w:rPr>
      </w:pPr>
      <w:r>
        <w:rPr>
          <w:rFonts w:hint="eastAsia" w:ascii="微软雅黑" w:hAnsi="微软雅黑" w:eastAsia="微软雅黑" w:cs="微软雅黑"/>
          <w:i w:val="0"/>
          <w:iCs w:val="0"/>
          <w:caps w:val="0"/>
          <w:color w:val="0674C1"/>
          <w:spacing w:val="0"/>
          <w:bdr w:val="none" w:color="auto" w:sz="0" w:space="0"/>
          <w:shd w:val="clear" w:fill="FFFFFF"/>
        </w:rPr>
        <w:t>岳阳市人民政府政府研究室2022部门预算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第一部分  2022年部门预算说明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第二部分 2022年部门预算公开表格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1、收支总表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2、收入总表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3、支出总表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4、支出预算分类汇总表（按政府预算经济分类）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5、支出预算分类汇总表（按部门预算经济分类）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6、财政拨款收支总表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7、一般公共预算支出表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8、一般公共预算基本支出表-人员经费（工资福利支出）（按政府预算经济分类）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9、一般公共预算基本支出表-人员经费（工资福利支出）（按部门预算经济分类）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10、一般公共预算基本支出表-人员经费（对个人和家庭的补助）（按政府预算经济分类）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11、一般公共预算基本支出表-人员经费（对个人和家庭的补助）（按部门预算经济分类）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12、一般公共预算基本支出表-</w:t>
      </w:r>
      <w:r>
        <w:rPr>
          <w:rFonts w:hint="eastAsia" w:ascii="微软雅黑" w:hAnsi="微软雅黑" w:eastAsia="微软雅黑" w:cs="微软雅黑"/>
          <w:i w:val="0"/>
          <w:iCs w:val="0"/>
          <w:caps w:val="0"/>
          <w:color w:val="333333"/>
          <w:spacing w:val="0"/>
          <w:sz w:val="19"/>
          <w:szCs w:val="19"/>
          <w:bdr w:val="none" w:color="auto" w:sz="0" w:space="0"/>
          <w:shd w:val="clear" w:fill="FFFFFF"/>
          <w:lang w:val="en-US" w:eastAsia="zh-CN"/>
        </w:rPr>
        <w:t>公用</w:t>
      </w:r>
      <w:r>
        <w:rPr>
          <w:rFonts w:hint="eastAsia" w:ascii="微软雅黑" w:hAnsi="微软雅黑" w:eastAsia="微软雅黑" w:cs="微软雅黑"/>
          <w:i w:val="0"/>
          <w:iCs w:val="0"/>
          <w:caps w:val="0"/>
          <w:color w:val="333333"/>
          <w:spacing w:val="0"/>
          <w:sz w:val="19"/>
          <w:szCs w:val="19"/>
          <w:bdr w:val="none" w:color="auto" w:sz="0" w:space="0"/>
          <w:shd w:val="clear" w:fill="FFFFFF"/>
        </w:rPr>
        <w:t>经费（商品和服务支出）（按政府预算经济分类）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13、一般公共预算基本支出表-</w:t>
      </w:r>
      <w:r>
        <w:rPr>
          <w:rFonts w:hint="eastAsia" w:ascii="微软雅黑" w:hAnsi="微软雅黑" w:eastAsia="微软雅黑" w:cs="微软雅黑"/>
          <w:i w:val="0"/>
          <w:iCs w:val="0"/>
          <w:caps w:val="0"/>
          <w:color w:val="333333"/>
          <w:spacing w:val="0"/>
          <w:sz w:val="19"/>
          <w:szCs w:val="19"/>
          <w:shd w:val="clear" w:fill="FFFFFF"/>
          <w:lang w:val="en-US" w:eastAsia="zh-CN"/>
        </w:rPr>
        <w:t>公用</w:t>
      </w:r>
      <w:r>
        <w:rPr>
          <w:rFonts w:hint="eastAsia" w:ascii="微软雅黑" w:hAnsi="微软雅黑" w:eastAsia="微软雅黑" w:cs="微软雅黑"/>
          <w:i w:val="0"/>
          <w:iCs w:val="0"/>
          <w:caps w:val="0"/>
          <w:color w:val="333333"/>
          <w:spacing w:val="0"/>
          <w:sz w:val="19"/>
          <w:szCs w:val="19"/>
          <w:bdr w:val="none" w:color="auto" w:sz="0" w:space="0"/>
          <w:shd w:val="clear" w:fill="FFFFFF"/>
        </w:rPr>
        <w:t>经费（商品和服务支出）（按部门预算经济分类）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14、一般公共预算“三公”经费支出表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15、政府性基金预算支出表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16、政府性基金预算支出分类汇总表（按政府预算经济分类）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17、政府性基金预算支出分类汇总表（按部门预算经济分类）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18、国有资本经营预算支出表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19、财政专户管理资金预算支出表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20、专项资金预算汇总表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21、项目支出绩效目标表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bdr w:val="none" w:color="auto" w:sz="0" w:space="0"/>
          <w:shd w:val="clear" w:fill="FFFFFF"/>
        </w:rPr>
      </w:pPr>
      <w:r>
        <w:rPr>
          <w:rFonts w:hint="eastAsia" w:ascii="微软雅黑" w:hAnsi="微软雅黑" w:eastAsia="微软雅黑" w:cs="微软雅黑"/>
          <w:i w:val="0"/>
          <w:iCs w:val="0"/>
          <w:caps w:val="0"/>
          <w:color w:val="333333"/>
          <w:spacing w:val="0"/>
          <w:sz w:val="19"/>
          <w:szCs w:val="19"/>
          <w:bdr w:val="none" w:color="auto" w:sz="0" w:space="0"/>
          <w:shd w:val="clear" w:fill="FFFFFF"/>
        </w:rPr>
        <w:t>22、整体支出绩效目标表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bdr w:val="none" w:color="auto" w:sz="0" w:space="0"/>
          <w:shd w:val="clear" w:fill="FFFFFF"/>
        </w:rPr>
      </w:pPr>
      <w:r>
        <w:rPr>
          <w:rFonts w:hint="eastAsia" w:ascii="微软雅黑" w:hAnsi="微软雅黑" w:eastAsia="微软雅黑" w:cs="微软雅黑"/>
          <w:i w:val="0"/>
          <w:iCs w:val="0"/>
          <w:caps w:val="0"/>
          <w:color w:val="333333"/>
          <w:spacing w:val="0"/>
          <w:sz w:val="19"/>
          <w:szCs w:val="19"/>
          <w:bdr w:val="none" w:color="auto" w:sz="0" w:space="0"/>
          <w:shd w:val="clear" w:fill="FFFFFF"/>
          <w:lang w:val="en-US" w:eastAsia="zh-CN"/>
        </w:rPr>
        <w:t>23、一般公共预算基本支出表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注：以上单位预算公开报表中，空表表示本单位无相关收支情况。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第一部分  2022年部门预算说明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一、部门基本概况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（一）职能职责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1.负责起草《政府工作报告》和市政府主要领导同志重要讲话、报告、文章。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2.负责起草市政府向省委、省政府的重要汇报材料；组织和协同有关方面起草、修改市政府的有关重要综合性文件；参与起草市委、市政府有关重要会议的文件。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3.对涉及全市经济建设、社会发展和改革开放等全局性工作的重大课题组织调查研究，及时综合归纳，提出供市政府决策的参考方案和政策性建议。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4.对市内外经济形势和社会发展政策进行分析和研究，提出政策建议。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5.收集、整理全市政务信息，及时向省政府办公厅传报；收集、分析、整理和报送经济社会发展的重要信息、动态，为市政府决策提供参考建议。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6.负责全市政府系统的情况综合、调查研究和信息工作指导。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7.编发《民本岳阳》、《政府通报》、《经济动态》。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8.承办市人民政府交办的其他事项。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（二）机构设置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根据市委编办核定: 市政府研究室内设科室4个，分别是办公室、综合科、调研科、信息科。人员编制数12名，实有人数10人。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二、部门预算单位构成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本部门预算为汇总预算，纳入编制范围的预算单位包括：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1、岳阳市人民政府政府研究室本级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三、部门收支总体情况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（一）收入预算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包括一般公共预算、政府性基金、国有资本经营预算等财政拨款收入，以及经营收入、事业收入等单位资金。2022年本部门收入预算259.72万元，其中，一般公共预算拨款259.72万元，政府性基金预算拨款0万元，国有资本经营预算拨款0万元，财政专户管理资金0万元，上级补助收入0万元，事业单位经营收入0万元，上年结转结余0万元。本部门2022年没有政府性基金预算拨款和纳入专户管理的非税收入拨款收入，也没有使用政府性基金预算拨款、国有资本经营预算收入和纳入专户管理的非税收入拨款安排的支出，所以公开的附件15-17（政府性基金预算）、18（国有资本经营预算）、19表（财政专户管理资金预算）均为空。收入较去年增加66.11万元，主要是因为工会经费、预安排综治考核奖金等项目支出增加54.58万元以及职工人数增加导致工资福利等基本支出增加11.53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（二）支出预算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bdr w:val="none" w:color="auto" w:sz="0" w:space="0"/>
          <w:shd w:val="clear" w:fill="FFFFFF"/>
        </w:rPr>
      </w:pPr>
      <w:r>
        <w:rPr>
          <w:rFonts w:hint="eastAsia" w:ascii="微软雅黑" w:hAnsi="微软雅黑" w:eastAsia="微软雅黑" w:cs="微软雅黑"/>
          <w:i w:val="0"/>
          <w:iCs w:val="0"/>
          <w:caps w:val="0"/>
          <w:color w:val="333333"/>
          <w:spacing w:val="0"/>
          <w:sz w:val="19"/>
          <w:szCs w:val="19"/>
          <w:bdr w:val="none" w:color="auto" w:sz="0" w:space="0"/>
          <w:shd w:val="clear" w:fill="FFFFFF"/>
        </w:rPr>
        <w:t>2022年本部门支出预算259.72万元，其中，一般公共服务226.73万元，社会保障和就业支出13.4万元，卫生健康支出9.55万元，住房保障支出10.05万元。支出较去年增加66.11万元，其中基本支出增加11.54万元，项目支出增加57.58万元。基本支出较上年增加主要是因为职工人数增加以及基本工资调整导致工资福利支出收入增加等，项目支出增加主要是因为工会经费、预安排综治考核奖金增加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bookmarkStart w:id="0" w:name="_GoBack"/>
      <w:bookmarkEnd w:id="0"/>
      <w:r>
        <w:rPr>
          <w:rFonts w:hint="eastAsia" w:ascii="微软雅黑" w:hAnsi="微软雅黑" w:eastAsia="微软雅黑" w:cs="微软雅黑"/>
          <w:i w:val="0"/>
          <w:iCs w:val="0"/>
          <w:caps w:val="0"/>
          <w:color w:val="333333"/>
          <w:spacing w:val="0"/>
          <w:sz w:val="19"/>
          <w:szCs w:val="19"/>
          <w:bdr w:val="none" w:color="auto" w:sz="0" w:space="0"/>
          <w:shd w:val="clear" w:fill="FFFFFF"/>
        </w:rPr>
        <w:t>2022年预算公开文档第三大点（对应表3）、第四大点（对应表7）中的金额和百分比，由于预算编制时金额明细到了“分”，而公开表格显示和公开文档取数只到“百元”，可能导致0.01的尾数差异。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四、一般公共预算拨款支出预算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2022年本部门一般公共预算拨款支出预算259.72万元，其中，一般公共服务支出226.73万元，占87.30%；社会保障和就业支出13.4万元，占5.16%；住房保障支出10.05万元，占3.87%；卫生健康支出9.55万元，占3.67%。具体安排情况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基本支出：2022年基本支出年初预算数为150.25万元，是指为保障单位机构正常运转、完成日常工作任务而发生的各项支出，包括用于基本工资、津贴补贴等人员经费以及办公费、印刷费、水电费、差旅费等日常公用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项目支出：2022年项目支出年初预算数为109.48万元，是指单位为完成特定行政工作任务或事业发展目标而发生的支出，包括有关业务工作经费、运行维护经费等。其中：工会经费补助专项支出3.9万元；伙食补助5.2万元；物业服务补贴4.68万元；预安排综合绩效和平安岳阳建设奖26万元；政府工作报告及调研专项工作经费69.7万元，主要用于工会、物业补贴发放、平安岳阳建设奖、政府工作报告及调研等方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五、政府性基金预算支出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2022年度本部门无政府性基金安排的支出，所以公开的附件15-17（政府性基金预算）为空。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六、其他重要事项的情况说明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（一）机关运行经费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2022年本部门岳阳市人民政府研究室机关本级1家行政事业单位的机关运行经费32.28万元，比上一年增加4.94万元，增加18%。主要原因是人员增加。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（二）“三公”经费预算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2022年本部门机关本级1家行政事业单位“三公”经费预算数20.7万元，其中，公务接待费13.5万元，因公出国（境）费0万元，公务用车购置及运行费7.2万元（其中，公务用车购置费0万元，公务用车运行费7.2万元）。2022年三公经费预算比上一年减少6.14万元，降低23%，主要原因是其他交通费用减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（三）一般性支出情况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2022年本部门会议费预算1万元，拟召开2次会议，人数80人，内容为经济形势分析会；培训费预算0.6万元，拟开展1次培训，人数30人，内容为政务信息报送流程等相关培训；未计划举办节庆、晚会、论坛、赛事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（四）政府采购情况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2022年本部门政府采购预算总额100万元，其中工程类15万元，货物类50万元，服务类35万元。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（五）国有资产占有使用及新增资产配置情况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截至上年底，本部门共有车辆1辆，其中领导干部用车0辆，一般公务用车1辆，其他用车0辆。单位价值50万元以上通用设备0台，单位价值100万元以上专用设备0台。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2022年拟报废处置公务用车1辆，拟新增配置车辆1辆，其中领导干部用车0辆，一般公务用车1辆，其他车辆0辆，主要用于处理日常公共事务，资金来源为自筹。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2022年拟新增配备领导干部用车0辆，一般公务用车1辆，其他用车0辆，新增配备单位价值50万元以上通用设备0台，单位价值100万元以上专用设备0台。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（六）预算绩效目标说明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本部门所有支出实行绩效目标管理。纳入2022年部门整体支出绩效目标的金额为259.73万元，其中，基本支出150.25万元，项目支出109.48万元，详见文尾附表中部门预算公开表格的表21-22。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七、名词解释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第二部分  2022年单位预算公开表格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1、收支总表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2、收入总表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3、支出总表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4、支出预算分类汇总表（按政府预算经济分类）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5、支出预算分类汇总表（按部门预算经济分类）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6、财政拨款收支总表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7、一般公共预算支出表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8、一般公共预算基本支出表-人员经费（工资福利支出）（按政府预算经济分类）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9、一般公共预算基本支出表-人员经费（工资福利支出）（按部门预算经济分类）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10、一般公共预算基本支出表-人员经费（对个人和家庭的补助）（按政府预算经济分类）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11、一般公共预算基本支出表-人员经费（对个人和家庭的补助）（按部门预算经济分类）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12、一般公共预算基本支出表-</w:t>
      </w:r>
      <w:r>
        <w:rPr>
          <w:rFonts w:hint="eastAsia" w:ascii="微软雅黑" w:hAnsi="微软雅黑" w:eastAsia="微软雅黑" w:cs="微软雅黑"/>
          <w:i w:val="0"/>
          <w:iCs w:val="0"/>
          <w:caps w:val="0"/>
          <w:color w:val="333333"/>
          <w:spacing w:val="0"/>
          <w:sz w:val="19"/>
          <w:szCs w:val="19"/>
          <w:bdr w:val="none" w:color="auto" w:sz="0" w:space="0"/>
          <w:shd w:val="clear" w:fill="FFFFFF"/>
          <w:lang w:val="en-US" w:eastAsia="zh-CN"/>
        </w:rPr>
        <w:t>公用</w:t>
      </w:r>
      <w:r>
        <w:rPr>
          <w:rFonts w:hint="eastAsia" w:ascii="微软雅黑" w:hAnsi="微软雅黑" w:eastAsia="微软雅黑" w:cs="微软雅黑"/>
          <w:i w:val="0"/>
          <w:iCs w:val="0"/>
          <w:caps w:val="0"/>
          <w:color w:val="333333"/>
          <w:spacing w:val="0"/>
          <w:sz w:val="19"/>
          <w:szCs w:val="19"/>
          <w:bdr w:val="none" w:color="auto" w:sz="0" w:space="0"/>
          <w:shd w:val="clear" w:fill="FFFFFF"/>
        </w:rPr>
        <w:t>经费（商品和服务支出）（按政府预算经济分类）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13、一般公共预算基本支出表-</w:t>
      </w:r>
      <w:r>
        <w:rPr>
          <w:rFonts w:hint="eastAsia" w:ascii="微软雅黑" w:hAnsi="微软雅黑" w:eastAsia="微软雅黑" w:cs="微软雅黑"/>
          <w:i w:val="0"/>
          <w:iCs w:val="0"/>
          <w:caps w:val="0"/>
          <w:color w:val="333333"/>
          <w:spacing w:val="0"/>
          <w:sz w:val="19"/>
          <w:szCs w:val="19"/>
          <w:shd w:val="clear" w:fill="FFFFFF"/>
          <w:lang w:val="en-US" w:eastAsia="zh-CN"/>
        </w:rPr>
        <w:t>公用</w:t>
      </w:r>
      <w:r>
        <w:rPr>
          <w:rFonts w:hint="eastAsia" w:ascii="微软雅黑" w:hAnsi="微软雅黑" w:eastAsia="微软雅黑" w:cs="微软雅黑"/>
          <w:i w:val="0"/>
          <w:iCs w:val="0"/>
          <w:caps w:val="0"/>
          <w:color w:val="333333"/>
          <w:spacing w:val="0"/>
          <w:sz w:val="19"/>
          <w:szCs w:val="19"/>
          <w:bdr w:val="none" w:color="auto" w:sz="0" w:space="0"/>
          <w:shd w:val="clear" w:fill="FFFFFF"/>
        </w:rPr>
        <w:t>经费（商品和服务支出）（按部门预算经济分类）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14、一般公共预算“三公”经费支出表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15、政府性基金预算支出表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16、政府性基金预算支出分类汇总表（按政府预算经济分类）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17、政府性基金预算支出分类汇总表（按部门预算经济分类）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18、国有资本经营预算支出表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19、财政专户管理资金预算支出表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20、专项资金预算汇总表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21、项目支出绩效目标表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bdr w:val="none" w:color="auto" w:sz="0" w:space="0"/>
          <w:shd w:val="clear" w:fill="FFFFFF"/>
        </w:rPr>
      </w:pPr>
      <w:r>
        <w:rPr>
          <w:rFonts w:hint="eastAsia" w:ascii="微软雅黑" w:hAnsi="微软雅黑" w:eastAsia="微软雅黑" w:cs="微软雅黑"/>
          <w:i w:val="0"/>
          <w:iCs w:val="0"/>
          <w:caps w:val="0"/>
          <w:color w:val="333333"/>
          <w:spacing w:val="0"/>
          <w:sz w:val="19"/>
          <w:szCs w:val="19"/>
          <w:bdr w:val="none" w:color="auto" w:sz="0" w:space="0"/>
          <w:shd w:val="clear" w:fill="FFFFFF"/>
        </w:rPr>
        <w:t>22、整体支出绩效目标表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bdr w:val="none" w:color="auto" w:sz="0" w:space="0"/>
          <w:shd w:val="clear" w:fill="FFFFFF"/>
        </w:rPr>
      </w:pPr>
      <w:r>
        <w:rPr>
          <w:rFonts w:hint="eastAsia" w:ascii="微软雅黑" w:hAnsi="微软雅黑" w:eastAsia="微软雅黑" w:cs="微软雅黑"/>
          <w:i w:val="0"/>
          <w:iCs w:val="0"/>
          <w:caps w:val="0"/>
          <w:color w:val="333333"/>
          <w:spacing w:val="0"/>
          <w:sz w:val="19"/>
          <w:szCs w:val="19"/>
          <w:bdr w:val="none" w:color="auto" w:sz="0" w:space="0"/>
          <w:shd w:val="clear" w:fill="FFFFFF"/>
          <w:lang w:val="en-US" w:eastAsia="zh-CN"/>
        </w:rPr>
        <w:t>23、一般公共预算基本支出表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textAlignment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注：以上单位预算公开报表中，空表表示本单位无相关收支情况。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YTk2ODNkM2JjMjhmOGQ1OTBkMDcxNmY3M2Y0OWUifQ=="/>
  </w:docVars>
  <w:rsids>
    <w:rsidRoot w:val="4B810458"/>
    <w:rsid w:val="252C37DE"/>
    <w:rsid w:val="4B810458"/>
    <w:rsid w:val="74601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3485</Words>
  <Characters>3763</Characters>
  <Lines>0</Lines>
  <Paragraphs>0</Paragraphs>
  <TotalTime>1</TotalTime>
  <ScaleCrop>false</ScaleCrop>
  <LinksUpToDate>false</LinksUpToDate>
  <CharactersWithSpaces>3771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2023-09-24T10:04:00Z</dcterms:created>
  <dc:creator>zyh</dc:creator>
  <cp:lastModifiedBy>zyh</cp:lastModifiedBy>
  <dcterms:modified xsi:type="dcterms:W3CDTF">2023-09-24T10:19:18Z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4295469EFECB49C498C15626DD97EA94_11</vt:lpwstr>
  </property>
</Properties>
</file>