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522" w:type="dxa"/>
        <w:tblInd w:w="0" w:type="dxa"/>
        <w:tblLayout w:type="fixed"/>
        <w:tblCellMar>
          <w:top w:w="0" w:type="dxa"/>
          <w:left w:w="108" w:type="dxa"/>
          <w:bottom w:w="0" w:type="dxa"/>
          <w:right w:w="108" w:type="dxa"/>
        </w:tblCellMar>
      </w:tblPr>
      <w:tblGrid>
        <w:gridCol w:w="8522"/>
      </w:tblGrid>
      <w:tr>
        <w:tblPrEx>
          <w:tblLayout w:type="fixed"/>
        </w:tblPrEx>
        <w:trPr>
          <w:trHeight w:val="1380" w:hRule="atLeast"/>
        </w:trPr>
        <w:tc>
          <w:tcPr>
            <w:tcW w:w="8522" w:type="dxa"/>
            <w:tcBorders>
              <w:top w:val="nil"/>
              <w:left w:val="nil"/>
              <w:bottom w:val="nil"/>
              <w:right w:val="nil"/>
            </w:tcBorders>
            <w:shd w:val="clear" w:color="auto" w:fill="auto"/>
            <w:vAlign w:val="center"/>
          </w:tcPr>
          <w:p>
            <w:pPr>
              <w:widowControl/>
              <w:jc w:val="center"/>
              <w:rPr>
                <w:rFonts w:ascii="方正小标宋_GBK" w:hAnsi="宋体" w:eastAsia="方正小标宋_GBK" w:cs="宋体"/>
                <w:color w:val="000000"/>
                <w:kern w:val="0"/>
                <w:sz w:val="40"/>
                <w:szCs w:val="40"/>
              </w:rPr>
            </w:pPr>
            <w:r>
              <w:rPr>
                <w:rFonts w:hint="eastAsia" w:ascii="方正小标宋_GBK" w:hAnsi="宋体" w:eastAsia="方正小标宋_GBK" w:cs="宋体"/>
                <w:color w:val="000000"/>
                <w:kern w:val="0"/>
                <w:sz w:val="40"/>
                <w:szCs w:val="40"/>
              </w:rPr>
              <w:t>岳阳市农业综合技术推广站2022年度单位预算</w:t>
            </w:r>
          </w:p>
        </w:tc>
      </w:tr>
      <w:tr>
        <w:tblPrEx>
          <w:tblLayout w:type="fixed"/>
          <w:tblCellMar>
            <w:top w:w="0" w:type="dxa"/>
            <w:left w:w="108" w:type="dxa"/>
            <w:bottom w:w="0" w:type="dxa"/>
            <w:right w:w="108" w:type="dxa"/>
          </w:tblCellMar>
        </w:tblPrEx>
        <w:trPr>
          <w:trHeight w:val="642" w:hRule="atLeast"/>
        </w:trPr>
        <w:tc>
          <w:tcPr>
            <w:tcW w:w="8522" w:type="dxa"/>
            <w:tcBorders>
              <w:top w:val="nil"/>
              <w:left w:val="nil"/>
              <w:bottom w:val="nil"/>
              <w:right w:val="nil"/>
            </w:tcBorders>
            <w:shd w:val="clear" w:color="auto" w:fill="auto"/>
            <w:vAlign w:val="center"/>
          </w:tcPr>
          <w:p>
            <w:pPr>
              <w:widowControl/>
              <w:jc w:val="center"/>
              <w:rPr>
                <w:rFonts w:ascii="黑体" w:hAnsi="黑体" w:eastAsia="黑体" w:cs="宋体"/>
                <w:kern w:val="0"/>
                <w:sz w:val="36"/>
                <w:szCs w:val="36"/>
              </w:rPr>
            </w:pPr>
            <w:r>
              <w:rPr>
                <w:rFonts w:hint="eastAsia" w:ascii="黑体" w:hAnsi="黑体" w:eastAsia="黑体" w:cs="宋体"/>
                <w:kern w:val="0"/>
                <w:sz w:val="36"/>
                <w:szCs w:val="36"/>
              </w:rPr>
              <w:t>目录</w:t>
            </w:r>
          </w:p>
        </w:tc>
      </w:tr>
      <w:tr>
        <w:tblPrEx>
          <w:tblLayout w:type="fixed"/>
          <w:tblCellMar>
            <w:top w:w="0" w:type="dxa"/>
            <w:left w:w="108" w:type="dxa"/>
            <w:bottom w:w="0" w:type="dxa"/>
            <w:right w:w="108" w:type="dxa"/>
          </w:tblCellMar>
        </w:tblPrEx>
        <w:trPr>
          <w:trHeight w:val="37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第一部分  2022年单位预算说明</w:t>
            </w:r>
          </w:p>
        </w:tc>
      </w:tr>
      <w:tr>
        <w:tblPrEx>
          <w:tblLayout w:type="fixed"/>
          <w:tblCellMar>
            <w:top w:w="0" w:type="dxa"/>
            <w:left w:w="108" w:type="dxa"/>
            <w:bottom w:w="0" w:type="dxa"/>
            <w:right w:w="108" w:type="dxa"/>
          </w:tblCellMar>
        </w:tblPrEx>
        <w:trPr>
          <w:trHeight w:val="60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第二部分  2022年单位预算公开表格</w:t>
            </w:r>
          </w:p>
        </w:tc>
      </w:tr>
      <w:tr>
        <w:tblPrEx>
          <w:tblLayout w:type="fixed"/>
          <w:tblCellMar>
            <w:top w:w="0" w:type="dxa"/>
            <w:left w:w="108" w:type="dxa"/>
            <w:bottom w:w="0" w:type="dxa"/>
            <w:right w:w="108" w:type="dxa"/>
          </w:tblCellMar>
        </w:tblPrEx>
        <w:trPr>
          <w:trHeight w:val="4482" w:hRule="atLeast"/>
        </w:trPr>
        <w:tc>
          <w:tcPr>
            <w:tcW w:w="8522" w:type="dxa"/>
            <w:vMerge w:val="restart"/>
            <w:tcBorders>
              <w:top w:val="nil"/>
              <w:left w:val="nil"/>
              <w:bottom w:val="nil"/>
              <w:right w:val="nil"/>
            </w:tcBorders>
            <w:shd w:val="clear" w:color="auto" w:fill="auto"/>
            <w:vAlign w:val="center"/>
          </w:tcPr>
          <w:p>
            <w:pPr>
              <w:widowControl/>
              <w:numPr>
                <w:ilvl w:val="0"/>
                <w:numId w:val="1"/>
              </w:numPr>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2、收入总表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3、支出总表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4、支出预算分类汇总表（按政府预算经济分类）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5、支出预算分类汇总表（按部门预算经济分类）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6、财政拨款收支总表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7、一般公共预算支出表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8、一般公共预算基本支出表-人员经费（工资福利支出）（按政府预算经济分类）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9、一般公共预算基本支出表-人员经费（工资福利支出）（按部门预算经济分类）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10、一般公共预算基本支出表-人员经费（对个人和家庭的补助）（按政府预算经济分类）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11、一般公共预算基本支出表-人员经费（对个人和家庭的补助）（按部门预算经济分类）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12、一般公共预算基本支出表-</w:t>
            </w:r>
            <w:r>
              <w:rPr>
                <w:rFonts w:hint="eastAsia" w:ascii="仿宋_GB2312" w:hAnsi="宋体" w:eastAsia="仿宋_GB2312" w:cs="宋体"/>
                <w:color w:val="000000"/>
                <w:kern w:val="0"/>
                <w:sz w:val="28"/>
                <w:szCs w:val="28"/>
                <w:lang w:eastAsia="zh-CN"/>
              </w:rPr>
              <w:t>公用</w:t>
            </w:r>
            <w:r>
              <w:rPr>
                <w:rFonts w:hint="eastAsia" w:ascii="仿宋_GB2312" w:hAnsi="宋体" w:eastAsia="仿宋_GB2312" w:cs="宋体"/>
                <w:color w:val="000000"/>
                <w:kern w:val="0"/>
                <w:sz w:val="28"/>
                <w:szCs w:val="28"/>
              </w:rPr>
              <w:t>经费（商品和服务支出）（按政府预算经济分类）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13、一般公共预算基本支出表-</w:t>
            </w:r>
            <w:r>
              <w:rPr>
                <w:rFonts w:hint="eastAsia" w:ascii="仿宋_GB2312" w:hAnsi="宋体" w:eastAsia="仿宋_GB2312" w:cs="宋体"/>
                <w:color w:val="000000"/>
                <w:kern w:val="0"/>
                <w:sz w:val="28"/>
                <w:szCs w:val="28"/>
                <w:lang w:eastAsia="zh-CN"/>
              </w:rPr>
              <w:t>公用</w:t>
            </w:r>
            <w:r>
              <w:rPr>
                <w:rFonts w:hint="eastAsia" w:ascii="仿宋_GB2312" w:hAnsi="宋体" w:eastAsia="仿宋_GB2312" w:cs="宋体"/>
                <w:color w:val="000000"/>
                <w:kern w:val="0"/>
                <w:sz w:val="28"/>
                <w:szCs w:val="28"/>
              </w:rPr>
              <w:t>经费（商品和服务支出）（按部门预算经济分类）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14、一般公共预算“三公”经费支出表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15、政府性基金预算支出表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16、政府性基金预算支出分类汇总表（按政府预算经济分类）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17、政府性基金预算支出分类汇总表（按部门预算经济分类）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18、国有资本经营预算支出表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19、财政专户管理资金预算支出表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20、专项资金预算汇总表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21、项目支出绩效目标表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22、整体支出绩效目标表</w:t>
            </w:r>
          </w:p>
          <w:p>
            <w:pPr>
              <w:widowControl/>
              <w:numPr>
                <w:ilvl w:val="0"/>
                <w:numId w:val="0"/>
              </w:numPr>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val="en-US" w:eastAsia="zh-CN"/>
              </w:rPr>
              <w:t>23、一般公共预算基本支出表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注：以上单位预算公开报表中，空表表示本单位无相关收支情况。</w:t>
            </w:r>
          </w:p>
        </w:tc>
      </w:tr>
      <w:tr>
        <w:tblPrEx>
          <w:tblLayout w:type="fixed"/>
          <w:tblCellMar>
            <w:top w:w="0" w:type="dxa"/>
            <w:left w:w="108" w:type="dxa"/>
            <w:bottom w:w="0" w:type="dxa"/>
            <w:right w:w="108" w:type="dxa"/>
          </w:tblCellMar>
        </w:tblPrEx>
        <w:trPr>
          <w:trHeight w:val="4482" w:hRule="atLeast"/>
        </w:trPr>
        <w:tc>
          <w:tcPr>
            <w:tcW w:w="8522" w:type="dxa"/>
            <w:vMerge w:val="continue"/>
            <w:tcBorders>
              <w:top w:val="nil"/>
              <w:left w:val="nil"/>
              <w:bottom w:val="nil"/>
              <w:right w:val="nil"/>
            </w:tcBorders>
            <w:vAlign w:val="center"/>
          </w:tcPr>
          <w:p>
            <w:pPr>
              <w:widowControl/>
              <w:jc w:val="left"/>
              <w:rPr>
                <w:rFonts w:ascii="仿宋_GB2312" w:hAnsi="宋体" w:eastAsia="仿宋_GB2312" w:cs="宋体"/>
                <w:color w:val="000000"/>
                <w:kern w:val="0"/>
                <w:sz w:val="28"/>
                <w:szCs w:val="28"/>
              </w:rPr>
            </w:pPr>
          </w:p>
        </w:tc>
      </w:tr>
      <w:tr>
        <w:tblPrEx>
          <w:tblLayout w:type="fixed"/>
          <w:tblCellMar>
            <w:top w:w="0" w:type="dxa"/>
            <w:left w:w="108" w:type="dxa"/>
            <w:bottom w:w="0" w:type="dxa"/>
            <w:right w:w="108" w:type="dxa"/>
          </w:tblCellMar>
        </w:tblPrEx>
        <w:trPr>
          <w:trHeight w:val="840" w:hRule="atLeast"/>
        </w:trPr>
        <w:tc>
          <w:tcPr>
            <w:tcW w:w="8522" w:type="dxa"/>
            <w:tcBorders>
              <w:top w:val="nil"/>
              <w:left w:val="nil"/>
              <w:bottom w:val="nil"/>
              <w:right w:val="nil"/>
            </w:tcBorders>
            <w:shd w:val="clear" w:color="auto" w:fill="auto"/>
            <w:vAlign w:val="center"/>
          </w:tcPr>
          <w:p>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第一部分  2022年单位预算说明</w:t>
            </w:r>
          </w:p>
        </w:tc>
      </w:tr>
      <w:tr>
        <w:tblPrEx>
          <w:tblLayout w:type="fixed"/>
          <w:tblCellMar>
            <w:top w:w="0" w:type="dxa"/>
            <w:left w:w="108" w:type="dxa"/>
            <w:bottom w:w="0" w:type="dxa"/>
            <w:right w:w="108" w:type="dxa"/>
          </w:tblCellMar>
        </w:tblPrEx>
        <w:trPr>
          <w:trHeight w:val="2625" w:hRule="atLeast"/>
        </w:trPr>
        <w:tc>
          <w:tcPr>
            <w:tcW w:w="8522" w:type="dxa"/>
            <w:tcBorders>
              <w:top w:val="nil"/>
              <w:left w:val="nil"/>
              <w:bottom w:val="nil"/>
              <w:right w:val="nil"/>
            </w:tcBorders>
            <w:shd w:val="clear" w:color="auto" w:fill="auto"/>
            <w:vAlign w:val="center"/>
          </w:tcPr>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一、单位基本概况</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（一）职能职责</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市农业综合技术推广站是由市农业农村局管理的公益一类副处级机构，编制29个，在职人数29人，退休人数16人。主要职责为：贯彻执行农业技术推广相关法律法规，负责农业综合技术推广体系建设；负责对基层农业技术推广机构的业务指导和考评。负责制定农业综合技术推广计划，组织实施农业综合技术推广项目；负责新技术的引进、试验、示范推广及新技术先进性、适用性和安全性评价，开展农业综合技术培训。指导全市农业广播电视学校体系建设；负责农民教育培训，承担农民职业技能鉴定，组织农民体育赛事活动。负责全市水生动物疫病、水产养殖灾害的监测、预报和预防；承担重大水生动物疫病应急处置的技术工作。</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（二）机构设置</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单位下设六个内设机构：（一）综合科。负责单位办公、财务、后勤保障工作，承担人事、档案、综治、信访及党风廉政建设等工作。（二）种植技术推广科。制订实施种植业技术推广计划，组织实施种植业技术推广项目；承担农技员培训和学历教育；承担种植业新技术、新品种的引进、试验和示范推广及试验示范基地建设；指导基层种植业推广机构的推广活动，开展种植业技术培训和相关信息统计工作。（三）畜牧技术推广科。制订实施畜牧业技术推广计划，组织实施畜牧业技术推广项目；承担畜牧新技术引进、试验和示范推广及试验示范基地建设，指导基层畜牧推广机构的畜牧推广活动，开展畜牧技术培训和相关信息统计工作；参与全市重大疫情的防控工作。（四）水产技术推广科。制订实施水产技术推广计划，组织实施水产技术推广项目；承担现代渔业生产模式和关键技术和引进、试验和示范推广及试验示范基地建设；承担水生动物疫病、水产养殖灾害的监测、预报和预防工作；承担重大水生动物疫病防控和应急处置的技术工作；组织渔业行业职业技能鉴定，开展水产技术培训和相关信息统计工作。（五）农机与能源技术推广科。制订实施农机和能源技术推广计划，组织实施农机和能源技术推广项目；承担农机和能源新技术、新模式的引进、试验和示范推广及技术先进性、适用性、安全性评价；承担农机技术试验示范基地建设，指导基层农机和能源推广机构推广活动，开展农机和能源技术培训和相关信息统计工作。（六）农民教育科。承担农民教育培训，培养高素质农民，组织优秀新型农业经营组织负责人境外培训；承担农民职业技能鉴定，组织农民体育赛事活动，开展农业声像宣传和管理。</w:t>
            </w:r>
          </w:p>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二、单位预算单位构成</w:t>
            </w:r>
          </w:p>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本单位预算仅含本级预算。</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三、单位收支总体情况</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（一）收入预算</w:t>
            </w:r>
          </w:p>
        </w:tc>
      </w:tr>
      <w:tr>
        <w:tblPrEx>
          <w:tblLayout w:type="fixed"/>
          <w:tblCellMar>
            <w:top w:w="0" w:type="dxa"/>
            <w:left w:w="108" w:type="dxa"/>
            <w:bottom w:w="0" w:type="dxa"/>
            <w:right w:w="108" w:type="dxa"/>
          </w:tblCellMar>
        </w:tblPrEx>
        <w:trPr>
          <w:trHeight w:val="225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包括一般公共预算、政府性基金、国有资本经营预算等财政拨款收入，以及经营收入、事业收入等单位资金。2022年本单位收入预算507.43万元，其中，一般公共预算拨款507.43万元，政府性基金预算拨款0万元，所以公开的附件15-17（政府性基金预算）为空,国有资本经营预算拨款0万元，所以公开的附表18（国有资本经营预算）为空,财政专户管理资金0万元，所以公开的附表19表（财政专户管理资金预算）为空，上级补助收入0万元，事业单位经营收入0万元，上年结转结余0万元。</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ind w:firstLine="420" w:firstLineChars="150"/>
              <w:jc w:val="left"/>
              <w:rPr>
                <w:rFonts w:ascii="仿宋_GB2312" w:hAnsi="宋体" w:eastAsia="仿宋_GB2312" w:cs="宋体"/>
                <w:kern w:val="0"/>
                <w:sz w:val="28"/>
                <w:szCs w:val="28"/>
              </w:rPr>
            </w:pPr>
            <w:r>
              <w:rPr>
                <w:rFonts w:hint="eastAsia" w:ascii="仿宋_GB2312" w:hAnsi="宋体" w:eastAsia="仿宋_GB2312" w:cs="宋体"/>
                <w:kern w:val="0"/>
                <w:sz w:val="28"/>
                <w:szCs w:val="28"/>
              </w:rPr>
              <w:t>收入较去年增加124.64万元，主要是因为2022年财政实行全额预算，把工会经费和年度绩效纳入预算总额，导致预算增加。</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（二）支出预算</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ind w:firstLine="560"/>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 xml:space="preserve">2022年本单位支出预算507.43万元，其中，社会保障和就业支出37.35万元，占比7.36%，卫生健康支出16.46万元，占比3.24%，农林水支出425.55万元，占比83.86%，住房保障支出28.07万元，占比5.53%。支出较去年增加124.64万元，其中基本支出增加0.44万元，项目支出增加124.2万元。其中基本支出较上年增加主要是因为单位新招入1人，项目支出增加主要是因为2022年财政实行全额预算，把工会经费和年度绩效纳入预算总额，导致预算增加。 </w:t>
            </w:r>
          </w:p>
          <w:p>
            <w:pPr>
              <w:widowControl/>
              <w:ind w:firstLine="560"/>
              <w:jc w:val="left"/>
              <w:rPr>
                <w:rFonts w:ascii="仿宋_GB2312" w:hAnsi="宋体" w:eastAsia="仿宋_GB2312" w:cs="宋体"/>
                <w:kern w:val="0"/>
                <w:sz w:val="28"/>
                <w:szCs w:val="28"/>
              </w:rPr>
            </w:pPr>
            <w:r>
              <w:rPr>
                <w:rFonts w:hint="eastAsia" w:ascii="仿宋_GB2312" w:hAnsi="宋体" w:eastAsia="仿宋_GB2312" w:cs="宋体"/>
                <w:kern w:val="0"/>
                <w:sz w:val="28"/>
                <w:szCs w:val="28"/>
                <w:lang w:eastAsia="zh-CN"/>
              </w:rPr>
              <w:t>说明：</w:t>
            </w:r>
            <w:r>
              <w:rPr>
                <w:rFonts w:hint="eastAsia" w:ascii="仿宋_GB2312" w:hAnsi="宋体" w:eastAsia="仿宋_GB2312" w:cs="宋体"/>
                <w:kern w:val="0"/>
                <w:sz w:val="28"/>
                <w:szCs w:val="28"/>
              </w:rPr>
              <w:t>2022年预算公开文档第三大点（对应表3）、第四大点（对应表7）中的金额和百分比，由于预算编制时金额明细到了“分”，而公开表格显示和公开文档取数只到“百元”，可能导致0.01的尾数差异。</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四、一般公共预算拨款支出预算</w:t>
            </w:r>
          </w:p>
        </w:tc>
      </w:tr>
      <w:tr>
        <w:tblPrEx>
          <w:tblLayout w:type="fixed"/>
          <w:tblCellMar>
            <w:top w:w="0" w:type="dxa"/>
            <w:left w:w="108" w:type="dxa"/>
            <w:bottom w:w="0" w:type="dxa"/>
            <w:right w:w="108" w:type="dxa"/>
          </w:tblCellMar>
        </w:tblPrEx>
        <w:trPr>
          <w:trHeight w:val="126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2022年本单位一般公共预算拨款支出预算507.43万元，其中，社会保障和就业支出37.35万元，占比7.36%，卫生健康支出16.46万元，占比3.24%，农林水支出425.55万元，占比83.86%，住房保障支出28.07万元，占比5.53%。具体安排情况如下：</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一）基本支出：2022年基本支出年初预算数为354.73万元（数据来源见表7），是指为保障单位机构正常运转、完成日常工作任务而发生的各项支出，包括用于基本工资、津贴补贴等人员经费以及办公费、印刷费、水电费、差旅费等日常公用经费。</w:t>
            </w:r>
          </w:p>
        </w:tc>
      </w:tr>
      <w:tr>
        <w:tblPrEx>
          <w:tblLayout w:type="fixed"/>
          <w:tblCellMar>
            <w:top w:w="0" w:type="dxa"/>
            <w:left w:w="108" w:type="dxa"/>
            <w:bottom w:w="0" w:type="dxa"/>
            <w:right w:w="108" w:type="dxa"/>
          </w:tblCellMar>
        </w:tblPrEx>
        <w:trPr>
          <w:trHeight w:val="150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二）项目支出：2022年项目支出年初预算数为152.7万元（数据来源见表5），是指单位为完成特定行政工作任务或事业发展目标而发生的支出，包括有关业务工作经费、运行维护经费等。其中：业务工作经费支出15万元，主要用于农业推广与病虫害防控等方面；运行维护经费137.7万元，主要用于单位事业运行等方面。</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五、政府性基金预算支出</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2022年度本单位无政府性基金安排的支出，所以公开的附件15-17（政府性基金预算）为空。</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六、其他重要事项的情况说明</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（一）机关运行经费</w:t>
            </w:r>
          </w:p>
        </w:tc>
      </w:tr>
      <w:tr>
        <w:tblPrEx>
          <w:tblLayout w:type="fixed"/>
          <w:tblCellMar>
            <w:top w:w="0" w:type="dxa"/>
            <w:left w:w="108" w:type="dxa"/>
            <w:bottom w:w="0" w:type="dxa"/>
            <w:right w:w="108" w:type="dxa"/>
          </w:tblCellMar>
        </w:tblPrEx>
        <w:trPr>
          <w:trHeight w:val="85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本单位2022年机关运行经费当年一般公共预算拨款38.95万元（数据来源见表13），比上一年增加3.4万元，增加9.5%。主要原因是单位新招入1人。</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（二）“三公”经费预算</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本单位2022年“三公”经费预算数6万元（数据来源见表14），其中，公务接待费3万元，因公出国（境）费0万元，公务用车购置及运行费</w:t>
            </w:r>
            <w:r>
              <w:rPr>
                <w:rFonts w:hint="eastAsia" w:ascii="仿宋_GB2312" w:hAnsi="宋体" w:eastAsia="仿宋_GB2312" w:cs="宋体"/>
                <w:kern w:val="0"/>
                <w:sz w:val="28"/>
                <w:szCs w:val="28"/>
                <w:lang w:val="en-US" w:eastAsia="zh-CN"/>
              </w:rPr>
              <w:t>3</w:t>
            </w:r>
            <w:r>
              <w:rPr>
                <w:rFonts w:hint="eastAsia" w:ascii="仿宋_GB2312" w:hAnsi="宋体" w:eastAsia="仿宋_GB2312" w:cs="宋体"/>
                <w:kern w:val="0"/>
                <w:sz w:val="28"/>
                <w:szCs w:val="28"/>
              </w:rPr>
              <w:t>万元，其中公务用车购置费0万元，公务用车运行费3万元。比上一年增加0.61万元，增加1.13%，主要原因是单位人员增加，导致费用增加。</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（三）一般性支出情况</w:t>
            </w:r>
          </w:p>
        </w:tc>
      </w:tr>
      <w:tr>
        <w:tblPrEx>
          <w:tblLayout w:type="fixed"/>
          <w:tblCellMar>
            <w:top w:w="0" w:type="dxa"/>
            <w:left w:w="108" w:type="dxa"/>
            <w:bottom w:w="0" w:type="dxa"/>
            <w:right w:w="108" w:type="dxa"/>
          </w:tblCellMar>
        </w:tblPrEx>
        <w:trPr>
          <w:trHeight w:val="187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本单位2022年会议费预算0万元，</w:t>
            </w:r>
            <w:r>
              <w:rPr>
                <w:rFonts w:hint="eastAsia" w:ascii="仿宋_GB2312" w:hAnsi="宋体" w:eastAsia="仿宋_GB2312" w:cs="宋体"/>
                <w:kern w:val="0"/>
                <w:sz w:val="28"/>
                <w:szCs w:val="28"/>
                <w:lang w:eastAsia="zh-CN"/>
              </w:rPr>
              <w:t>培训费预算</w:t>
            </w:r>
            <w:r>
              <w:rPr>
                <w:rFonts w:hint="eastAsia" w:ascii="仿宋_GB2312" w:hAnsi="宋体" w:eastAsia="仿宋_GB2312" w:cs="宋体"/>
                <w:kern w:val="0"/>
                <w:sz w:val="28"/>
                <w:szCs w:val="28"/>
                <w:lang w:val="en-US" w:eastAsia="zh-CN"/>
              </w:rPr>
              <w:t>0万元，</w:t>
            </w:r>
            <w:r>
              <w:rPr>
                <w:rFonts w:hint="eastAsia" w:ascii="仿宋_GB2312" w:hAnsi="宋体" w:eastAsia="仿宋_GB2312" w:cs="宋体"/>
                <w:kern w:val="0"/>
                <w:sz w:val="28"/>
                <w:szCs w:val="28"/>
              </w:rPr>
              <w:t>2022年度本单位未计划安排会议、培训，未计划举办节庆、晚会、论坛、赛事活动。</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（四）政府采购情况</w:t>
            </w:r>
          </w:p>
        </w:tc>
      </w:tr>
      <w:tr>
        <w:tblPrEx>
          <w:tblLayout w:type="fixed"/>
          <w:tblCellMar>
            <w:top w:w="0" w:type="dxa"/>
            <w:left w:w="108" w:type="dxa"/>
            <w:bottom w:w="0" w:type="dxa"/>
            <w:right w:w="108" w:type="dxa"/>
          </w:tblCellMar>
        </w:tblPrEx>
        <w:trPr>
          <w:trHeight w:val="750" w:hRule="atLeast"/>
        </w:trPr>
        <w:tc>
          <w:tcPr>
            <w:tcW w:w="8522" w:type="dxa"/>
            <w:tcBorders>
              <w:top w:val="nil"/>
              <w:left w:val="nil"/>
              <w:bottom w:val="nil"/>
              <w:right w:val="nil"/>
            </w:tcBorders>
            <w:shd w:val="clear" w:color="auto" w:fill="auto"/>
            <w:vAlign w:val="center"/>
          </w:tcPr>
          <w:p>
            <w:pPr>
              <w:widowControl/>
              <w:ind w:firstLine="280" w:firstLineChars="100"/>
              <w:jc w:val="left"/>
              <w:rPr>
                <w:rFonts w:ascii="仿宋_GB2312" w:hAnsi="宋体" w:eastAsia="仿宋_GB2312" w:cs="宋体"/>
                <w:kern w:val="0"/>
                <w:sz w:val="28"/>
                <w:szCs w:val="28"/>
              </w:rPr>
            </w:pPr>
            <w:r>
              <w:rPr>
                <w:rFonts w:hint="eastAsia" w:ascii="仿宋_GB2312" w:hAnsi="宋体" w:eastAsia="仿宋_GB2312" w:cs="宋体"/>
                <w:kern w:val="0"/>
                <w:sz w:val="28"/>
                <w:szCs w:val="28"/>
              </w:rPr>
              <w:t>本单位2022年政府采购预算总额0万元，“2022年度本单位未安排政府采购预算。,</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（五）国有资产占有使用及新增资产配置情况</w:t>
            </w:r>
          </w:p>
        </w:tc>
      </w:tr>
      <w:tr>
        <w:tblPrEx>
          <w:tblLayout w:type="fixed"/>
          <w:tblCellMar>
            <w:top w:w="0" w:type="dxa"/>
            <w:left w:w="108" w:type="dxa"/>
            <w:bottom w:w="0" w:type="dxa"/>
            <w:right w:w="108" w:type="dxa"/>
          </w:tblCellMar>
        </w:tblPrEx>
        <w:trPr>
          <w:trHeight w:val="3000" w:hRule="atLeast"/>
        </w:trPr>
        <w:tc>
          <w:tcPr>
            <w:tcW w:w="8522" w:type="dxa"/>
            <w:tcBorders>
              <w:top w:val="nil"/>
              <w:left w:val="nil"/>
              <w:bottom w:val="nil"/>
              <w:right w:val="nil"/>
            </w:tcBorders>
            <w:shd w:val="clear" w:color="auto" w:fill="auto"/>
            <w:vAlign w:val="center"/>
          </w:tcPr>
          <w:p>
            <w:pPr>
              <w:widowControl/>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截至上年底，本单位共有车辆0辆，其中领导干部用车0辆，一般公务用车0辆，其他用车0辆。单位价值50万元以上通用设备0台，单位价值100万元以上专用设备0台。</w:t>
            </w:r>
            <w:r>
              <w:rPr>
                <w:rFonts w:hint="eastAsia" w:ascii="仿宋_GB2312" w:hAnsi="宋体" w:eastAsia="仿宋_GB2312" w:cs="宋体"/>
                <w:kern w:val="0"/>
                <w:sz w:val="28"/>
                <w:szCs w:val="28"/>
              </w:rPr>
              <w:br w:type="textWrapping"/>
            </w:r>
            <w:r>
              <w:rPr>
                <w:rFonts w:hint="eastAsia" w:ascii="仿宋_GB2312" w:hAnsi="宋体" w:eastAsia="仿宋_GB2312" w:cs="宋体"/>
                <w:kern w:val="0"/>
                <w:sz w:val="28"/>
                <w:szCs w:val="28"/>
              </w:rPr>
              <w:t xml:space="preserve">    2022年拟报废处置公务用车0辆，拟新增配置车辆0辆，其中领导干部用车0辆，一般公务用车0辆，其他用车0辆。</w:t>
            </w:r>
            <w:r>
              <w:rPr>
                <w:rFonts w:hint="eastAsia" w:ascii="仿宋_GB2312" w:hAnsi="宋体" w:eastAsia="仿宋_GB2312" w:cs="宋体"/>
                <w:kern w:val="0"/>
                <w:sz w:val="28"/>
                <w:szCs w:val="28"/>
              </w:rPr>
              <w:br w:type="textWrapping"/>
            </w:r>
            <w:r>
              <w:rPr>
                <w:rFonts w:hint="eastAsia" w:ascii="仿宋_GB2312" w:hAnsi="宋体" w:eastAsia="仿宋_GB2312" w:cs="宋体"/>
                <w:kern w:val="0"/>
                <w:sz w:val="28"/>
                <w:szCs w:val="28"/>
              </w:rPr>
              <w:t xml:space="preserve">    2022年拟新增配备领导干部用车0辆，一般公务用车0辆，其他用车0辆，新增配备单位价值50万元以上通用设备0台，单位价值100万元以上专用设备0台。</w:t>
            </w:r>
          </w:p>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2022年度本单位未计划处置或新增车辆、设备等。</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（六）预算绩效目标说明</w:t>
            </w:r>
          </w:p>
        </w:tc>
      </w:tr>
      <w:tr>
        <w:tblPrEx>
          <w:tblLayout w:type="fixed"/>
          <w:tblCellMar>
            <w:top w:w="0" w:type="dxa"/>
            <w:left w:w="108" w:type="dxa"/>
            <w:bottom w:w="0" w:type="dxa"/>
            <w:right w:w="108" w:type="dxa"/>
          </w:tblCellMar>
        </w:tblPrEx>
        <w:trPr>
          <w:trHeight w:val="1125"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本单位所有支出实行绩效目标管理。纳入2022年部门整体支出绩效目标的金额为507.43万元，其中，基本支出354.73万元，项目支出152.7万元，详见文尾附表中单位预算公开表格的表21-22。</w:t>
            </w:r>
          </w:p>
        </w:tc>
      </w:tr>
      <w:tr>
        <w:tblPrEx>
          <w:tblLayout w:type="fixed"/>
          <w:tblCellMar>
            <w:top w:w="0" w:type="dxa"/>
            <w:left w:w="108" w:type="dxa"/>
            <w:bottom w:w="0" w:type="dxa"/>
            <w:right w:w="108" w:type="dxa"/>
          </w:tblCellMar>
        </w:tblPrEx>
        <w:trPr>
          <w:trHeight w:val="499"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七、名词解释</w:t>
            </w:r>
          </w:p>
        </w:tc>
      </w:tr>
      <w:tr>
        <w:tblPrEx>
          <w:tblLayout w:type="fixed"/>
          <w:tblCellMar>
            <w:top w:w="0" w:type="dxa"/>
            <w:left w:w="108" w:type="dxa"/>
            <w:bottom w:w="0" w:type="dxa"/>
            <w:right w:w="108" w:type="dxa"/>
          </w:tblCellMar>
        </w:tblPrEx>
        <w:trPr>
          <w:trHeight w:val="3000" w:hRule="atLeast"/>
        </w:trPr>
        <w:tc>
          <w:tcPr>
            <w:tcW w:w="8522"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 xml:space="preserve">    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tblPrEx>
          <w:tblLayout w:type="fixed"/>
          <w:tblCellMar>
            <w:top w:w="0" w:type="dxa"/>
            <w:left w:w="108" w:type="dxa"/>
            <w:bottom w:w="0" w:type="dxa"/>
            <w:right w:w="108" w:type="dxa"/>
          </w:tblCellMar>
        </w:tblPrEx>
        <w:trPr>
          <w:trHeight w:val="900" w:hRule="atLeast"/>
        </w:trPr>
        <w:tc>
          <w:tcPr>
            <w:tcW w:w="8522" w:type="dxa"/>
            <w:tcBorders>
              <w:top w:val="nil"/>
              <w:left w:val="nil"/>
              <w:bottom w:val="nil"/>
              <w:right w:val="nil"/>
            </w:tcBorders>
            <w:shd w:val="clear" w:color="auto" w:fill="auto"/>
            <w:vAlign w:val="center"/>
          </w:tcPr>
          <w:p>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第二部分  2022年单位预算公开表格</w:t>
            </w:r>
          </w:p>
        </w:tc>
      </w:tr>
      <w:tr>
        <w:tblPrEx>
          <w:tblLayout w:type="fixed"/>
          <w:tblCellMar>
            <w:top w:w="0" w:type="dxa"/>
            <w:left w:w="108" w:type="dxa"/>
            <w:bottom w:w="0" w:type="dxa"/>
            <w:right w:w="108" w:type="dxa"/>
          </w:tblCellMar>
        </w:tblPrEx>
        <w:trPr>
          <w:trHeight w:val="8190" w:hRule="atLeast"/>
        </w:trPr>
        <w:tc>
          <w:tcPr>
            <w:tcW w:w="8522" w:type="dxa"/>
            <w:tcBorders>
              <w:top w:val="nil"/>
              <w:left w:val="nil"/>
              <w:bottom w:val="nil"/>
              <w:right w:val="nil"/>
            </w:tcBorders>
            <w:shd w:val="clear" w:color="auto" w:fill="auto"/>
            <w:vAlign w:val="center"/>
          </w:tcPr>
          <w:p>
            <w:pPr>
              <w:widowControl/>
              <w:numPr>
                <w:ilvl w:val="0"/>
                <w:numId w:val="2"/>
              </w:numPr>
              <w:jc w:val="lef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2、收入总表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3、支出总表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4、支出预算分类汇总表（按政府预算经济分类）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5、支出预算分类汇总表（按部门预算经济分类）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6、财政拨款收支总表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7、一般公共预算支出表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8、一般公共预算基本支出表-人员经费（工资福利支出）（按政府预算经济分类）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9、一般公共预算基本支出表-人员经费（工资福利支出）（按部门预算经济分类）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10、一般公共预算基本支出表-人员经费（对个人和家庭的补助）（按政府预算经济分类）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11、一般公共预算基本支出表-人员经费（对个人和家庭的补助）（按部门预算经济分类）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12、一般公共预算基本支出表-</w:t>
            </w:r>
            <w:r>
              <w:rPr>
                <w:rFonts w:hint="eastAsia" w:ascii="仿宋_GB2312" w:hAnsi="宋体" w:eastAsia="仿宋_GB2312" w:cs="宋体"/>
                <w:color w:val="000000"/>
                <w:kern w:val="0"/>
                <w:sz w:val="28"/>
                <w:szCs w:val="28"/>
                <w:lang w:eastAsia="zh-CN"/>
              </w:rPr>
              <w:t>公用</w:t>
            </w:r>
            <w:r>
              <w:rPr>
                <w:rFonts w:hint="eastAsia" w:ascii="仿宋_GB2312" w:hAnsi="宋体" w:eastAsia="仿宋_GB2312" w:cs="宋体"/>
                <w:color w:val="000000"/>
                <w:kern w:val="0"/>
                <w:sz w:val="28"/>
                <w:szCs w:val="28"/>
              </w:rPr>
              <w:t>经费（商品和服务支出）（按政府预算经济分类）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13、一般公共预算基本支出表-</w:t>
            </w:r>
            <w:r>
              <w:rPr>
                <w:rFonts w:hint="eastAsia" w:ascii="仿宋_GB2312" w:hAnsi="宋体" w:eastAsia="仿宋_GB2312" w:cs="宋体"/>
                <w:color w:val="000000"/>
                <w:kern w:val="0"/>
                <w:sz w:val="28"/>
                <w:szCs w:val="28"/>
                <w:lang w:eastAsia="zh-CN"/>
              </w:rPr>
              <w:t>公用</w:t>
            </w:r>
            <w:bookmarkStart w:id="0" w:name="_GoBack"/>
            <w:bookmarkEnd w:id="0"/>
            <w:r>
              <w:rPr>
                <w:rFonts w:hint="eastAsia" w:ascii="仿宋_GB2312" w:hAnsi="宋体" w:eastAsia="仿宋_GB2312" w:cs="宋体"/>
                <w:color w:val="000000"/>
                <w:kern w:val="0"/>
                <w:sz w:val="28"/>
                <w:szCs w:val="28"/>
              </w:rPr>
              <w:t>经费（商品和服务支出）（按部门预算经济分类）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14、一般公共预算“三公”经费支出表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15、政府性基金预算支出表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16、政府性基金预算支出分类汇总表（按政府预算经济分类）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17、政府性基金预算支出分类汇总表（按部门预算经济分类）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18、国有资本经营预算支出表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19、财政专户管理资金预算支出表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20、专项资金预算汇总表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21、项目支出绩效目标表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22、整体支出绩效目标表</w:t>
            </w:r>
          </w:p>
          <w:p>
            <w:pPr>
              <w:widowControl/>
              <w:numPr>
                <w:ilvl w:val="0"/>
                <w:numId w:val="0"/>
              </w:numPr>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val="en-US" w:eastAsia="zh-CN"/>
              </w:rPr>
              <w:t>23、一般公共预算基本支出表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注：以上单位预算公开报表中，空表表示本单位无相关收支情况。</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D4C3FC"/>
    <w:multiLevelType w:val="singleLevel"/>
    <w:tmpl w:val="C4D4C3FC"/>
    <w:lvl w:ilvl="0" w:tentative="0">
      <w:start w:val="1"/>
      <w:numFmt w:val="decimal"/>
      <w:suff w:val="nothing"/>
      <w:lvlText w:val="%1、"/>
      <w:lvlJc w:val="left"/>
    </w:lvl>
  </w:abstractNum>
  <w:abstractNum w:abstractNumId="1">
    <w:nsid w:val="D346824C"/>
    <w:multiLevelType w:val="singleLevel"/>
    <w:tmpl w:val="D346824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F0A"/>
    <w:rsid w:val="001E3F0A"/>
    <w:rsid w:val="004A3774"/>
    <w:rsid w:val="00A96348"/>
    <w:rsid w:val="14F10C8F"/>
    <w:rsid w:val="17D0486D"/>
    <w:rsid w:val="21B8359A"/>
    <w:rsid w:val="28BA19E9"/>
    <w:rsid w:val="2A783D3B"/>
    <w:rsid w:val="405A6712"/>
    <w:rsid w:val="4B0D6E69"/>
    <w:rsid w:val="50AF6C8D"/>
    <w:rsid w:val="5E08145D"/>
    <w:rsid w:val="69151573"/>
    <w:rsid w:val="6BA62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646</Words>
  <Characters>3684</Characters>
  <Lines>30</Lines>
  <Paragraphs>8</Paragraphs>
  <TotalTime>24</TotalTime>
  <ScaleCrop>false</ScaleCrop>
  <LinksUpToDate>false</LinksUpToDate>
  <CharactersWithSpaces>4322</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2023-06-01T06:19:00Z</dcterms:created>
  <dc:creator>微软用户</dc:creator>
  <cp:lastModifiedBy>仙贝麻麻</cp:lastModifiedBy>
  <dcterms:modified xsi:type="dcterms:W3CDTF">2023-09-25T01:12:05Z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8E7E14D0D1DD4957B52FF4CD575259F5</vt:lpwstr>
  </property>
</Properties>
</file>