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8522" w:type="dxa"/>
        <w:tblInd w:w="0" w:type="dxa"/>
        <w:tblLayout w:type="fixed"/>
        <w:tblCellMar>
          <w:top w:w="0" w:type="dxa"/>
          <w:left w:w="108" w:type="dxa"/>
          <w:bottom w:w="0" w:type="dxa"/>
          <w:right w:w="108" w:type="dxa"/>
        </w:tblCellMar>
      </w:tblPr>
      <w:tblGrid>
        <w:gridCol w:w="8522"/>
      </w:tblGrid>
      <w:tr>
        <w:tblPrEx>
          <w:tblLayout w:type="fixed"/>
          <w:tblCellMar>
            <w:top w:w="0" w:type="dxa"/>
            <w:left w:w="108" w:type="dxa"/>
            <w:bottom w:w="0" w:type="dxa"/>
            <w:right w:w="108" w:type="dxa"/>
          </w:tblCellMar>
        </w:tblPrEx>
        <w:trPr>
          <w:trHeight w:val="1380" w:hRule="atLeast"/>
        </w:trPr>
        <w:tc>
          <w:tcPr>
            <w:tcW w:w="8522" w:type="dxa"/>
            <w:tcBorders>
              <w:top w:val="nil"/>
              <w:left w:val="nil"/>
              <w:bottom w:val="nil"/>
              <w:right w:val="nil"/>
            </w:tcBorders>
            <w:shd w:val="clear" w:color="auto" w:fill="auto"/>
            <w:vAlign w:val="center"/>
          </w:tcPr>
          <w:p>
            <w:pPr>
              <w:widowControl/>
              <w:jc w:val="center"/>
              <w:rPr>
                <w:rFonts w:ascii="方正小标宋_GBK" w:hAnsi="宋体" w:eastAsia="方正小标宋_GBK" w:cs="宋体"/>
                <w:color w:val="000000"/>
                <w:kern w:val="0"/>
                <w:sz w:val="40"/>
                <w:szCs w:val="40"/>
              </w:rPr>
            </w:pPr>
            <w:r>
              <w:rPr>
                <w:rFonts w:hint="eastAsia" w:ascii="方正小标宋_GBK" w:hAnsi="宋体" w:eastAsia="方正小标宋_GBK" w:cs="宋体"/>
                <w:color w:val="000000"/>
                <w:kern w:val="0"/>
                <w:sz w:val="40"/>
                <w:szCs w:val="40"/>
              </w:rPr>
              <w:t>岳阳市农业综合检验检测中心2022年度单位预算</w:t>
            </w:r>
          </w:p>
        </w:tc>
      </w:tr>
      <w:tr>
        <w:tblPrEx>
          <w:tblLayout w:type="fixed"/>
          <w:tblCellMar>
            <w:top w:w="0" w:type="dxa"/>
            <w:left w:w="108" w:type="dxa"/>
            <w:bottom w:w="0" w:type="dxa"/>
            <w:right w:w="108" w:type="dxa"/>
          </w:tblCellMar>
        </w:tblPrEx>
        <w:trPr>
          <w:trHeight w:val="642" w:hRule="atLeast"/>
        </w:trPr>
        <w:tc>
          <w:tcPr>
            <w:tcW w:w="8522" w:type="dxa"/>
            <w:tcBorders>
              <w:top w:val="nil"/>
              <w:left w:val="nil"/>
              <w:bottom w:val="nil"/>
              <w:right w:val="nil"/>
            </w:tcBorders>
            <w:shd w:val="clear" w:color="auto" w:fill="auto"/>
            <w:vAlign w:val="center"/>
          </w:tcPr>
          <w:p>
            <w:pPr>
              <w:widowControl/>
              <w:jc w:val="center"/>
              <w:rPr>
                <w:rFonts w:ascii="黑体" w:hAnsi="黑体" w:eastAsia="黑体" w:cs="宋体"/>
                <w:kern w:val="0"/>
                <w:sz w:val="36"/>
                <w:szCs w:val="36"/>
              </w:rPr>
            </w:pPr>
            <w:r>
              <w:rPr>
                <w:rFonts w:hint="eastAsia" w:ascii="黑体" w:hAnsi="黑体" w:eastAsia="黑体" w:cs="宋体"/>
                <w:kern w:val="0"/>
                <w:sz w:val="36"/>
                <w:szCs w:val="36"/>
              </w:rPr>
              <w:t>目录</w:t>
            </w:r>
          </w:p>
        </w:tc>
      </w:tr>
      <w:tr>
        <w:tblPrEx>
          <w:tblLayout w:type="fixed"/>
          <w:tblCellMar>
            <w:top w:w="0" w:type="dxa"/>
            <w:left w:w="108" w:type="dxa"/>
            <w:bottom w:w="0" w:type="dxa"/>
            <w:right w:w="108" w:type="dxa"/>
          </w:tblCellMar>
        </w:tblPrEx>
        <w:trPr>
          <w:trHeight w:val="375"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第一部分  2022年单位预算说明</w:t>
            </w:r>
          </w:p>
        </w:tc>
      </w:tr>
      <w:tr>
        <w:tblPrEx>
          <w:tblLayout w:type="fixed"/>
          <w:tblCellMar>
            <w:top w:w="0" w:type="dxa"/>
            <w:left w:w="108" w:type="dxa"/>
            <w:bottom w:w="0" w:type="dxa"/>
            <w:right w:w="108" w:type="dxa"/>
          </w:tblCellMar>
        </w:tblPrEx>
        <w:trPr>
          <w:trHeight w:val="600"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第二部分  2022年单位预算公开表格</w:t>
            </w:r>
          </w:p>
        </w:tc>
      </w:tr>
      <w:tr>
        <w:tblPrEx>
          <w:tblLayout w:type="fixed"/>
          <w:tblCellMar>
            <w:top w:w="0" w:type="dxa"/>
            <w:left w:w="108" w:type="dxa"/>
            <w:bottom w:w="0" w:type="dxa"/>
            <w:right w:w="108" w:type="dxa"/>
          </w:tblCellMar>
        </w:tblPrEx>
        <w:trPr>
          <w:trHeight w:val="4482" w:hRule="atLeast"/>
        </w:trPr>
        <w:tc>
          <w:tcPr>
            <w:tcW w:w="8522" w:type="dxa"/>
            <w:vMerge w:val="restart"/>
            <w:tcBorders>
              <w:top w:val="nil"/>
              <w:left w:val="nil"/>
              <w:bottom w:val="nil"/>
              <w:right w:val="nil"/>
            </w:tcBorders>
            <w:shd w:val="clear" w:color="auto" w:fill="auto"/>
            <w:vAlign w:val="center"/>
          </w:tcPr>
          <w:p>
            <w:pPr>
              <w:widowControl/>
              <w:numPr>
                <w:ilvl w:val="0"/>
                <w:numId w:val="1"/>
              </w:numPr>
              <w:jc w:val="left"/>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收支总表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2、收入总表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3、支出总表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4、支出预算分类汇总表（按政府预算经济分类）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5、支出预算分类汇总表（按部门预算经济分类）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6、财政拨款收支总表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7、一般公共预算支出表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8、一般公共预算基本支出表-人员经费（工资福利支出）（按政府预算经济分类）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9、一般公共预算基本支出表-人员经费（工资福利支出）（按部门预算经济分类）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10、一般公共预算基本支出表-人员经费（对个人和家庭的补助）（按政府预算经济分类）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11、一般公共预算基本支出表-人员经费（对个人和家庭的补助）（按部门预算经济分类）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12、一般公共预算基本支出表-</w:t>
            </w:r>
            <w:r>
              <w:rPr>
                <w:rFonts w:hint="eastAsia" w:ascii="仿宋_GB2312" w:hAnsi="宋体" w:eastAsia="仿宋_GB2312" w:cs="宋体"/>
                <w:color w:val="000000"/>
                <w:kern w:val="0"/>
                <w:sz w:val="28"/>
                <w:szCs w:val="28"/>
                <w:lang w:eastAsia="zh-CN"/>
              </w:rPr>
              <w:t>公用</w:t>
            </w:r>
            <w:r>
              <w:rPr>
                <w:rFonts w:hint="eastAsia" w:ascii="仿宋_GB2312" w:hAnsi="宋体" w:eastAsia="仿宋_GB2312" w:cs="宋体"/>
                <w:color w:val="000000"/>
                <w:kern w:val="0"/>
                <w:sz w:val="28"/>
                <w:szCs w:val="28"/>
              </w:rPr>
              <w:t>经费（商品和服务支出）（按政府预算经济分类）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13、一般公共预算基本支出表-</w:t>
            </w:r>
            <w:r>
              <w:rPr>
                <w:rFonts w:hint="eastAsia" w:ascii="仿宋_GB2312" w:hAnsi="宋体" w:eastAsia="仿宋_GB2312" w:cs="宋体"/>
                <w:color w:val="000000"/>
                <w:kern w:val="0"/>
                <w:sz w:val="28"/>
                <w:szCs w:val="28"/>
                <w:lang w:eastAsia="zh-CN"/>
              </w:rPr>
              <w:t>公用</w:t>
            </w:r>
            <w:r>
              <w:rPr>
                <w:rFonts w:hint="eastAsia" w:ascii="仿宋_GB2312" w:hAnsi="宋体" w:eastAsia="仿宋_GB2312" w:cs="宋体"/>
                <w:color w:val="000000"/>
                <w:kern w:val="0"/>
                <w:sz w:val="28"/>
                <w:szCs w:val="28"/>
              </w:rPr>
              <w:t>经费（商品和服务支出）（按部门预算经济分类）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14、一般公共预算“三公”经费支出表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15、政府性基金预算支出表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16、政府性基金预算支出分类汇总表（按政府预算经济分类）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17、政府性基金预算支出分类汇总表（按部门预算经济分类）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18、国有资本经营预算支出表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19、财政专户管理资金预算支出表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20、专项资金预算汇总表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21、项目支出绩效目标表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22、整体支出绩效目标表</w:t>
            </w:r>
          </w:p>
          <w:p>
            <w:pPr>
              <w:widowControl/>
              <w:numPr>
                <w:ilvl w:val="0"/>
                <w:numId w:val="0"/>
              </w:numPr>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lang w:val="en-US" w:eastAsia="zh-CN"/>
              </w:rPr>
              <w:t>23、一般公共预算基本支出表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注：以上单位预算公开报表中，空表表示本单位无相关收支情况。</w:t>
            </w:r>
          </w:p>
        </w:tc>
      </w:tr>
      <w:tr>
        <w:tblPrEx>
          <w:tblLayout w:type="fixed"/>
          <w:tblCellMar>
            <w:top w:w="0" w:type="dxa"/>
            <w:left w:w="108" w:type="dxa"/>
            <w:bottom w:w="0" w:type="dxa"/>
            <w:right w:w="108" w:type="dxa"/>
          </w:tblCellMar>
        </w:tblPrEx>
        <w:trPr>
          <w:trHeight w:val="4482" w:hRule="atLeast"/>
        </w:trPr>
        <w:tc>
          <w:tcPr>
            <w:tcW w:w="8522" w:type="dxa"/>
            <w:vMerge w:val="continue"/>
            <w:tcBorders>
              <w:top w:val="nil"/>
              <w:left w:val="nil"/>
              <w:bottom w:val="nil"/>
              <w:right w:val="nil"/>
            </w:tcBorders>
            <w:vAlign w:val="center"/>
          </w:tcPr>
          <w:p>
            <w:pPr>
              <w:widowControl/>
              <w:jc w:val="left"/>
              <w:rPr>
                <w:rFonts w:ascii="仿宋_GB2312" w:hAnsi="宋体" w:eastAsia="仿宋_GB2312" w:cs="宋体"/>
                <w:color w:val="000000"/>
                <w:kern w:val="0"/>
                <w:sz w:val="28"/>
                <w:szCs w:val="28"/>
              </w:rPr>
            </w:pPr>
          </w:p>
        </w:tc>
      </w:tr>
      <w:tr>
        <w:tblPrEx>
          <w:tblLayout w:type="fixed"/>
          <w:tblCellMar>
            <w:top w:w="0" w:type="dxa"/>
            <w:left w:w="108" w:type="dxa"/>
            <w:bottom w:w="0" w:type="dxa"/>
            <w:right w:w="108" w:type="dxa"/>
          </w:tblCellMar>
        </w:tblPrEx>
        <w:trPr>
          <w:trHeight w:val="840" w:hRule="atLeast"/>
        </w:trPr>
        <w:tc>
          <w:tcPr>
            <w:tcW w:w="8522" w:type="dxa"/>
            <w:tcBorders>
              <w:top w:val="nil"/>
              <w:left w:val="nil"/>
              <w:bottom w:val="nil"/>
              <w:right w:val="nil"/>
            </w:tcBorders>
            <w:shd w:val="clear" w:color="auto" w:fill="auto"/>
            <w:vAlign w:val="center"/>
          </w:tcPr>
          <w:p>
            <w:pPr>
              <w:widowControl/>
              <w:jc w:val="center"/>
              <w:rPr>
                <w:rFonts w:ascii="黑体" w:hAnsi="黑体" w:eastAsia="黑体" w:cs="宋体"/>
                <w:color w:val="000000"/>
                <w:kern w:val="0"/>
                <w:sz w:val="36"/>
                <w:szCs w:val="36"/>
              </w:rPr>
            </w:pPr>
            <w:r>
              <w:rPr>
                <w:rFonts w:hint="eastAsia" w:ascii="黑体" w:hAnsi="黑体" w:eastAsia="黑体" w:cs="宋体"/>
                <w:color w:val="000000"/>
                <w:kern w:val="0"/>
                <w:sz w:val="36"/>
                <w:szCs w:val="36"/>
              </w:rPr>
              <w:t>第一部分  2022年单位预算说明</w:t>
            </w:r>
          </w:p>
        </w:tc>
      </w:tr>
      <w:tr>
        <w:tblPrEx>
          <w:tblLayout w:type="fixed"/>
          <w:tblCellMar>
            <w:top w:w="0" w:type="dxa"/>
            <w:left w:w="108" w:type="dxa"/>
            <w:bottom w:w="0" w:type="dxa"/>
            <w:right w:w="108" w:type="dxa"/>
          </w:tblCellMar>
        </w:tblPrEx>
        <w:trPr>
          <w:trHeight w:val="2625" w:hRule="atLeast"/>
        </w:trPr>
        <w:tc>
          <w:tcPr>
            <w:tcW w:w="8522" w:type="dxa"/>
            <w:tcBorders>
              <w:top w:val="nil"/>
              <w:left w:val="nil"/>
              <w:bottom w:val="nil"/>
              <w:right w:val="nil"/>
            </w:tcBorders>
            <w:shd w:val="clear" w:color="auto" w:fill="auto"/>
            <w:vAlign w:val="center"/>
          </w:tcPr>
          <w:p>
            <w:pPr>
              <w:widowControl/>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一、单位基本概况</w:t>
            </w:r>
          </w:p>
          <w:p>
            <w:pPr>
              <w:widowControl/>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（一）职能职责</w:t>
            </w:r>
          </w:p>
          <w:p>
            <w:pPr>
              <w:widowControl/>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岳阳市农业综合检验检测中心是由岳阳市农业农村局管理的公益一类副处级机构，主要职责为：</w:t>
            </w:r>
          </w:p>
          <w:p>
            <w:pPr>
              <w:widowControl/>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负责全市农产品产地认定，农业生态环境质量安全检验检测，并提供专业技术指导与服务；承担农业环境质量标准的信息搜集、整理分析及审查工作；承担全市农产品生产、仓储、运输环节质量安全风险监测、鉴定和评价；承担农产品质量安全的例行监测及监督抽查。</w:t>
            </w:r>
          </w:p>
          <w:p>
            <w:pPr>
              <w:widowControl/>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（二）机构设置</w:t>
            </w:r>
          </w:p>
          <w:p>
            <w:pPr>
              <w:widowControl/>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市委编办批准（岳编办通〔2018〕103号）成立的副处级公益一类全额拨款事业单位，定编20人，下设综合科、质量控制科、种植产品检验检测科、畜禽产品检验检测科、水产品检验检测科5个科室。其中主任（副处）1人、副主任（正科）3人，科长（副科）5人，其他专技人员共6人。</w:t>
            </w:r>
          </w:p>
          <w:p>
            <w:pPr>
              <w:widowControl/>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二、单位预算单位构成</w:t>
            </w:r>
          </w:p>
          <w:p>
            <w:pPr>
              <w:widowControl/>
              <w:jc w:val="left"/>
              <w:rPr>
                <w:rFonts w:ascii="仿宋_GB2312" w:hAnsi="宋体" w:eastAsia="仿宋_GB2312" w:cs="宋体"/>
                <w:kern w:val="0"/>
                <w:sz w:val="28"/>
                <w:szCs w:val="28"/>
              </w:rPr>
            </w:pPr>
            <w:r>
              <w:rPr>
                <w:rFonts w:hint="eastAsia" w:ascii="仿宋_GB2312" w:hAnsi="宋体" w:eastAsia="仿宋_GB2312" w:cs="宋体"/>
                <w:kern w:val="0"/>
                <w:sz w:val="28"/>
                <w:szCs w:val="28"/>
              </w:rPr>
              <w:t>本单位预算仅含本级预算。</w:t>
            </w:r>
          </w:p>
        </w:tc>
      </w:tr>
      <w:tr>
        <w:tblPrEx>
          <w:tblLayout w:type="fixed"/>
          <w:tblCellMar>
            <w:top w:w="0" w:type="dxa"/>
            <w:left w:w="108" w:type="dxa"/>
            <w:bottom w:w="0" w:type="dxa"/>
            <w:right w:w="108" w:type="dxa"/>
          </w:tblCellMar>
        </w:tblPrEx>
        <w:trPr>
          <w:trHeight w:val="499"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三、单位收支总体情况</w:t>
            </w:r>
          </w:p>
        </w:tc>
      </w:tr>
      <w:tr>
        <w:tblPrEx>
          <w:tblLayout w:type="fixed"/>
          <w:tblCellMar>
            <w:top w:w="0" w:type="dxa"/>
            <w:left w:w="108" w:type="dxa"/>
            <w:bottom w:w="0" w:type="dxa"/>
            <w:right w:w="108" w:type="dxa"/>
          </w:tblCellMar>
        </w:tblPrEx>
        <w:trPr>
          <w:trHeight w:val="499"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（一）收入预算</w:t>
            </w:r>
          </w:p>
        </w:tc>
      </w:tr>
      <w:tr>
        <w:tblPrEx>
          <w:tblLayout w:type="fixed"/>
          <w:tblCellMar>
            <w:top w:w="0" w:type="dxa"/>
            <w:left w:w="108" w:type="dxa"/>
            <w:bottom w:w="0" w:type="dxa"/>
            <w:right w:w="108" w:type="dxa"/>
          </w:tblCellMar>
        </w:tblPrEx>
        <w:trPr>
          <w:trHeight w:val="2250"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 xml:space="preserve">    包括一般公共预算、政府性基金、国有资本经营预算等财政拨款收入，以及经营收入、事业收入等单位资金。2022年本单位收入预算181.29万元，其中，一般公共预算拨款181.29万元，政府性基金预算拨款0万元，所以公开的附件15-17（政府性基金预算）为空,国有资本经营预算拨款0万元，所以公开的附表18（国有资本经营预算）为空,财政专户管理资金0万元，所以公开的附表19表（财政专户管理资金预算）为空，上级补助收入0万元，事业单位经营收入0万元，上年结转结余0万元。</w:t>
            </w:r>
          </w:p>
        </w:tc>
      </w:tr>
      <w:tr>
        <w:tblPrEx>
          <w:tblLayout w:type="fixed"/>
          <w:tblCellMar>
            <w:top w:w="0" w:type="dxa"/>
            <w:left w:w="108" w:type="dxa"/>
            <w:bottom w:w="0" w:type="dxa"/>
            <w:right w:w="108" w:type="dxa"/>
          </w:tblCellMar>
        </w:tblPrEx>
        <w:trPr>
          <w:trHeight w:val="499" w:hRule="atLeast"/>
        </w:trPr>
        <w:tc>
          <w:tcPr>
            <w:tcW w:w="8522" w:type="dxa"/>
            <w:tcBorders>
              <w:top w:val="nil"/>
              <w:left w:val="nil"/>
              <w:bottom w:val="nil"/>
              <w:right w:val="nil"/>
            </w:tcBorders>
            <w:shd w:val="clear" w:color="auto" w:fill="auto"/>
            <w:vAlign w:val="center"/>
          </w:tcPr>
          <w:p>
            <w:pPr>
              <w:widowControl/>
              <w:ind w:firstLine="420" w:firstLineChars="150"/>
              <w:jc w:val="left"/>
              <w:rPr>
                <w:rFonts w:ascii="仿宋_GB2312" w:hAnsi="宋体" w:eastAsia="仿宋_GB2312" w:cs="宋体"/>
                <w:kern w:val="0"/>
                <w:sz w:val="28"/>
                <w:szCs w:val="28"/>
              </w:rPr>
            </w:pPr>
            <w:r>
              <w:rPr>
                <w:rFonts w:hint="eastAsia" w:ascii="仿宋_GB2312" w:hAnsi="宋体" w:eastAsia="仿宋_GB2312" w:cs="宋体"/>
                <w:kern w:val="0"/>
                <w:sz w:val="28"/>
                <w:szCs w:val="28"/>
              </w:rPr>
              <w:t>收入较去年增加7.5万元，主要是因为2022年财政实行全额预算，把工会经费和年度绩效纳入预算总额，导致预算增加。</w:t>
            </w:r>
          </w:p>
        </w:tc>
      </w:tr>
      <w:tr>
        <w:tblPrEx>
          <w:tblLayout w:type="fixed"/>
          <w:tblCellMar>
            <w:top w:w="0" w:type="dxa"/>
            <w:left w:w="108" w:type="dxa"/>
            <w:bottom w:w="0" w:type="dxa"/>
            <w:right w:w="108" w:type="dxa"/>
          </w:tblCellMar>
        </w:tblPrEx>
        <w:trPr>
          <w:trHeight w:val="499"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（二）支出预算</w:t>
            </w:r>
          </w:p>
        </w:tc>
      </w:tr>
      <w:tr>
        <w:tblPrEx>
          <w:tblLayout w:type="fixed"/>
          <w:tblCellMar>
            <w:top w:w="0" w:type="dxa"/>
            <w:left w:w="108" w:type="dxa"/>
            <w:bottom w:w="0" w:type="dxa"/>
            <w:right w:w="108" w:type="dxa"/>
          </w:tblCellMar>
        </w:tblPrEx>
        <w:trPr>
          <w:trHeight w:val="1125" w:hRule="atLeast"/>
        </w:trPr>
        <w:tc>
          <w:tcPr>
            <w:tcW w:w="8522" w:type="dxa"/>
            <w:tcBorders>
              <w:top w:val="nil"/>
              <w:left w:val="nil"/>
              <w:bottom w:val="nil"/>
              <w:right w:val="nil"/>
            </w:tcBorders>
            <w:shd w:val="clear" w:color="auto" w:fill="auto"/>
            <w:vAlign w:val="center"/>
          </w:tcPr>
          <w:p>
            <w:pPr>
              <w:widowControl/>
              <w:ind w:firstLine="560"/>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2022年本单位支出预算181.29万元，其中，社会保障和就业支出13.65万元，占比7.53%，卫生健康支出6.01万元，占比3.32%，农林水支出151.16万元，占比83.38%，住房保障支出10.47万元，占比5.78%。支出较去年增加7.5万元，其中基本支出减少11.46万元，项目支出增加18.96万元。其中基本支出较上年减少主要是因为单位改革合并，调出3人至其他预算单位；项目支出增加主要是因为2022年财政实行全额预算，把工会经费和年度绩效纳入预算总额，导致预算增加。</w:t>
            </w:r>
          </w:p>
          <w:p>
            <w:pPr>
              <w:widowControl/>
              <w:ind w:firstLine="560"/>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 xml:space="preserve"> </w:t>
            </w:r>
            <w:r>
              <w:rPr>
                <w:rFonts w:hint="eastAsia" w:ascii="仿宋_GB2312" w:hAnsi="宋体" w:eastAsia="仿宋_GB2312" w:cs="宋体"/>
                <w:kern w:val="0"/>
                <w:sz w:val="28"/>
                <w:szCs w:val="28"/>
                <w:lang w:eastAsia="zh-CN"/>
              </w:rPr>
              <w:t>说明：</w:t>
            </w:r>
            <w:r>
              <w:rPr>
                <w:rFonts w:hint="eastAsia" w:ascii="仿宋_GB2312" w:hAnsi="宋体" w:eastAsia="仿宋_GB2312" w:cs="宋体"/>
                <w:kern w:val="0"/>
                <w:sz w:val="28"/>
                <w:szCs w:val="28"/>
              </w:rPr>
              <w:t>2022年预算公开文档第三大点（对应表3）、第四大点（对应表7）中的金额和百分比，由于预算编制时金额明细到了“分”，而公开表格显示和公开文档取数只到“百元”，可能导致0.01的尾数差异。</w:t>
            </w:r>
          </w:p>
        </w:tc>
      </w:tr>
      <w:tr>
        <w:tblPrEx>
          <w:tblLayout w:type="fixed"/>
          <w:tblCellMar>
            <w:top w:w="0" w:type="dxa"/>
            <w:left w:w="108" w:type="dxa"/>
            <w:bottom w:w="0" w:type="dxa"/>
            <w:right w:w="108" w:type="dxa"/>
          </w:tblCellMar>
        </w:tblPrEx>
        <w:trPr>
          <w:trHeight w:val="499"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四、一般公共预算拨款支出预算</w:t>
            </w:r>
          </w:p>
        </w:tc>
      </w:tr>
      <w:tr>
        <w:tblPrEx>
          <w:tblLayout w:type="fixed"/>
          <w:tblCellMar>
            <w:top w:w="0" w:type="dxa"/>
            <w:left w:w="108" w:type="dxa"/>
            <w:bottom w:w="0" w:type="dxa"/>
            <w:right w:w="108" w:type="dxa"/>
          </w:tblCellMar>
        </w:tblPrEx>
        <w:trPr>
          <w:trHeight w:val="1260"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 xml:space="preserve">    2022年本单位一般公共预算拨款支出预算181.29万元，其中，社会保障和就业支出13.65万元，占比7.53%，卫生健康支出6.01万元，占比3.32%，农林水支出151.16万元，占比83.38%，住房保障支出10.47万元，占比5.78%。具体安排情况如下：</w:t>
            </w:r>
          </w:p>
        </w:tc>
      </w:tr>
      <w:tr>
        <w:tblPrEx>
          <w:tblLayout w:type="fixed"/>
          <w:tblCellMar>
            <w:top w:w="0" w:type="dxa"/>
            <w:left w:w="108" w:type="dxa"/>
            <w:bottom w:w="0" w:type="dxa"/>
            <w:right w:w="108" w:type="dxa"/>
          </w:tblCellMar>
        </w:tblPrEx>
        <w:trPr>
          <w:trHeight w:val="1125"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 xml:space="preserve">    （一）基本支出：2022年基本支出年初预算数为132.33万元（数据来源见表7），是指为保障单位机构正常运转、完成日常工作任务而发生的各项支出，包括用于基本工资、津贴补贴等人员经费以及办公费、印刷费、水电费、差旅费等日常公用经费。</w:t>
            </w:r>
          </w:p>
        </w:tc>
      </w:tr>
      <w:tr>
        <w:tblPrEx>
          <w:tblLayout w:type="fixed"/>
          <w:tblCellMar>
            <w:top w:w="0" w:type="dxa"/>
            <w:left w:w="108" w:type="dxa"/>
            <w:bottom w:w="0" w:type="dxa"/>
            <w:right w:w="108" w:type="dxa"/>
          </w:tblCellMar>
        </w:tblPrEx>
        <w:trPr>
          <w:trHeight w:val="1500"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kern w:val="0"/>
                <w:sz w:val="28"/>
                <w:szCs w:val="28"/>
              </w:rPr>
            </w:pPr>
            <w:r>
              <w:rPr>
                <w:rFonts w:hint="eastAsia" w:ascii="仿宋_GB2312" w:hAnsi="宋体" w:eastAsia="仿宋_GB2312" w:cs="宋体"/>
                <w:kern w:val="0"/>
                <w:sz w:val="28"/>
                <w:szCs w:val="28"/>
              </w:rPr>
              <w:t xml:space="preserve">    （二）项目支出：2022年项目支出年初预算数为48.96万元（数据来源见表5），是指单位为完成特定行政工作任务或事业发展目标而发生的支出，包括有关业务工作经费、运行维护经费等。其中：业务工作经费支出0万元，运行维护经费48.96万元主要用于单位事业运行</w:t>
            </w:r>
            <w:r>
              <w:rPr>
                <w:rFonts w:hint="eastAsia" w:ascii="仿宋_GB2312" w:hAnsi="宋体" w:eastAsia="仿宋_GB2312" w:cs="宋体"/>
                <w:kern w:val="0"/>
                <w:sz w:val="28"/>
                <w:szCs w:val="28"/>
                <w:lang w:eastAsia="zh-CN"/>
              </w:rPr>
              <w:t>、</w:t>
            </w:r>
            <w:r>
              <w:rPr>
                <w:rFonts w:hint="eastAsia" w:ascii="仿宋_GB2312" w:hAnsi="宋体" w:eastAsia="仿宋_GB2312" w:cs="宋体"/>
                <w:kern w:val="0"/>
                <w:sz w:val="28"/>
                <w:szCs w:val="28"/>
                <w:lang w:val="en-US" w:eastAsia="zh-CN"/>
              </w:rPr>
              <w:t>工会经费、伙食补贴、物业服务补贴、综合绩效和平安创建奖</w:t>
            </w:r>
            <w:r>
              <w:rPr>
                <w:rFonts w:hint="eastAsia" w:ascii="仿宋_GB2312" w:hAnsi="宋体" w:eastAsia="仿宋_GB2312" w:cs="宋体"/>
                <w:kern w:val="0"/>
                <w:sz w:val="28"/>
                <w:szCs w:val="28"/>
              </w:rPr>
              <w:t>等方面。</w:t>
            </w:r>
          </w:p>
        </w:tc>
      </w:tr>
      <w:tr>
        <w:tblPrEx>
          <w:tblLayout w:type="fixed"/>
          <w:tblCellMar>
            <w:top w:w="0" w:type="dxa"/>
            <w:left w:w="108" w:type="dxa"/>
            <w:bottom w:w="0" w:type="dxa"/>
            <w:right w:w="108" w:type="dxa"/>
          </w:tblCellMar>
        </w:tblPrEx>
        <w:trPr>
          <w:trHeight w:val="499"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五、政府性基金预算支出</w:t>
            </w:r>
          </w:p>
        </w:tc>
      </w:tr>
      <w:tr>
        <w:tblPrEx>
          <w:tblLayout w:type="fixed"/>
          <w:tblCellMar>
            <w:top w:w="0" w:type="dxa"/>
            <w:left w:w="108" w:type="dxa"/>
            <w:bottom w:w="0" w:type="dxa"/>
            <w:right w:w="108" w:type="dxa"/>
          </w:tblCellMar>
        </w:tblPrEx>
        <w:trPr>
          <w:trHeight w:val="499"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 xml:space="preserve">    2022年度本单位无政府性基金安排的支出，所以公开的附件15-17（政府性基金预算）为空。</w:t>
            </w:r>
          </w:p>
        </w:tc>
      </w:tr>
      <w:tr>
        <w:tblPrEx>
          <w:tblLayout w:type="fixed"/>
          <w:tblCellMar>
            <w:top w:w="0" w:type="dxa"/>
            <w:left w:w="108" w:type="dxa"/>
            <w:bottom w:w="0" w:type="dxa"/>
            <w:right w:w="108" w:type="dxa"/>
          </w:tblCellMar>
        </w:tblPrEx>
        <w:trPr>
          <w:trHeight w:val="499"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六、其他重要事项的情况说明</w:t>
            </w:r>
          </w:p>
        </w:tc>
      </w:tr>
      <w:tr>
        <w:tblPrEx>
          <w:tblLayout w:type="fixed"/>
          <w:tblCellMar>
            <w:top w:w="0" w:type="dxa"/>
            <w:left w:w="108" w:type="dxa"/>
            <w:bottom w:w="0" w:type="dxa"/>
            <w:right w:w="108" w:type="dxa"/>
          </w:tblCellMar>
        </w:tblPrEx>
        <w:trPr>
          <w:trHeight w:val="499"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（一）机关运行经费</w:t>
            </w:r>
          </w:p>
        </w:tc>
      </w:tr>
      <w:tr>
        <w:tblPrEx>
          <w:tblLayout w:type="fixed"/>
          <w:tblCellMar>
            <w:top w:w="0" w:type="dxa"/>
            <w:left w:w="108" w:type="dxa"/>
            <w:bottom w:w="0" w:type="dxa"/>
            <w:right w:w="108" w:type="dxa"/>
          </w:tblCellMar>
        </w:tblPrEx>
        <w:trPr>
          <w:trHeight w:val="859"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kern w:val="0"/>
                <w:sz w:val="28"/>
                <w:szCs w:val="28"/>
              </w:rPr>
            </w:pPr>
            <w:r>
              <w:rPr>
                <w:rFonts w:hint="eastAsia" w:ascii="仿宋_GB2312" w:hAnsi="宋体" w:eastAsia="仿宋_GB2312" w:cs="宋体"/>
                <w:kern w:val="0"/>
                <w:sz w:val="28"/>
                <w:szCs w:val="28"/>
              </w:rPr>
              <w:t xml:space="preserve">    本单位2022年机关运行经费当年一般公共预算拨款14.91万元（数据来源见表13），比上一年减少0.46万元，减少2.9%。主要原因是因为单位改革合并，调出3人至其他预算单位。</w:t>
            </w:r>
          </w:p>
        </w:tc>
      </w:tr>
      <w:tr>
        <w:tblPrEx>
          <w:tblLayout w:type="fixed"/>
          <w:tblCellMar>
            <w:top w:w="0" w:type="dxa"/>
            <w:left w:w="108" w:type="dxa"/>
            <w:bottom w:w="0" w:type="dxa"/>
            <w:right w:w="108" w:type="dxa"/>
          </w:tblCellMar>
        </w:tblPrEx>
        <w:trPr>
          <w:trHeight w:val="499"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（二）“三公”经费预算</w:t>
            </w:r>
          </w:p>
        </w:tc>
      </w:tr>
      <w:tr>
        <w:tblPrEx>
          <w:tblLayout w:type="fixed"/>
          <w:tblCellMar>
            <w:top w:w="0" w:type="dxa"/>
            <w:left w:w="108" w:type="dxa"/>
            <w:bottom w:w="0" w:type="dxa"/>
            <w:right w:w="108" w:type="dxa"/>
          </w:tblCellMar>
        </w:tblPrEx>
        <w:trPr>
          <w:trHeight w:val="1125"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kern w:val="0"/>
                <w:sz w:val="28"/>
                <w:szCs w:val="28"/>
              </w:rPr>
            </w:pPr>
            <w:r>
              <w:rPr>
                <w:rFonts w:hint="eastAsia" w:ascii="仿宋_GB2312" w:hAnsi="宋体" w:eastAsia="仿宋_GB2312" w:cs="宋体"/>
                <w:kern w:val="0"/>
                <w:sz w:val="28"/>
                <w:szCs w:val="28"/>
              </w:rPr>
              <w:t xml:space="preserve">    本单位2022年“三公”经费预算数5万元（数据来源见表14），其中，公务接待费5万元，因公出国（境）费0万元，公务用车购置及运行费0万元，其中公务用车购置费0万元，公务用车运行费0万元。比上一年减少0万元，降低0%，主要原因是单位人员不变，厉行节俭。</w:t>
            </w:r>
          </w:p>
        </w:tc>
      </w:tr>
      <w:tr>
        <w:tblPrEx>
          <w:tblLayout w:type="fixed"/>
          <w:tblCellMar>
            <w:top w:w="0" w:type="dxa"/>
            <w:left w:w="108" w:type="dxa"/>
            <w:bottom w:w="0" w:type="dxa"/>
            <w:right w:w="108" w:type="dxa"/>
          </w:tblCellMar>
        </w:tblPrEx>
        <w:trPr>
          <w:trHeight w:val="499"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（三）一般性支出情况</w:t>
            </w:r>
          </w:p>
        </w:tc>
      </w:tr>
      <w:tr>
        <w:tblPrEx>
          <w:tblLayout w:type="fixed"/>
          <w:tblCellMar>
            <w:top w:w="0" w:type="dxa"/>
            <w:left w:w="108" w:type="dxa"/>
            <w:bottom w:w="0" w:type="dxa"/>
            <w:right w:w="108" w:type="dxa"/>
          </w:tblCellMar>
        </w:tblPrEx>
        <w:trPr>
          <w:trHeight w:val="1875"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kern w:val="0"/>
                <w:sz w:val="28"/>
                <w:szCs w:val="28"/>
              </w:rPr>
            </w:pPr>
            <w:r>
              <w:rPr>
                <w:rFonts w:hint="eastAsia" w:ascii="仿宋_GB2312" w:hAnsi="宋体" w:eastAsia="仿宋_GB2312" w:cs="宋体"/>
                <w:kern w:val="0"/>
                <w:sz w:val="28"/>
                <w:szCs w:val="28"/>
              </w:rPr>
              <w:t xml:space="preserve">    本单位2022年会议费预算0万元</w:t>
            </w:r>
            <w:r>
              <w:rPr>
                <w:rFonts w:hint="eastAsia" w:ascii="仿宋_GB2312" w:hAnsi="宋体" w:eastAsia="仿宋_GB2312" w:cs="宋体"/>
                <w:kern w:val="0"/>
                <w:sz w:val="28"/>
                <w:szCs w:val="28"/>
                <w:lang w:eastAsia="zh-CN"/>
              </w:rPr>
              <w:t>，</w:t>
            </w:r>
            <w:r>
              <w:rPr>
                <w:rFonts w:hint="eastAsia" w:ascii="仿宋_GB2312" w:hAnsi="宋体" w:eastAsia="仿宋_GB2312" w:cs="宋体"/>
                <w:kern w:val="0"/>
                <w:sz w:val="28"/>
                <w:szCs w:val="28"/>
                <w:lang w:val="en-US" w:eastAsia="zh-CN"/>
              </w:rPr>
              <w:t>培训费预算0元。</w:t>
            </w:r>
            <w:r>
              <w:rPr>
                <w:rFonts w:hint="eastAsia" w:ascii="仿宋_GB2312" w:hAnsi="宋体" w:eastAsia="仿宋_GB2312" w:cs="宋体"/>
                <w:kern w:val="0"/>
                <w:sz w:val="28"/>
                <w:szCs w:val="28"/>
              </w:rPr>
              <w:t>2022年度本单位未计划安排会议、培训，未计划举办节庆、晚会、论坛、赛事活动。”</w:t>
            </w:r>
          </w:p>
        </w:tc>
      </w:tr>
      <w:tr>
        <w:tblPrEx>
          <w:tblLayout w:type="fixed"/>
          <w:tblCellMar>
            <w:top w:w="0" w:type="dxa"/>
            <w:left w:w="108" w:type="dxa"/>
            <w:bottom w:w="0" w:type="dxa"/>
            <w:right w:w="108" w:type="dxa"/>
          </w:tblCellMar>
        </w:tblPrEx>
        <w:trPr>
          <w:trHeight w:val="499"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（四）政府采购情况</w:t>
            </w:r>
          </w:p>
        </w:tc>
      </w:tr>
      <w:tr>
        <w:tblPrEx>
          <w:tblLayout w:type="fixed"/>
          <w:tblCellMar>
            <w:top w:w="0" w:type="dxa"/>
            <w:left w:w="108" w:type="dxa"/>
            <w:bottom w:w="0" w:type="dxa"/>
            <w:right w:w="108" w:type="dxa"/>
          </w:tblCellMar>
        </w:tblPrEx>
        <w:trPr>
          <w:trHeight w:val="750" w:hRule="atLeast"/>
        </w:trPr>
        <w:tc>
          <w:tcPr>
            <w:tcW w:w="8522" w:type="dxa"/>
            <w:tcBorders>
              <w:top w:val="nil"/>
              <w:left w:val="nil"/>
              <w:bottom w:val="nil"/>
              <w:right w:val="nil"/>
            </w:tcBorders>
            <w:shd w:val="clear" w:color="auto" w:fill="auto"/>
            <w:vAlign w:val="center"/>
          </w:tcPr>
          <w:p>
            <w:pPr>
              <w:widowControl/>
              <w:ind w:firstLine="420" w:firstLineChars="150"/>
              <w:jc w:val="left"/>
              <w:rPr>
                <w:rFonts w:ascii="仿宋_GB2312" w:hAnsi="宋体" w:eastAsia="仿宋_GB2312" w:cs="宋体"/>
                <w:kern w:val="0"/>
                <w:sz w:val="28"/>
                <w:szCs w:val="28"/>
              </w:rPr>
            </w:pPr>
            <w:r>
              <w:rPr>
                <w:rFonts w:hint="eastAsia" w:ascii="仿宋_GB2312" w:hAnsi="宋体" w:eastAsia="仿宋_GB2312" w:cs="宋体"/>
                <w:kern w:val="0"/>
                <w:sz w:val="28"/>
                <w:szCs w:val="28"/>
              </w:rPr>
              <w:t>本单位2022年政府采购预算总额0万元，2022年度本单位未安排政府采购预算。</w:t>
            </w:r>
          </w:p>
        </w:tc>
      </w:tr>
      <w:tr>
        <w:tblPrEx>
          <w:tblLayout w:type="fixed"/>
          <w:tblCellMar>
            <w:top w:w="0" w:type="dxa"/>
            <w:left w:w="108" w:type="dxa"/>
            <w:bottom w:w="0" w:type="dxa"/>
            <w:right w:w="108" w:type="dxa"/>
          </w:tblCellMar>
        </w:tblPrEx>
        <w:trPr>
          <w:trHeight w:val="499"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（五）国有资产占有使用及新增资产配置情况</w:t>
            </w:r>
          </w:p>
        </w:tc>
      </w:tr>
      <w:tr>
        <w:tblPrEx>
          <w:tblLayout w:type="fixed"/>
          <w:tblCellMar>
            <w:top w:w="0" w:type="dxa"/>
            <w:left w:w="108" w:type="dxa"/>
            <w:bottom w:w="0" w:type="dxa"/>
            <w:right w:w="108" w:type="dxa"/>
          </w:tblCellMar>
        </w:tblPrEx>
        <w:trPr>
          <w:trHeight w:val="3000" w:hRule="atLeast"/>
        </w:trPr>
        <w:tc>
          <w:tcPr>
            <w:tcW w:w="8522" w:type="dxa"/>
            <w:tcBorders>
              <w:top w:val="nil"/>
              <w:left w:val="nil"/>
              <w:bottom w:val="nil"/>
              <w:right w:val="nil"/>
            </w:tcBorders>
            <w:shd w:val="clear" w:color="auto" w:fill="auto"/>
            <w:vAlign w:val="center"/>
          </w:tcPr>
          <w:p>
            <w:pPr>
              <w:widowControl/>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截至上年底，本单位共有车辆0辆，其中领导干部用车0辆，一般公务用车0辆，其他用车0辆。单位价值50万元以上通用设备0台，单位价值100万元以上专用设备0台。</w:t>
            </w:r>
            <w:r>
              <w:rPr>
                <w:rFonts w:hint="eastAsia" w:ascii="仿宋_GB2312" w:hAnsi="宋体" w:eastAsia="仿宋_GB2312" w:cs="宋体"/>
                <w:kern w:val="0"/>
                <w:sz w:val="28"/>
                <w:szCs w:val="28"/>
              </w:rPr>
              <w:br w:type="textWrapping"/>
            </w:r>
            <w:r>
              <w:rPr>
                <w:rFonts w:hint="eastAsia" w:ascii="仿宋_GB2312" w:hAnsi="宋体" w:eastAsia="仿宋_GB2312" w:cs="宋体"/>
                <w:kern w:val="0"/>
                <w:sz w:val="28"/>
                <w:szCs w:val="28"/>
              </w:rPr>
              <w:t xml:space="preserve">       2022年拟新增配备领导干部用车0辆，一般公务用车0辆，其他用车0辆，新增配备单位价值50万元以上通用设备0台，单位价值100万元以上专用设备0台。</w:t>
            </w:r>
          </w:p>
          <w:p>
            <w:pPr>
              <w:widowControl/>
              <w:ind w:firstLine="420" w:firstLineChars="150"/>
              <w:jc w:val="left"/>
              <w:rPr>
                <w:rFonts w:ascii="仿宋_GB2312" w:hAnsi="宋体" w:eastAsia="仿宋_GB2312" w:cs="宋体"/>
                <w:kern w:val="0"/>
                <w:sz w:val="28"/>
                <w:szCs w:val="28"/>
              </w:rPr>
            </w:pPr>
            <w:r>
              <w:rPr>
                <w:rFonts w:hint="eastAsia" w:ascii="仿宋_GB2312" w:hAnsi="宋体" w:eastAsia="仿宋_GB2312" w:cs="宋体"/>
                <w:kern w:val="0"/>
                <w:sz w:val="28"/>
                <w:szCs w:val="28"/>
              </w:rPr>
              <w:t>2022年度本单位未计划处置或新增车辆、设备等。</w:t>
            </w:r>
          </w:p>
        </w:tc>
      </w:tr>
      <w:tr>
        <w:tblPrEx>
          <w:tblLayout w:type="fixed"/>
          <w:tblCellMar>
            <w:top w:w="0" w:type="dxa"/>
            <w:left w:w="108" w:type="dxa"/>
            <w:bottom w:w="0" w:type="dxa"/>
            <w:right w:w="108" w:type="dxa"/>
          </w:tblCellMar>
        </w:tblPrEx>
        <w:trPr>
          <w:trHeight w:val="499"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（六）预算绩效目标说明</w:t>
            </w:r>
          </w:p>
        </w:tc>
      </w:tr>
      <w:tr>
        <w:tblPrEx>
          <w:tblLayout w:type="fixed"/>
          <w:tblCellMar>
            <w:top w:w="0" w:type="dxa"/>
            <w:left w:w="108" w:type="dxa"/>
            <w:bottom w:w="0" w:type="dxa"/>
            <w:right w:w="108" w:type="dxa"/>
          </w:tblCellMar>
        </w:tblPrEx>
        <w:trPr>
          <w:trHeight w:val="1125"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 xml:space="preserve">    本单位所有支出实行绩效目标管理。纳入2022年部门整体支出绩效目标的金额为181.29万元，其中，基本支出132.33万元，项目支出48.96万元，详见文尾附表中单位预算公开表格的表21-22。</w:t>
            </w:r>
          </w:p>
        </w:tc>
      </w:tr>
      <w:tr>
        <w:tblPrEx>
          <w:tblLayout w:type="fixed"/>
          <w:tblCellMar>
            <w:top w:w="0" w:type="dxa"/>
            <w:left w:w="108" w:type="dxa"/>
            <w:bottom w:w="0" w:type="dxa"/>
            <w:right w:w="108" w:type="dxa"/>
          </w:tblCellMar>
        </w:tblPrEx>
        <w:trPr>
          <w:trHeight w:val="499"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七、名词解释</w:t>
            </w:r>
          </w:p>
        </w:tc>
      </w:tr>
      <w:tr>
        <w:tblPrEx>
          <w:tblLayout w:type="fixed"/>
          <w:tblCellMar>
            <w:top w:w="0" w:type="dxa"/>
            <w:left w:w="108" w:type="dxa"/>
            <w:bottom w:w="0" w:type="dxa"/>
            <w:right w:w="108" w:type="dxa"/>
          </w:tblCellMar>
        </w:tblPrEx>
        <w:trPr>
          <w:trHeight w:val="3000"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 xml:space="preserve">    2、“三公”经费：纳入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tc>
      </w:tr>
      <w:tr>
        <w:tblPrEx>
          <w:tblLayout w:type="fixed"/>
          <w:tblCellMar>
            <w:top w:w="0" w:type="dxa"/>
            <w:left w:w="108" w:type="dxa"/>
            <w:bottom w:w="0" w:type="dxa"/>
            <w:right w:w="108" w:type="dxa"/>
          </w:tblCellMar>
        </w:tblPrEx>
        <w:trPr>
          <w:trHeight w:val="900" w:hRule="atLeast"/>
        </w:trPr>
        <w:tc>
          <w:tcPr>
            <w:tcW w:w="8522" w:type="dxa"/>
            <w:tcBorders>
              <w:top w:val="nil"/>
              <w:left w:val="nil"/>
              <w:bottom w:val="nil"/>
              <w:right w:val="nil"/>
            </w:tcBorders>
            <w:shd w:val="clear" w:color="auto" w:fill="auto"/>
            <w:vAlign w:val="center"/>
          </w:tcPr>
          <w:p>
            <w:pPr>
              <w:widowControl/>
              <w:jc w:val="center"/>
              <w:rPr>
                <w:rFonts w:ascii="黑体" w:hAnsi="黑体" w:eastAsia="黑体" w:cs="宋体"/>
                <w:color w:val="000000"/>
                <w:kern w:val="0"/>
                <w:sz w:val="36"/>
                <w:szCs w:val="36"/>
              </w:rPr>
            </w:pPr>
            <w:r>
              <w:rPr>
                <w:rFonts w:hint="eastAsia" w:ascii="黑体" w:hAnsi="黑体" w:eastAsia="黑体" w:cs="宋体"/>
                <w:color w:val="000000"/>
                <w:kern w:val="0"/>
                <w:sz w:val="36"/>
                <w:szCs w:val="36"/>
              </w:rPr>
              <w:t>第二部分  2022年单位预算公开表格</w:t>
            </w:r>
          </w:p>
        </w:tc>
      </w:tr>
      <w:tr>
        <w:tblPrEx>
          <w:tblLayout w:type="fixed"/>
          <w:tblCellMar>
            <w:top w:w="0" w:type="dxa"/>
            <w:left w:w="108" w:type="dxa"/>
            <w:bottom w:w="0" w:type="dxa"/>
            <w:right w:w="108" w:type="dxa"/>
          </w:tblCellMar>
        </w:tblPrEx>
        <w:trPr>
          <w:trHeight w:val="8190" w:hRule="atLeast"/>
        </w:trPr>
        <w:tc>
          <w:tcPr>
            <w:tcW w:w="8522" w:type="dxa"/>
            <w:tcBorders>
              <w:top w:val="nil"/>
              <w:left w:val="nil"/>
              <w:bottom w:val="nil"/>
              <w:right w:val="nil"/>
            </w:tcBorders>
            <w:shd w:val="clear" w:color="auto" w:fill="auto"/>
            <w:vAlign w:val="center"/>
          </w:tcPr>
          <w:p>
            <w:pPr>
              <w:widowControl/>
              <w:numPr>
                <w:ilvl w:val="0"/>
                <w:numId w:val="2"/>
              </w:numPr>
              <w:jc w:val="left"/>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收支总表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2、收入总表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3、支出总表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4、支出预算分类汇总表（按政府预算经济分类）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5、支出预算分类汇总表（按部门预算经济分类）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6、财政拨款收支总表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7、一般公共预算支出表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8、一般公共预算基本支出表-人员经费（工资福利支出）（按政府预算经济分类）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9、一般公共预算基本支出表-人员经费（工资福利支出）（按部门预算经济分类）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10、一般公共预算基本支出表-人员经费（对个人和家庭的补助）（按政府预算经济分类）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11、一般公共预算基本支出表-人员经费（对个人和家庭的补助）（按部门预算经济分类）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12、一般公共预算基本支出表-</w:t>
            </w:r>
            <w:r>
              <w:rPr>
                <w:rFonts w:hint="eastAsia" w:ascii="仿宋_GB2312" w:hAnsi="宋体" w:eastAsia="仿宋_GB2312" w:cs="宋体"/>
                <w:color w:val="000000"/>
                <w:kern w:val="0"/>
                <w:sz w:val="28"/>
                <w:szCs w:val="28"/>
                <w:lang w:eastAsia="zh-CN"/>
              </w:rPr>
              <w:t>公用</w:t>
            </w:r>
            <w:r>
              <w:rPr>
                <w:rFonts w:hint="eastAsia" w:ascii="仿宋_GB2312" w:hAnsi="宋体" w:eastAsia="仿宋_GB2312" w:cs="宋体"/>
                <w:color w:val="000000"/>
                <w:kern w:val="0"/>
                <w:sz w:val="28"/>
                <w:szCs w:val="28"/>
              </w:rPr>
              <w:t>经费（商品和服务支出）（按政府预算经济分类）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13、一般公共预算基本支出表-</w:t>
            </w:r>
            <w:r>
              <w:rPr>
                <w:rFonts w:hint="eastAsia" w:ascii="仿宋_GB2312" w:hAnsi="宋体" w:eastAsia="仿宋_GB2312" w:cs="宋体"/>
                <w:color w:val="000000"/>
                <w:kern w:val="0"/>
                <w:sz w:val="28"/>
                <w:szCs w:val="28"/>
                <w:lang w:eastAsia="zh-CN"/>
              </w:rPr>
              <w:t>公用</w:t>
            </w:r>
            <w:bookmarkStart w:id="0" w:name="_GoBack"/>
            <w:bookmarkEnd w:id="0"/>
            <w:r>
              <w:rPr>
                <w:rFonts w:hint="eastAsia" w:ascii="仿宋_GB2312" w:hAnsi="宋体" w:eastAsia="仿宋_GB2312" w:cs="宋体"/>
                <w:color w:val="000000"/>
                <w:kern w:val="0"/>
                <w:sz w:val="28"/>
                <w:szCs w:val="28"/>
              </w:rPr>
              <w:t>经费（商品和服务支出）（按部门预算经济分类）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14、一般公共预算“三公”经费支出表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15、政府性基金预算支出表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16、政府性基金预算支出分类汇总表（按政府预算经济分类）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17、政府性基金预算支出分类汇总表（按部门预算经济分类）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18、国有资本经营预算支出表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19、财政专户管理资金预算支出表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20、专项资金预算汇总表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21、项目支出绩效目标表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22、整体支出绩效目标表</w:t>
            </w:r>
          </w:p>
          <w:p>
            <w:pPr>
              <w:widowControl/>
              <w:numPr>
                <w:ilvl w:val="0"/>
                <w:numId w:val="0"/>
              </w:numPr>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lang w:val="en-US" w:eastAsia="zh-CN"/>
              </w:rPr>
              <w:t>23、一般公共预算基本支出表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注：以上单位预算公开报表中，空表表示本单位无相关收支情况。</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_GBK">
    <w:altName w:val="Arial Unicode MS"/>
    <w:panose1 w:val="02000000000000000000"/>
    <w:charset w:val="86"/>
    <w:family w:val="roman"/>
    <w:pitch w:val="default"/>
    <w:sig w:usb0="00000000" w:usb1="00000000"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EF406D1"/>
    <w:multiLevelType w:val="singleLevel"/>
    <w:tmpl w:val="9EF406D1"/>
    <w:lvl w:ilvl="0" w:tentative="0">
      <w:start w:val="1"/>
      <w:numFmt w:val="decimal"/>
      <w:suff w:val="nothing"/>
      <w:lvlText w:val="%1、"/>
      <w:lvlJc w:val="left"/>
    </w:lvl>
  </w:abstractNum>
  <w:abstractNum w:abstractNumId="1">
    <w:nsid w:val="305D3F94"/>
    <w:multiLevelType w:val="singleLevel"/>
    <w:tmpl w:val="305D3F94"/>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IyMGFmMTJjZDc5MTY3YTY1N2I2YTE3ZGU3YTY2NDUifQ=="/>
  </w:docVars>
  <w:rsids>
    <w:rsidRoot w:val="007468D1"/>
    <w:rsid w:val="0008007B"/>
    <w:rsid w:val="007468D1"/>
    <w:rsid w:val="16927121"/>
    <w:rsid w:val="35790FD2"/>
    <w:rsid w:val="381716B3"/>
    <w:rsid w:val="39AC4478"/>
    <w:rsid w:val="3B9E2446"/>
    <w:rsid w:val="3E856D6D"/>
    <w:rsid w:val="40911C52"/>
    <w:rsid w:val="4AB00A5F"/>
    <w:rsid w:val="55DF4F3D"/>
    <w:rsid w:val="56D71A03"/>
    <w:rsid w:val="7AC710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qFormat/>
    <w:uiPriority w:val="99"/>
    <w:rPr>
      <w:sz w:val="18"/>
      <w:szCs w:val="18"/>
    </w:rPr>
  </w:style>
  <w:style w:type="character" w:customStyle="1" w:styleId="7">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8</Pages>
  <Words>3173</Words>
  <Characters>3430</Characters>
  <Lines>25</Lines>
  <Paragraphs>7</Paragraphs>
  <TotalTime>2</TotalTime>
  <ScaleCrop>false</ScaleCrop>
  <LinksUpToDate>false</LinksUpToDate>
  <CharactersWithSpaces>3489</CharactersWithSpaces>
  <Application>WPS Office_10.8.2.7164_F1E327BC-269C-435d-A152-05C5408002CA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2023-06-01T06:31:00Z</dcterms:created>
  <dc:creator>微软用户</dc:creator>
  <cp:lastModifiedBy>仙贝麻麻</cp:lastModifiedBy>
  <dcterms:modified xsi:type="dcterms:W3CDTF">2023-09-25T01:21:58Z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2052-10.8.2.7164</vt:lpwstr>
  </property>
  <property fmtid="{D5CDD505-2E9C-101B-9397-08002B2CF9AE}" pid="3" name="ICV">
    <vt:lpwstr>8571814181EA474D884DE64CD3B09605_13</vt:lpwstr>
  </property>
</Properties>
</file>