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rFonts w:hint="eastAsia"/>
          <w:sz w:val="56"/>
          <w:szCs w:val="56"/>
        </w:rPr>
      </w:pPr>
    </w:p>
    <w:p>
      <w:pPr>
        <w:pStyle w:val="12"/>
        <w:jc w:val="center"/>
        <w:rPr>
          <w:sz w:val="56"/>
          <w:szCs w:val="56"/>
        </w:rPr>
      </w:pPr>
    </w:p>
    <w:p>
      <w:pPr>
        <w:pStyle w:val="12"/>
        <w:jc w:val="center"/>
        <w:rPr>
          <w:rFonts w:hint="eastAsia"/>
          <w:sz w:val="84"/>
          <w:szCs w:val="84"/>
        </w:rPr>
      </w:pPr>
    </w:p>
    <w:p>
      <w:pPr>
        <w:pStyle w:val="12"/>
        <w:jc w:val="center"/>
        <w:rPr>
          <w:sz w:val="84"/>
          <w:szCs w:val="84"/>
        </w:rPr>
      </w:pPr>
      <w:r>
        <w:rPr>
          <w:rFonts w:hint="eastAsia"/>
          <w:sz w:val="84"/>
          <w:szCs w:val="84"/>
        </w:rPr>
        <w:t>2021年度</w:t>
      </w:r>
    </w:p>
    <w:p>
      <w:pPr>
        <w:pStyle w:val="12"/>
        <w:jc w:val="center"/>
        <w:rPr>
          <w:sz w:val="84"/>
          <w:szCs w:val="84"/>
        </w:rPr>
      </w:pPr>
      <w:r>
        <w:rPr>
          <w:rFonts w:hint="eastAsia"/>
          <w:sz w:val="84"/>
          <w:szCs w:val="84"/>
        </w:rPr>
        <w:t>岳阳市公安局交通警察支队部门决算</w:t>
      </w:r>
    </w:p>
    <w:p>
      <w:pPr>
        <w:pStyle w:val="12"/>
        <w:jc w:val="center"/>
        <w:rPr>
          <w:sz w:val="56"/>
          <w:szCs w:val="56"/>
        </w:rPr>
      </w:pPr>
    </w:p>
    <w:p>
      <w:pPr>
        <w:pStyle w:val="12"/>
        <w:jc w:val="center"/>
        <w:rPr>
          <w:sz w:val="56"/>
          <w:szCs w:val="56"/>
        </w:rPr>
      </w:pPr>
    </w:p>
    <w:p>
      <w:pPr>
        <w:pStyle w:val="12"/>
        <w:jc w:val="center"/>
        <w:rPr>
          <w:sz w:val="56"/>
          <w:szCs w:val="56"/>
        </w:rPr>
      </w:pPr>
    </w:p>
    <w:p>
      <w:pPr>
        <w:pStyle w:val="12"/>
        <w:jc w:val="center"/>
        <w:rPr>
          <w:sz w:val="56"/>
          <w:szCs w:val="56"/>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spacing w:line="500" w:lineRule="exact"/>
        <w:jc w:val="center"/>
        <w:rPr>
          <w:b/>
          <w:sz w:val="36"/>
          <w:szCs w:val="28"/>
        </w:rPr>
      </w:pPr>
    </w:p>
    <w:p>
      <w:pPr>
        <w:pStyle w:val="12"/>
        <w:keepNext w:val="0"/>
        <w:keepLines w:val="0"/>
        <w:pageBreakBefore w:val="0"/>
        <w:widowControl w:val="0"/>
        <w:kinsoku/>
        <w:wordWrap/>
        <w:overflowPunct/>
        <w:topLinePunct w:val="0"/>
        <w:bidi w:val="0"/>
        <w:snapToGrid/>
        <w:spacing w:line="480" w:lineRule="exact"/>
        <w:jc w:val="center"/>
        <w:textAlignment w:val="auto"/>
        <w:rPr>
          <w:b/>
          <w:sz w:val="36"/>
          <w:szCs w:val="28"/>
        </w:rPr>
      </w:pPr>
      <w:r>
        <w:rPr>
          <w:rFonts w:hint="eastAsia"/>
          <w:b/>
          <w:sz w:val="36"/>
          <w:szCs w:val="28"/>
        </w:rPr>
        <w:t>目录</w:t>
      </w:r>
    </w:p>
    <w:p>
      <w:pPr>
        <w:pStyle w:val="12"/>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 xml:space="preserve">  </w:t>
      </w:r>
      <w:r>
        <w:rPr>
          <w:rFonts w:hint="eastAsia"/>
          <w:b/>
          <w:sz w:val="28"/>
          <w:szCs w:val="28"/>
        </w:rPr>
        <w:t>岳阳市公安局交通警察支队概况</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hint="default" w:cs="仿宋_GB2312" w:asciiTheme="minorEastAsia" w:hAnsiTheme="minorEastAsia" w:eastAsiaTheme="minorEastAsia"/>
          <w:sz w:val="28"/>
          <w:szCs w:val="28"/>
          <w:lang w:val="en-US" w:eastAsia="zh-CN"/>
        </w:rPr>
      </w:pPr>
      <w:r>
        <w:rPr>
          <w:rFonts w:cs="仿宋_GB2312" w:asciiTheme="minorEastAsia" w:hAnsiTheme="minorEastAsia" w:eastAsiaTheme="minorEastAsia"/>
          <w:sz w:val="28"/>
          <w:szCs w:val="28"/>
        </w:rPr>
        <w:t>二、机构设置</w:t>
      </w:r>
      <w:r>
        <w:rPr>
          <w:rFonts w:hint="eastAsia" w:cs="仿宋_GB2312" w:asciiTheme="minorEastAsia" w:hAnsiTheme="minorEastAsia" w:eastAsiaTheme="minorEastAsia"/>
          <w:sz w:val="28"/>
          <w:szCs w:val="28"/>
          <w:lang w:val="en-US" w:eastAsia="zh-CN"/>
        </w:rPr>
        <w:t>及决算单位构成</w:t>
      </w:r>
    </w:p>
    <w:p>
      <w:pPr>
        <w:pStyle w:val="12"/>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hAnsi="仿宋_GB2312"/>
          <w:b/>
          <w:sz w:val="28"/>
          <w:szCs w:val="28"/>
        </w:rPr>
        <w:t>第二部分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21年度部门决算表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2"/>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hAnsi="仿宋_GB2312"/>
          <w:b/>
          <w:sz w:val="28"/>
          <w:szCs w:val="28"/>
        </w:rPr>
        <w:t>第三部分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21年度部门决算情况说明</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keepNext w:val="0"/>
        <w:keepLines w:val="0"/>
        <w:pageBreakBefore w:val="0"/>
        <w:widowControl w:val="0"/>
        <w:kinsoku/>
        <w:wordWrap/>
        <w:overflowPunct/>
        <w:topLinePunct w:val="0"/>
        <w:bidi w:val="0"/>
        <w:snapToGrid/>
        <w:spacing w:line="480" w:lineRule="exact"/>
        <w:ind w:firstLine="700" w:firstLineChars="250"/>
        <w:jc w:val="left"/>
        <w:textAlignment w:val="auto"/>
        <w:rPr>
          <w:rFonts w:ascii="仿宋_GB2312" w:hAnsi="仿宋_GB2312" w:cs="仿宋_GB2312"/>
          <w:sz w:val="28"/>
          <w:szCs w:val="28"/>
        </w:rPr>
      </w:pPr>
      <w:r>
        <w:rPr>
          <w:rFonts w:ascii="仿宋_GB2312" w:hAnsi="仿宋_GB2312" w:cs="仿宋_GB2312"/>
          <w:sz w:val="28"/>
          <w:szCs w:val="28"/>
        </w:rPr>
        <w:t>二、收入决算情况说明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cs="仿宋_GB2312" w:eastAsiaTheme="minorEastAsia"/>
          <w:color w:val="000000"/>
          <w:kern w:val="0"/>
          <w:sz w:val="28"/>
          <w:szCs w:val="28"/>
          <w:lang w:eastAsia="zh-CN"/>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cs="仿宋_GB2312" w:asciiTheme="minorEastAsia" w:hAnsiTheme="minorEastAsia" w:eastAsiaTheme="minorEastAsia"/>
          <w:sz w:val="28"/>
          <w:szCs w:val="28"/>
        </w:rPr>
        <w:t>国有资本经营预算财政拨款支出决算</w:t>
      </w:r>
      <w:r>
        <w:rPr>
          <w:rFonts w:hint="eastAsia" w:cs="仿宋_GB2312" w:asciiTheme="minorEastAsia" w:hAnsiTheme="minorEastAsia"/>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w:t>
      </w:r>
      <w:r>
        <w:rPr>
          <w:rFonts w:hint="eastAsia" w:ascii="仿宋_GB2312" w:hAnsi="仿宋_GB2312" w:cs="仿宋_GB2312"/>
          <w:color w:val="000000"/>
          <w:kern w:val="0"/>
          <w:sz w:val="28"/>
          <w:szCs w:val="28"/>
        </w:rPr>
        <w:t>政府采购支出说明</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cs="仿宋_GB2312" w:eastAsiaTheme="minorEastAsia"/>
          <w:sz w:val="28"/>
          <w:szCs w:val="28"/>
        </w:rPr>
      </w:pPr>
      <w:r>
        <w:rPr>
          <w:rFonts w:hint="eastAsia" w:ascii="仿宋_GB2312" w:hAnsi="仿宋_GB2312" w:cs="仿宋_GB2312" w:eastAsiaTheme="minorEastAsia"/>
          <w:sz w:val="28"/>
          <w:szCs w:val="28"/>
        </w:rPr>
        <w:t>十三、国有资产占用情况说明</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cs="仿宋_GB2312" w:eastAsiaTheme="minorEastAsia"/>
          <w:sz w:val="28"/>
          <w:szCs w:val="28"/>
          <w:lang w:eastAsia="zh-CN"/>
        </w:rPr>
      </w:pPr>
      <w:r>
        <w:rPr>
          <w:rFonts w:hint="eastAsia" w:ascii="仿宋_GB2312" w:hAnsi="仿宋_GB2312" w:cs="仿宋_GB2312" w:eastAsiaTheme="minorEastAsia"/>
          <w:sz w:val="28"/>
          <w:szCs w:val="28"/>
          <w:lang w:eastAsia="zh-CN"/>
        </w:rPr>
        <w:t>十四、</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ascii="黑体" w:hAnsi="黑体" w:eastAsia="黑体" w:cs="黑体"/>
          <w:b/>
          <w:color w:val="000000"/>
          <w:kern w:val="0"/>
          <w:sz w:val="28"/>
          <w:szCs w:val="28"/>
        </w:rPr>
      </w:pPr>
      <w:r>
        <w:rPr>
          <w:rFonts w:ascii="黑体" w:hAnsi="黑体" w:eastAsia="黑体" w:cs="黑体"/>
          <w:b/>
          <w:color w:val="000000"/>
          <w:kern w:val="0"/>
          <w:sz w:val="28"/>
          <w:szCs w:val="28"/>
        </w:rPr>
        <w:t>第四部分</w:t>
      </w:r>
      <w:r>
        <w:rPr>
          <w:rFonts w:hint="eastAsia" w:ascii="黑体" w:hAnsi="黑体" w:eastAsia="黑体" w:cs="黑体"/>
          <w:b/>
          <w:color w:val="000000"/>
          <w:kern w:val="0"/>
          <w:sz w:val="28"/>
          <w:szCs w:val="28"/>
          <w:lang w:val="en-US" w:eastAsia="zh-CN"/>
        </w:rPr>
        <w:t xml:space="preserve">  </w:t>
      </w:r>
      <w:r>
        <w:rPr>
          <w:rFonts w:ascii="黑体" w:hAnsi="黑体" w:eastAsia="黑体" w:cs="黑体"/>
          <w:b/>
          <w:color w:val="000000"/>
          <w:kern w:val="0"/>
          <w:sz w:val="28"/>
          <w:szCs w:val="28"/>
        </w:rPr>
        <w:t>名词解释</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w:t>
      </w:r>
      <w:r>
        <w:rPr>
          <w:rFonts w:hint="eastAsia" w:ascii="黑体" w:hAnsi="黑体" w:eastAsia="黑体" w:cs="黑体"/>
          <w:b/>
          <w:color w:val="000000"/>
          <w:kern w:val="0"/>
          <w:sz w:val="28"/>
          <w:szCs w:val="28"/>
          <w:lang w:val="en-US" w:eastAsia="zh-CN"/>
        </w:rPr>
        <w:t xml:space="preserve">  </w:t>
      </w:r>
      <w:r>
        <w:rPr>
          <w:rFonts w:hint="eastAsia" w:ascii="黑体" w:hAnsi="黑体" w:eastAsia="黑体" w:cs="黑体"/>
          <w:b/>
          <w:color w:val="000000"/>
          <w:kern w:val="0"/>
          <w:sz w:val="28"/>
          <w:szCs w:val="28"/>
        </w:rPr>
        <w:t>附件</w:t>
      </w:r>
    </w:p>
    <w:p>
      <w:pPr>
        <w:keepNext w:val="0"/>
        <w:keepLines w:val="0"/>
        <w:pageBreakBefore w:val="0"/>
        <w:widowControl w:val="0"/>
        <w:kinsoku/>
        <w:wordWrap/>
        <w:overflowPunct/>
        <w:topLinePunct w:val="0"/>
        <w:bidi w:val="0"/>
        <w:snapToGrid/>
        <w:spacing w:line="620" w:lineRule="exact"/>
        <w:jc w:val="center"/>
        <w:textAlignment w:val="auto"/>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2"/>
        <w:jc w:val="center"/>
        <w:rPr>
          <w:sz w:val="84"/>
          <w:szCs w:val="84"/>
        </w:rPr>
      </w:pPr>
      <w:r>
        <w:rPr>
          <w:rFonts w:hint="eastAsia"/>
          <w:sz w:val="84"/>
          <w:szCs w:val="84"/>
        </w:rPr>
        <w:t>第一部分</w:t>
      </w:r>
      <w:r>
        <w:rPr>
          <w:sz w:val="84"/>
          <w:szCs w:val="84"/>
        </w:rPr>
        <w:t xml:space="preserve"> </w:t>
      </w:r>
    </w:p>
    <w:p>
      <w:pPr>
        <w:pStyle w:val="12"/>
        <w:jc w:val="center"/>
        <w:rPr>
          <w:sz w:val="84"/>
          <w:szCs w:val="84"/>
        </w:rPr>
      </w:pPr>
    </w:p>
    <w:p>
      <w:pPr>
        <w:pStyle w:val="12"/>
        <w:jc w:val="center"/>
        <w:rPr>
          <w:sz w:val="84"/>
          <w:szCs w:val="84"/>
        </w:rPr>
      </w:pPr>
      <w:r>
        <w:rPr>
          <w:rFonts w:hint="eastAsia"/>
          <w:sz w:val="84"/>
          <w:szCs w:val="84"/>
        </w:rPr>
        <w:t>岳阳市公安局交通警察支队概况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3"/>
        <w:ind w:left="720" w:firstLine="0" w:firstLineChars="0"/>
        <w:jc w:val="left"/>
        <w:rPr>
          <w:rFonts w:ascii="黑体" w:hAnsi="黑体" w:eastAsia="黑体"/>
          <w:sz w:val="32"/>
          <w:szCs w:val="32"/>
        </w:rPr>
      </w:pPr>
    </w:p>
    <w:p>
      <w:pPr>
        <w:pStyle w:val="13"/>
        <w:ind w:left="720" w:firstLine="0" w:firstLineChars="0"/>
        <w:jc w:val="left"/>
        <w:rPr>
          <w:rFonts w:ascii="黑体" w:hAnsi="黑体" w:eastAsia="黑体"/>
          <w:sz w:val="32"/>
          <w:szCs w:val="32"/>
        </w:rPr>
      </w:pPr>
    </w:p>
    <w:p>
      <w:pPr>
        <w:pStyle w:val="13"/>
        <w:ind w:left="720" w:firstLine="0" w:firstLineChars="0"/>
        <w:jc w:val="left"/>
        <w:rPr>
          <w:rFonts w:ascii="黑体" w:hAnsi="黑体" w:eastAsia="黑体"/>
          <w:sz w:val="32"/>
          <w:szCs w:val="32"/>
        </w:rPr>
      </w:pPr>
    </w:p>
    <w:p>
      <w:pPr>
        <w:pStyle w:val="13"/>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ind w:firstLine="600"/>
        <w:rPr>
          <w:rFonts w:asciiTheme="minorEastAsia" w:hAnsiTheme="minorEastAsia"/>
          <w:sz w:val="32"/>
          <w:szCs w:val="32"/>
        </w:rPr>
      </w:pPr>
      <w:r>
        <w:rPr>
          <w:rFonts w:hint="eastAsia" w:asciiTheme="minorEastAsia" w:hAnsiTheme="minorEastAsia"/>
          <w:sz w:val="32"/>
          <w:szCs w:val="32"/>
        </w:rPr>
        <w:t>（一）</w:t>
      </w:r>
      <w:r>
        <w:rPr>
          <w:rFonts w:hint="eastAsia" w:asciiTheme="minorEastAsia" w:hAnsiTheme="minorEastAsia" w:eastAsiaTheme="minorEastAsia" w:cstheme="minorEastAsia"/>
          <w:sz w:val="30"/>
          <w:szCs w:val="30"/>
        </w:rPr>
        <w:t>指导全市城乡道路交通安全管理、交通安全宣传教育、交通指挥；负责维护城乡交通秩序，处理交通事故；负责预防、控制和打击涉车、涉路的违法犯罪；协同打击城乡非法营运的机动车辆；负责机动车辆管理和驾驶人管理工作；参与道理建设中的交通安全设施的规划、设置；负责重大警保卫任务交通管理以及静态交通管理。</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numPr>
          <w:ilvl w:val="0"/>
          <w:numId w:val="2"/>
        </w:numPr>
        <w:spacing w:line="600" w:lineRule="exact"/>
        <w:rPr>
          <w:rFonts w:hint="eastAsia" w:asciiTheme="minorEastAsia" w:hAnsiTheme="minorEastAsia" w:eastAsiaTheme="minorEastAsia" w:cstheme="minorEastAsia"/>
          <w:sz w:val="32"/>
          <w:szCs w:val="32"/>
          <w:lang w:val="en-US" w:eastAsia="zh-CN"/>
        </w:rPr>
      </w:pPr>
      <w:r>
        <w:rPr>
          <w:rFonts w:hint="eastAsia" w:asciiTheme="minorEastAsia" w:hAnsiTheme="minorEastAsia"/>
          <w:bCs/>
          <w:kern w:val="0"/>
          <w:sz w:val="32"/>
          <w:szCs w:val="32"/>
        </w:rPr>
        <w:t>内设机构设置。</w:t>
      </w:r>
      <w:r>
        <w:rPr>
          <w:rFonts w:hint="eastAsia" w:asciiTheme="minorEastAsia" w:hAnsiTheme="minorEastAsia" w:eastAsiaTheme="minorEastAsia" w:cstheme="minorEastAsia"/>
          <w:sz w:val="32"/>
          <w:szCs w:val="32"/>
        </w:rPr>
        <w:t>岳阳市公安局交通警察支队为岳阳市公安局直属独立核算副处级二级机构，内设12个科所室、5个业务指导大队、9个勤务大队。</w:t>
      </w:r>
      <w:r>
        <w:rPr>
          <w:rFonts w:hint="eastAsia" w:asciiTheme="minorEastAsia" w:hAnsiTheme="minorEastAsia" w:eastAsiaTheme="minorEastAsia" w:cstheme="minorEastAsia"/>
          <w:sz w:val="32"/>
          <w:szCs w:val="32"/>
          <w:lang w:val="en-US" w:eastAsia="zh-CN"/>
        </w:rPr>
        <w:t>岳阳市公安局交通警察支队内设机构包括：指挥调度管理大队、政工科、</w:t>
      </w:r>
      <w:r>
        <w:rPr>
          <w:rFonts w:hint="eastAsia" w:asciiTheme="minorEastAsia" w:hAnsiTheme="minorEastAsia" w:cstheme="minorEastAsia"/>
          <w:sz w:val="32"/>
          <w:szCs w:val="32"/>
          <w:lang w:val="en-US" w:eastAsia="zh-CN"/>
        </w:rPr>
        <w:t>纪委（监察室）、</w:t>
      </w:r>
      <w:r>
        <w:rPr>
          <w:rFonts w:hint="eastAsia" w:asciiTheme="minorEastAsia" w:hAnsiTheme="minorEastAsia" w:eastAsiaTheme="minorEastAsia" w:cstheme="minorEastAsia"/>
          <w:sz w:val="32"/>
          <w:szCs w:val="32"/>
          <w:lang w:val="en-US" w:eastAsia="zh-CN"/>
        </w:rPr>
        <w:t>工会、行</w:t>
      </w:r>
      <w:r>
        <w:rPr>
          <w:rFonts w:hint="eastAsia" w:asciiTheme="minorEastAsia" w:hAnsiTheme="minorEastAsia" w:cstheme="minorEastAsia"/>
          <w:sz w:val="32"/>
          <w:szCs w:val="32"/>
          <w:lang w:val="en-US" w:eastAsia="zh-CN"/>
        </w:rPr>
        <w:t>政装备</w:t>
      </w:r>
      <w:r>
        <w:rPr>
          <w:rFonts w:hint="eastAsia" w:asciiTheme="minorEastAsia" w:hAnsiTheme="minorEastAsia" w:eastAsiaTheme="minorEastAsia" w:cstheme="minorEastAsia"/>
          <w:sz w:val="32"/>
          <w:szCs w:val="32"/>
          <w:lang w:val="en-US" w:eastAsia="zh-CN"/>
        </w:rPr>
        <w:t>科、办公室、</w:t>
      </w:r>
      <w:r>
        <w:rPr>
          <w:rFonts w:hint="eastAsia" w:asciiTheme="minorEastAsia" w:hAnsiTheme="minorEastAsia" w:cstheme="minorEastAsia"/>
          <w:sz w:val="32"/>
          <w:szCs w:val="32"/>
          <w:lang w:val="en-US" w:eastAsia="zh-CN"/>
        </w:rPr>
        <w:t>交通安全宣传教育</w:t>
      </w:r>
      <w:r>
        <w:rPr>
          <w:rFonts w:hint="eastAsia" w:asciiTheme="minorEastAsia" w:hAnsiTheme="minorEastAsia" w:eastAsiaTheme="minorEastAsia" w:cstheme="minorEastAsia"/>
          <w:sz w:val="32"/>
          <w:szCs w:val="32"/>
          <w:lang w:val="en-US" w:eastAsia="zh-CN"/>
        </w:rPr>
        <w:t>科、交</w:t>
      </w:r>
      <w:r>
        <w:rPr>
          <w:rFonts w:hint="eastAsia" w:asciiTheme="minorEastAsia" w:hAnsiTheme="minorEastAsia" w:cstheme="minorEastAsia"/>
          <w:sz w:val="32"/>
          <w:szCs w:val="32"/>
          <w:lang w:val="en-US" w:eastAsia="zh-CN"/>
        </w:rPr>
        <w:t>通秩序管理</w:t>
      </w:r>
      <w:r>
        <w:rPr>
          <w:rFonts w:hint="eastAsia" w:asciiTheme="minorEastAsia" w:hAnsiTheme="minorEastAsia" w:eastAsiaTheme="minorEastAsia" w:cstheme="minorEastAsia"/>
          <w:sz w:val="32"/>
          <w:szCs w:val="32"/>
          <w:lang w:val="en-US" w:eastAsia="zh-CN"/>
        </w:rPr>
        <w:t>科、</w:t>
      </w:r>
      <w:r>
        <w:rPr>
          <w:rFonts w:hint="eastAsia" w:asciiTheme="minorEastAsia" w:hAnsiTheme="minorEastAsia" w:cstheme="minorEastAsia"/>
          <w:sz w:val="32"/>
          <w:szCs w:val="32"/>
          <w:lang w:val="en-US" w:eastAsia="zh-CN"/>
        </w:rPr>
        <w:t>机动车驾驶人管理</w:t>
      </w:r>
      <w:r>
        <w:rPr>
          <w:rFonts w:hint="eastAsia" w:asciiTheme="minorEastAsia" w:hAnsiTheme="minorEastAsia" w:eastAsiaTheme="minorEastAsia" w:cstheme="minorEastAsia"/>
          <w:sz w:val="32"/>
          <w:szCs w:val="32"/>
          <w:lang w:val="en-US" w:eastAsia="zh-CN"/>
        </w:rPr>
        <w:t>所、</w:t>
      </w:r>
      <w:r>
        <w:rPr>
          <w:rFonts w:hint="eastAsia" w:asciiTheme="minorEastAsia" w:hAnsiTheme="minorEastAsia" w:cstheme="minorEastAsia"/>
          <w:sz w:val="32"/>
          <w:szCs w:val="32"/>
          <w:lang w:val="en-US" w:eastAsia="zh-CN"/>
        </w:rPr>
        <w:t>机动车辆管理</w:t>
      </w:r>
      <w:r>
        <w:rPr>
          <w:rFonts w:hint="eastAsia" w:asciiTheme="minorEastAsia" w:hAnsiTheme="minorEastAsia" w:eastAsiaTheme="minorEastAsia" w:cstheme="minorEastAsia"/>
          <w:sz w:val="32"/>
          <w:szCs w:val="32"/>
          <w:lang w:val="en-US" w:eastAsia="zh-CN"/>
        </w:rPr>
        <w:t>所、</w:t>
      </w:r>
      <w:r>
        <w:rPr>
          <w:rFonts w:hint="eastAsia" w:asciiTheme="minorEastAsia" w:hAnsiTheme="minorEastAsia" w:cstheme="minorEastAsia"/>
          <w:sz w:val="32"/>
          <w:szCs w:val="32"/>
          <w:lang w:val="en-US" w:eastAsia="zh-CN"/>
        </w:rPr>
        <w:t>交通违法处理</w:t>
      </w:r>
      <w:r>
        <w:rPr>
          <w:rFonts w:hint="eastAsia" w:asciiTheme="minorEastAsia" w:hAnsiTheme="minorEastAsia" w:eastAsiaTheme="minorEastAsia" w:cstheme="minorEastAsia"/>
          <w:sz w:val="32"/>
          <w:szCs w:val="32"/>
          <w:lang w:val="en-US" w:eastAsia="zh-CN"/>
        </w:rPr>
        <w:t>大队、</w:t>
      </w:r>
      <w:r>
        <w:rPr>
          <w:rFonts w:hint="eastAsia" w:asciiTheme="minorEastAsia" w:hAnsiTheme="minorEastAsia" w:cstheme="minorEastAsia"/>
          <w:sz w:val="32"/>
          <w:szCs w:val="32"/>
          <w:lang w:val="en-US" w:eastAsia="zh-CN"/>
        </w:rPr>
        <w:t>驾驶人考试中心、</w:t>
      </w:r>
      <w:r>
        <w:rPr>
          <w:rFonts w:hint="eastAsia" w:asciiTheme="minorEastAsia" w:hAnsiTheme="minorEastAsia" w:eastAsiaTheme="minorEastAsia" w:cstheme="minorEastAsia"/>
          <w:sz w:val="32"/>
          <w:szCs w:val="32"/>
          <w:lang w:val="en-US" w:eastAsia="zh-CN"/>
        </w:rPr>
        <w:t>法制大队、</w:t>
      </w:r>
      <w:r>
        <w:rPr>
          <w:rFonts w:hint="eastAsia" w:asciiTheme="minorEastAsia" w:hAnsiTheme="minorEastAsia" w:cstheme="minorEastAsia"/>
          <w:sz w:val="32"/>
          <w:szCs w:val="32"/>
          <w:lang w:val="en-US" w:eastAsia="zh-CN"/>
        </w:rPr>
        <w:t>道路交通</w:t>
      </w:r>
      <w:r>
        <w:rPr>
          <w:rFonts w:hint="eastAsia" w:asciiTheme="minorEastAsia" w:hAnsiTheme="minorEastAsia" w:eastAsiaTheme="minorEastAsia" w:cstheme="minorEastAsia"/>
          <w:sz w:val="32"/>
          <w:szCs w:val="32"/>
          <w:lang w:val="en-US" w:eastAsia="zh-CN"/>
        </w:rPr>
        <w:t>设施</w:t>
      </w:r>
      <w:r>
        <w:rPr>
          <w:rFonts w:hint="eastAsia" w:asciiTheme="minorEastAsia" w:hAnsiTheme="minorEastAsia" w:cstheme="minorEastAsia"/>
          <w:sz w:val="32"/>
          <w:szCs w:val="32"/>
          <w:lang w:val="en-US" w:eastAsia="zh-CN"/>
        </w:rPr>
        <w:t>管理</w:t>
      </w:r>
      <w:r>
        <w:rPr>
          <w:rFonts w:hint="eastAsia" w:asciiTheme="minorEastAsia" w:hAnsiTheme="minorEastAsia" w:eastAsiaTheme="minorEastAsia" w:cstheme="minorEastAsia"/>
          <w:sz w:val="32"/>
          <w:szCs w:val="32"/>
          <w:lang w:val="en-US" w:eastAsia="zh-CN"/>
        </w:rPr>
        <w:t>大队、农</w:t>
      </w:r>
      <w:r>
        <w:rPr>
          <w:rFonts w:hint="eastAsia" w:asciiTheme="minorEastAsia" w:hAnsiTheme="minorEastAsia" w:cstheme="minorEastAsia"/>
          <w:sz w:val="32"/>
          <w:szCs w:val="32"/>
          <w:lang w:val="en-US" w:eastAsia="zh-CN"/>
        </w:rPr>
        <w:t>村道路交通管理指导</w:t>
      </w:r>
      <w:r>
        <w:rPr>
          <w:rFonts w:hint="eastAsia" w:asciiTheme="minorEastAsia" w:hAnsiTheme="minorEastAsia" w:eastAsiaTheme="minorEastAsia" w:cstheme="minorEastAsia"/>
          <w:sz w:val="32"/>
          <w:szCs w:val="32"/>
          <w:lang w:val="en-US" w:eastAsia="zh-CN"/>
        </w:rPr>
        <w:t>大队、</w:t>
      </w:r>
      <w:r>
        <w:rPr>
          <w:rFonts w:hint="eastAsia" w:asciiTheme="minorEastAsia" w:hAnsiTheme="minorEastAsia" w:cstheme="minorEastAsia"/>
          <w:sz w:val="32"/>
          <w:szCs w:val="32"/>
          <w:lang w:val="en-US" w:eastAsia="zh-CN"/>
        </w:rPr>
        <w:t>交通事故预防处理指导</w:t>
      </w:r>
      <w:r>
        <w:rPr>
          <w:rFonts w:hint="eastAsia" w:asciiTheme="minorEastAsia" w:hAnsiTheme="minorEastAsia" w:eastAsiaTheme="minorEastAsia" w:cstheme="minorEastAsia"/>
          <w:sz w:val="32"/>
          <w:szCs w:val="32"/>
          <w:lang w:val="en-US" w:eastAsia="zh-CN"/>
        </w:rPr>
        <w:t>大队、驾驶人交通违法教育管理大队、岳阳楼大队、白石岭大队、云溪大队、君山大队、城陵矶大队、南湖大队、新港区大队、公</w:t>
      </w:r>
      <w:r>
        <w:rPr>
          <w:rFonts w:hint="eastAsia" w:asciiTheme="minorEastAsia" w:hAnsiTheme="minorEastAsia" w:cstheme="minorEastAsia"/>
          <w:sz w:val="32"/>
          <w:szCs w:val="32"/>
          <w:lang w:val="en-US" w:eastAsia="zh-CN"/>
        </w:rPr>
        <w:t>路巡逻警察</w:t>
      </w:r>
      <w:r>
        <w:rPr>
          <w:rFonts w:hint="eastAsia" w:asciiTheme="minorEastAsia" w:hAnsiTheme="minorEastAsia" w:eastAsiaTheme="minorEastAsia" w:cstheme="minorEastAsia"/>
          <w:sz w:val="32"/>
          <w:szCs w:val="32"/>
          <w:lang w:val="en-US" w:eastAsia="zh-CN"/>
        </w:rPr>
        <w:t>大队、综合执法大队。</w:t>
      </w:r>
    </w:p>
    <w:p>
      <w:pPr>
        <w:widowControl/>
        <w:numPr>
          <w:ilvl w:val="0"/>
          <w:numId w:val="3"/>
        </w:numPr>
        <w:spacing w:line="600" w:lineRule="exact"/>
        <w:rPr>
          <w:rFonts w:asciiTheme="minorEastAsia" w:hAnsiTheme="minorEastAsia"/>
          <w:bCs/>
          <w:kern w:val="0"/>
          <w:sz w:val="32"/>
          <w:szCs w:val="32"/>
        </w:rPr>
      </w:pPr>
      <w:r>
        <w:rPr>
          <w:rFonts w:hint="eastAsia" w:asciiTheme="minorEastAsia" w:hAnsiTheme="minorEastAsia"/>
          <w:bCs/>
          <w:kern w:val="0"/>
          <w:sz w:val="32"/>
          <w:szCs w:val="32"/>
        </w:rPr>
        <w:t>决算单位构成。</w:t>
      </w:r>
      <w:r>
        <w:rPr>
          <w:rFonts w:hint="eastAsia" w:asciiTheme="minorEastAsia" w:hAnsiTheme="minorEastAsia"/>
          <w:bCs/>
          <w:kern w:val="0"/>
          <w:sz w:val="32"/>
          <w:szCs w:val="32"/>
          <w:lang w:val="en-US" w:eastAsia="zh-CN"/>
        </w:rPr>
        <w:t>岳阳市公安局交通警察支队</w:t>
      </w:r>
      <w:r>
        <w:rPr>
          <w:rFonts w:asciiTheme="minorEastAsia" w:hAnsiTheme="minorEastAsia"/>
          <w:bCs/>
          <w:kern w:val="0"/>
          <w:sz w:val="32"/>
          <w:szCs w:val="32"/>
        </w:rPr>
        <w:t>20</w:t>
      </w:r>
      <w:r>
        <w:rPr>
          <w:rFonts w:hint="eastAsia" w:asciiTheme="minorEastAsia" w:hAnsiTheme="minorEastAsia"/>
          <w:bCs/>
          <w:kern w:val="0"/>
          <w:sz w:val="32"/>
          <w:szCs w:val="32"/>
        </w:rPr>
        <w:t>2</w:t>
      </w:r>
      <w:r>
        <w:rPr>
          <w:rFonts w:hint="eastAsia" w:asciiTheme="minorEastAsia" w:hAnsiTheme="minorEastAsia"/>
          <w:bCs/>
          <w:kern w:val="0"/>
          <w:sz w:val="32"/>
          <w:szCs w:val="32"/>
          <w:lang w:val="en-US" w:eastAsia="zh-CN"/>
        </w:rPr>
        <w:t>1</w:t>
      </w:r>
      <w:r>
        <w:rPr>
          <w:rFonts w:hint="eastAsia" w:asciiTheme="minorEastAsia" w:hAnsiTheme="minorEastAsia"/>
          <w:bCs/>
          <w:kern w:val="0"/>
          <w:sz w:val="32"/>
          <w:szCs w:val="32"/>
        </w:rPr>
        <w:t>年部门决算汇总公开单位构成包括：</w:t>
      </w:r>
      <w:r>
        <w:rPr>
          <w:rFonts w:hint="eastAsia" w:asciiTheme="minorEastAsia" w:hAnsiTheme="minorEastAsia"/>
          <w:bCs/>
          <w:kern w:val="0"/>
          <w:sz w:val="32"/>
          <w:szCs w:val="32"/>
          <w:lang w:val="en-US" w:eastAsia="zh-CN"/>
        </w:rPr>
        <w:t>岳阳市公安局交通警察支队本级（包含支队直属各单位）。</w:t>
      </w: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rFonts w:hint="eastAsia"/>
          <w:sz w:val="72"/>
          <w:szCs w:val="72"/>
        </w:rPr>
      </w:pPr>
      <w:r>
        <w:rPr>
          <w:rFonts w:hint="eastAsia"/>
          <w:sz w:val="72"/>
          <w:szCs w:val="72"/>
        </w:rPr>
        <w:t>部门决算表</w:t>
      </w:r>
    </w:p>
    <w:p>
      <w:pPr>
        <w:jc w:val="center"/>
        <w:rPr>
          <w:rFonts w:hint="eastAsia" w:eastAsiaTheme="minorEastAsia"/>
          <w:sz w:val="72"/>
          <w:szCs w:val="72"/>
          <w:lang w:eastAsia="zh-CN"/>
        </w:rPr>
      </w:pPr>
      <w:r>
        <w:rPr>
          <w:rFonts w:hint="eastAsia"/>
          <w:sz w:val="72"/>
          <w:szCs w:val="72"/>
          <w:lang w:eastAsia="zh-CN"/>
        </w:rPr>
        <w:t>（见附件）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12"/>
        <w:jc w:val="both"/>
        <w:rPr>
          <w:sz w:val="72"/>
          <w:szCs w:val="72"/>
        </w:rPr>
      </w:pPr>
    </w:p>
    <w:p>
      <w:pPr>
        <w:pStyle w:val="12"/>
        <w:jc w:val="center"/>
        <w:rPr>
          <w:sz w:val="72"/>
          <w:szCs w:val="72"/>
        </w:rPr>
      </w:pPr>
    </w:p>
    <w:p>
      <w:pPr>
        <w:pStyle w:val="12"/>
        <w:jc w:val="center"/>
        <w:rPr>
          <w:sz w:val="72"/>
          <w:szCs w:val="72"/>
        </w:rPr>
      </w:pPr>
      <w:r>
        <w:rPr>
          <w:rFonts w:hint="eastAsia"/>
          <w:sz w:val="72"/>
          <w:szCs w:val="72"/>
        </w:rPr>
        <w:t>第三部分</w:t>
      </w:r>
    </w:p>
    <w:p>
      <w:pPr>
        <w:pStyle w:val="12"/>
        <w:jc w:val="center"/>
        <w:rPr>
          <w:sz w:val="70"/>
          <w:szCs w:val="70"/>
        </w:rPr>
      </w:pPr>
    </w:p>
    <w:p>
      <w:pPr>
        <w:pStyle w:val="12"/>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12"/>
        <w:rPr>
          <w:rFonts w:asciiTheme="minorEastAsia" w:hAnsiTheme="minorEastAsia" w:eastAsiaTheme="minorEastAsia"/>
          <w:sz w:val="32"/>
          <w:szCs w:val="32"/>
        </w:rPr>
      </w:pPr>
    </w:p>
    <w:p>
      <w:pPr>
        <w:pStyle w:val="12"/>
        <w:rPr>
          <w:rFonts w:hAnsi="黑体"/>
          <w:b/>
          <w:sz w:val="32"/>
          <w:szCs w:val="32"/>
        </w:rPr>
      </w:pPr>
      <w:r>
        <w:rPr>
          <w:rFonts w:hint="eastAsia" w:hAnsi="黑体"/>
          <w:b/>
          <w:sz w:val="32"/>
          <w:szCs w:val="32"/>
        </w:rPr>
        <w:t>一、收入支出决算总体情况说明</w:t>
      </w:r>
    </w:p>
    <w:p>
      <w:pPr>
        <w:pStyle w:val="12"/>
        <w:ind w:firstLine="634"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年度收</w:t>
      </w:r>
      <w:r>
        <w:rPr>
          <w:rFonts w:hint="eastAsia" w:asciiTheme="minorEastAsia" w:hAnsiTheme="minorEastAsia" w:eastAsiaTheme="minorEastAsia"/>
          <w:sz w:val="32"/>
          <w:szCs w:val="32"/>
          <w:lang w:val="en-US" w:eastAsia="zh-CN"/>
        </w:rPr>
        <w:t>入支出</w:t>
      </w:r>
      <w:r>
        <w:rPr>
          <w:rFonts w:hint="eastAsia" w:asciiTheme="minorEastAsia" w:hAnsiTheme="minorEastAsia" w:eastAsiaTheme="minorEastAsia"/>
          <w:sz w:val="32"/>
          <w:szCs w:val="32"/>
        </w:rPr>
        <w:t>总计</w:t>
      </w:r>
      <w:r>
        <w:rPr>
          <w:rFonts w:hint="eastAsia" w:asciiTheme="minorEastAsia" w:hAnsiTheme="minorEastAsia" w:eastAsiaTheme="minorEastAsia"/>
          <w:sz w:val="32"/>
          <w:szCs w:val="32"/>
          <w:lang w:val="en-US" w:eastAsia="zh-CN"/>
        </w:rPr>
        <w:t>19241.43</w:t>
      </w:r>
      <w:r>
        <w:rPr>
          <w:rFonts w:hint="eastAsia" w:asciiTheme="minorEastAsia" w:hAnsiTheme="minorEastAsia" w:eastAsiaTheme="minorEastAsia"/>
          <w:sz w:val="32"/>
          <w:szCs w:val="32"/>
        </w:rPr>
        <w:t>万元。与上年相比，</w:t>
      </w:r>
      <w:r>
        <w:rPr>
          <w:rFonts w:hint="eastAsia" w:asciiTheme="minorEastAsia" w:hAnsiTheme="minorEastAsia" w:eastAsiaTheme="minorEastAsia"/>
          <w:sz w:val="32"/>
          <w:szCs w:val="32"/>
          <w:lang w:val="en-US" w:eastAsia="zh-CN"/>
        </w:rPr>
        <w:t>减少6440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减少25.08</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2020年财政拨付智能交通项目建设资金7000万元，支队转拨给城建投，2021年并未有此项收入支出。</w:t>
      </w:r>
    </w:p>
    <w:p>
      <w:pPr>
        <w:pStyle w:val="12"/>
        <w:rPr>
          <w:rFonts w:hAnsi="黑体"/>
          <w:b/>
          <w:sz w:val="32"/>
          <w:szCs w:val="32"/>
        </w:rPr>
      </w:pPr>
      <w:r>
        <w:rPr>
          <w:rFonts w:hint="eastAsia" w:hAnsi="黑体"/>
          <w:b/>
          <w:sz w:val="32"/>
          <w:szCs w:val="32"/>
        </w:rPr>
        <w:t>二、收入决算情况说明</w:t>
      </w:r>
    </w:p>
    <w:p>
      <w:pPr>
        <w:pStyle w:val="12"/>
        <w:ind w:firstLine="634"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2021年度收入合计18483.94万元，其中：财政拨款收入18052.94万元，占</w:t>
      </w:r>
      <w:r>
        <w:rPr>
          <w:rFonts w:hint="eastAsia" w:asciiTheme="minorEastAsia" w:hAnsiTheme="minorEastAsia" w:eastAsiaTheme="minorEastAsia"/>
          <w:sz w:val="32"/>
          <w:szCs w:val="32"/>
          <w:lang w:val="en-US" w:eastAsia="zh-CN"/>
        </w:rPr>
        <w:t>97.67</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431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2.33</w:t>
      </w:r>
      <w:r>
        <w:rPr>
          <w:rFonts w:hint="eastAsia" w:asciiTheme="minorEastAsia" w:hAnsiTheme="minorEastAsia" w:eastAsiaTheme="minorEastAsia"/>
          <w:sz w:val="32"/>
          <w:szCs w:val="32"/>
        </w:rPr>
        <w:t>%。</w:t>
      </w:r>
    </w:p>
    <w:p>
      <w:pPr>
        <w:pStyle w:val="12"/>
        <w:rPr>
          <w:rFonts w:hAnsi="黑体"/>
          <w:b/>
          <w:sz w:val="32"/>
          <w:szCs w:val="32"/>
        </w:rPr>
      </w:pPr>
      <w:r>
        <w:rPr>
          <w:rFonts w:hint="eastAsia" w:hAnsi="黑体"/>
          <w:b/>
          <w:sz w:val="32"/>
          <w:szCs w:val="32"/>
        </w:rPr>
        <w:t>三、支出决算情况说明</w:t>
      </w:r>
    </w:p>
    <w:p>
      <w:pPr>
        <w:pStyle w:val="12"/>
        <w:ind w:firstLine="634"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2021年度支出合计19156</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万元，其中：基本支出19156</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2"/>
        <w:rPr>
          <w:rFonts w:hAnsi="黑体"/>
          <w:b/>
          <w:sz w:val="32"/>
          <w:szCs w:val="32"/>
        </w:rPr>
      </w:pPr>
      <w:r>
        <w:rPr>
          <w:rFonts w:hint="eastAsia" w:hAnsi="黑体"/>
          <w:b/>
          <w:sz w:val="32"/>
          <w:szCs w:val="32"/>
        </w:rPr>
        <w:t>四、财政拨款收入支出决算总体情况说明</w:t>
      </w:r>
    </w:p>
    <w:p>
      <w:pPr>
        <w:pStyle w:val="12"/>
        <w:ind w:firstLine="634" w:firstLineChars="200"/>
        <w:rPr>
          <w:rFonts w:hint="default" w:hAnsi="黑体"/>
          <w:b/>
          <w:sz w:val="32"/>
          <w:szCs w:val="32"/>
          <w:lang w:val="en-US"/>
        </w:rPr>
      </w:pPr>
      <w:r>
        <w:rPr>
          <w:rFonts w:hint="eastAsia" w:asciiTheme="minorEastAsia" w:hAnsiTheme="minorEastAsia" w:eastAsiaTheme="minorEastAsia"/>
          <w:sz w:val="32"/>
          <w:szCs w:val="32"/>
        </w:rPr>
        <w:t>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年度</w:t>
      </w:r>
      <w:r>
        <w:rPr>
          <w:rFonts w:hint="eastAsia" w:asciiTheme="minorEastAsia" w:hAnsiTheme="minorEastAsia" w:eastAsiaTheme="minorEastAsia"/>
          <w:sz w:val="32"/>
          <w:szCs w:val="32"/>
          <w:lang w:val="en-US" w:eastAsia="zh-CN"/>
        </w:rPr>
        <w:t>财政拨款</w:t>
      </w:r>
      <w:r>
        <w:rPr>
          <w:rFonts w:hint="eastAsia" w:asciiTheme="minorEastAsia" w:hAnsiTheme="minorEastAsia" w:eastAsiaTheme="minorEastAsia"/>
          <w:sz w:val="32"/>
          <w:szCs w:val="32"/>
        </w:rPr>
        <w:t>收</w:t>
      </w:r>
      <w:r>
        <w:rPr>
          <w:rFonts w:hint="eastAsia" w:asciiTheme="minorEastAsia" w:hAnsiTheme="minorEastAsia" w:eastAsiaTheme="minorEastAsia"/>
          <w:sz w:val="32"/>
          <w:szCs w:val="32"/>
          <w:lang w:val="en-US" w:eastAsia="zh-CN"/>
        </w:rPr>
        <w:t>入支出</w:t>
      </w:r>
      <w:r>
        <w:rPr>
          <w:rFonts w:hint="eastAsia" w:asciiTheme="minorEastAsia" w:hAnsiTheme="minorEastAsia" w:eastAsiaTheme="minorEastAsia"/>
          <w:sz w:val="32"/>
          <w:szCs w:val="32"/>
        </w:rPr>
        <w:t>总计18646.16万元。与上年相比，</w:t>
      </w:r>
      <w:r>
        <w:rPr>
          <w:rFonts w:hint="eastAsia" w:asciiTheme="minorEastAsia" w:hAnsiTheme="minorEastAsia" w:eastAsiaTheme="minorEastAsia"/>
          <w:sz w:val="32"/>
          <w:szCs w:val="32"/>
          <w:lang w:val="en-US" w:eastAsia="zh-CN"/>
        </w:rPr>
        <w:t>减少6642.42</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26.27</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2020年财政拨付智能交通项目建设资金7000万元，2021年并无此项收支。</w:t>
      </w:r>
    </w:p>
    <w:p>
      <w:pPr>
        <w:pStyle w:val="12"/>
        <w:rPr>
          <w:rFonts w:hAnsi="黑体"/>
          <w:b/>
          <w:sz w:val="32"/>
          <w:szCs w:val="32"/>
        </w:rPr>
      </w:pPr>
      <w:r>
        <w:rPr>
          <w:rFonts w:hint="eastAsia" w:hAnsi="黑体"/>
          <w:b/>
          <w:sz w:val="32"/>
          <w:szCs w:val="32"/>
        </w:rPr>
        <w:t>五、一般公共预算财政拨款支出决算情况说明</w:t>
      </w:r>
    </w:p>
    <w:p>
      <w:pPr>
        <w:pStyle w:val="12"/>
        <w:ind w:firstLine="317" w:firstLineChars="1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2"/>
        <w:ind w:firstLine="634" w:firstLineChars="200"/>
        <w:rPr>
          <w:rFonts w:hint="default" w:asciiTheme="minorEastAsia" w:hAnsiTheme="minorEastAsia" w:eastAsiaTheme="minorEastAsia"/>
          <w:sz w:val="32"/>
          <w:szCs w:val="32"/>
          <w:lang w:val="en-US"/>
        </w:rPr>
      </w:pPr>
      <w:r>
        <w:rPr>
          <w:rFonts w:hint="eastAsia" w:asciiTheme="minorEastAsia" w:hAnsiTheme="minorEastAsia" w:eastAsiaTheme="minorEastAsia"/>
          <w:sz w:val="32"/>
          <w:szCs w:val="32"/>
        </w:rPr>
        <w:t>2021年度财政拨款支出18646.16万元，占本年支出合计的</w:t>
      </w:r>
      <w:r>
        <w:rPr>
          <w:rFonts w:hint="eastAsia" w:asciiTheme="minorEastAsia" w:hAnsiTheme="minorEastAsia" w:eastAsiaTheme="minorEastAsia"/>
          <w:sz w:val="32"/>
          <w:szCs w:val="32"/>
          <w:lang w:val="en-US" w:eastAsia="zh-CN"/>
        </w:rPr>
        <w:t>97.34</w:t>
      </w:r>
      <w:r>
        <w:rPr>
          <w:rFonts w:hint="eastAsia" w:asciiTheme="minorEastAsia" w:hAnsiTheme="minorEastAsia" w:eastAsiaTheme="minorEastAsia"/>
          <w:sz w:val="32"/>
          <w:szCs w:val="32"/>
        </w:rPr>
        <w:t>%，与上年相比，财政拨款支出减少</w:t>
      </w:r>
      <w:r>
        <w:rPr>
          <w:rFonts w:hint="eastAsia" w:asciiTheme="minorEastAsia" w:hAnsiTheme="minorEastAsia" w:eastAsiaTheme="minorEastAsia"/>
          <w:sz w:val="32"/>
          <w:szCs w:val="32"/>
          <w:lang w:val="en-US" w:eastAsia="zh-CN"/>
        </w:rPr>
        <w:t>6049.19</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24.50</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2020年财政预算拨付智能交通项目建设资金7000万元，支队将智能交通项目资金7000万元拨付给城建投用于该项目的建设，2021年并无此项支出。</w:t>
      </w:r>
    </w:p>
    <w:p>
      <w:pPr>
        <w:pStyle w:val="12"/>
        <w:ind w:firstLine="476"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2"/>
        <w:ind w:firstLine="634"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2021年度财政拨款支出18646.16万元，主要用于以下方面：一般公共服务（类）支出5.6万元，占</w:t>
      </w:r>
      <w:r>
        <w:rPr>
          <w:rFonts w:hint="eastAsia" w:asciiTheme="minorEastAsia" w:hAnsiTheme="minorEastAsia" w:eastAsiaTheme="minorEastAsia"/>
          <w:sz w:val="32"/>
          <w:szCs w:val="32"/>
          <w:lang w:val="en-US" w:eastAsia="zh-CN"/>
        </w:rPr>
        <w:t>0.03</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公共安全</w:t>
      </w:r>
      <w:r>
        <w:rPr>
          <w:rFonts w:hint="eastAsia" w:asciiTheme="minorEastAsia" w:hAnsiTheme="minorEastAsia" w:eastAsiaTheme="minorEastAsia"/>
          <w:sz w:val="32"/>
          <w:szCs w:val="32"/>
        </w:rPr>
        <w:t>支出17650.63万元，占</w:t>
      </w:r>
      <w:r>
        <w:rPr>
          <w:rFonts w:hint="eastAsia" w:asciiTheme="minorEastAsia" w:hAnsiTheme="minorEastAsia" w:eastAsiaTheme="minorEastAsia"/>
          <w:sz w:val="32"/>
          <w:szCs w:val="32"/>
          <w:lang w:val="en-US" w:eastAsia="zh-CN"/>
        </w:rPr>
        <w:t>94.66</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社会保障和就业支出572.39万元，占3.07%；卫生健康支出213.53万元，占比1.15%</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城乡社区支出204万元，占1.09%。</w:t>
      </w:r>
    </w:p>
    <w:p>
      <w:pPr>
        <w:pStyle w:val="12"/>
        <w:ind w:firstLine="317" w:firstLineChars="10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2"/>
        <w:ind w:firstLine="634"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2021年度财政拨款支出年初预算数为</w:t>
      </w:r>
      <w:r>
        <w:rPr>
          <w:rFonts w:hint="eastAsia" w:asciiTheme="minorEastAsia" w:hAnsiTheme="minorEastAsia" w:eastAsiaTheme="minorEastAsia"/>
          <w:sz w:val="32"/>
          <w:szCs w:val="32"/>
          <w:lang w:val="en-US" w:eastAsia="zh-CN"/>
        </w:rPr>
        <w:t>15909.36</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highlight w:val="none"/>
          <w:lang w:val="en-US" w:eastAsia="zh-CN"/>
        </w:rPr>
        <w:t>其中实际下单位12907.33万元，</w:t>
      </w:r>
      <w:r>
        <w:rPr>
          <w:rFonts w:hint="eastAsia" w:asciiTheme="minorEastAsia" w:hAnsiTheme="minorEastAsia" w:eastAsiaTheme="minorEastAsia"/>
          <w:sz w:val="32"/>
          <w:szCs w:val="32"/>
        </w:rPr>
        <w:t>支出决算数为</w:t>
      </w:r>
      <w:r>
        <w:rPr>
          <w:rFonts w:hint="eastAsia" w:asciiTheme="minorEastAsia" w:hAnsiTheme="minorEastAsia" w:eastAsiaTheme="minorEastAsia"/>
          <w:sz w:val="32"/>
          <w:szCs w:val="32"/>
          <w:lang w:val="en-US" w:eastAsia="zh-CN"/>
        </w:rPr>
        <w:t>18646.16</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117.20</w:t>
      </w:r>
      <w:r>
        <w:rPr>
          <w:rFonts w:hint="eastAsia" w:asciiTheme="minorEastAsia" w:hAnsiTheme="minorEastAsia" w:eastAsiaTheme="minorEastAsia"/>
          <w:sz w:val="32"/>
          <w:szCs w:val="32"/>
        </w:rPr>
        <w:t>%，其中：</w:t>
      </w:r>
    </w:p>
    <w:p>
      <w:pPr>
        <w:pStyle w:val="12"/>
        <w:ind w:firstLine="793" w:firstLineChars="250"/>
        <w:rPr>
          <w:rFonts w:hint="default" w:asciiTheme="minorEastAsia" w:hAnsiTheme="minorEastAsia" w:eastAsiaTheme="minorEastAsia"/>
          <w:sz w:val="32"/>
          <w:szCs w:val="32"/>
          <w:lang w:val="en-US"/>
        </w:rPr>
      </w:pPr>
      <w:r>
        <w:rPr>
          <w:rFonts w:hint="eastAsia" w:asciiTheme="minorEastAsia" w:hAnsiTheme="minorEastAsia" w:eastAsiaTheme="minorEastAsia"/>
          <w:sz w:val="32"/>
          <w:szCs w:val="32"/>
        </w:rPr>
        <w:t>1、</w:t>
      </w:r>
      <w:r>
        <w:rPr>
          <w:rFonts w:hint="eastAsia" w:asciiTheme="minorEastAsia" w:hAnsiTheme="minorEastAsia" w:eastAsiaTheme="minorEastAsia"/>
          <w:sz w:val="32"/>
          <w:szCs w:val="32"/>
          <w:highlight w:val="none"/>
          <w:lang w:val="en-US" w:eastAsia="zh-CN"/>
        </w:rPr>
        <w:t>一般公共服务支出（类）宣传事务</w:t>
      </w:r>
      <w:r>
        <w:rPr>
          <w:rFonts w:hint="eastAsia" w:asciiTheme="minorEastAsia" w:hAnsiTheme="minorEastAsia" w:eastAsiaTheme="minorEastAsia"/>
          <w:sz w:val="32"/>
          <w:szCs w:val="32"/>
          <w:highlight w:val="none"/>
        </w:rPr>
        <w:t>（款）</w:t>
      </w:r>
      <w:r>
        <w:rPr>
          <w:rFonts w:hint="eastAsia" w:asciiTheme="minorEastAsia" w:hAnsiTheme="minorEastAsia" w:eastAsiaTheme="minorEastAsia"/>
          <w:sz w:val="32"/>
          <w:szCs w:val="32"/>
          <w:highlight w:val="none"/>
          <w:lang w:val="en-US" w:eastAsia="zh-CN"/>
        </w:rPr>
        <w:t>其他宣传事务支出</w:t>
      </w:r>
      <w:r>
        <w:rPr>
          <w:rFonts w:hint="eastAsia" w:asciiTheme="minorEastAsia" w:hAnsiTheme="minorEastAsia" w:eastAsiaTheme="minorEastAsia"/>
          <w:sz w:val="32"/>
          <w:szCs w:val="32"/>
          <w:highlight w:val="none"/>
        </w:rPr>
        <w:t>（项）。</w:t>
      </w:r>
    </w:p>
    <w:p>
      <w:pPr>
        <w:pStyle w:val="12"/>
        <w:ind w:firstLine="793"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5.6</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由于预算数为0，无法计算百分比，</w:t>
      </w:r>
      <w:r>
        <w:rPr>
          <w:rFonts w:hint="eastAsia" w:asciiTheme="minorEastAsia" w:hAnsiTheme="minorEastAsia" w:eastAsiaTheme="minorEastAsia"/>
          <w:sz w:val="32"/>
          <w:szCs w:val="32"/>
        </w:rPr>
        <w:t>决算数大于年初预算数的主要原因是：</w:t>
      </w:r>
      <w:r>
        <w:rPr>
          <w:rFonts w:hint="eastAsia" w:asciiTheme="minorEastAsia" w:hAnsiTheme="minorEastAsia" w:eastAsiaTheme="minorEastAsia"/>
          <w:sz w:val="32"/>
          <w:szCs w:val="32"/>
          <w:lang w:val="en-US" w:eastAsia="zh-CN"/>
        </w:rPr>
        <w:t>财政后期追加预算文明城市创建奖励经费。</w:t>
      </w:r>
    </w:p>
    <w:p>
      <w:pPr>
        <w:pStyle w:val="12"/>
        <w:ind w:firstLine="793"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w:t>
      </w:r>
      <w:r>
        <w:rPr>
          <w:rFonts w:hint="eastAsia" w:asciiTheme="minorEastAsia" w:hAnsiTheme="minorEastAsia" w:eastAsiaTheme="minorEastAsia"/>
          <w:sz w:val="32"/>
          <w:szCs w:val="32"/>
          <w:highlight w:val="none"/>
        </w:rPr>
        <w:t>公共</w:t>
      </w:r>
      <w:r>
        <w:rPr>
          <w:rFonts w:hint="eastAsia" w:asciiTheme="minorEastAsia" w:hAnsiTheme="minorEastAsia" w:eastAsiaTheme="minorEastAsia"/>
          <w:sz w:val="32"/>
          <w:szCs w:val="32"/>
          <w:highlight w:val="none"/>
          <w:lang w:val="en-US" w:eastAsia="zh-CN"/>
        </w:rPr>
        <w:t>安全支出</w:t>
      </w:r>
      <w:r>
        <w:rPr>
          <w:rFonts w:hint="eastAsia" w:asciiTheme="minorEastAsia" w:hAnsiTheme="minorEastAsia" w:eastAsiaTheme="minorEastAsia"/>
          <w:sz w:val="32"/>
          <w:szCs w:val="32"/>
          <w:highlight w:val="none"/>
        </w:rPr>
        <w:t>（类）</w:t>
      </w:r>
      <w:r>
        <w:rPr>
          <w:rFonts w:hint="eastAsia" w:asciiTheme="minorEastAsia" w:hAnsiTheme="minorEastAsia" w:eastAsiaTheme="minorEastAsia"/>
          <w:sz w:val="32"/>
          <w:szCs w:val="32"/>
          <w:highlight w:val="none"/>
          <w:lang w:val="en-US" w:eastAsia="zh-CN"/>
        </w:rPr>
        <w:t>公安</w:t>
      </w:r>
      <w:r>
        <w:rPr>
          <w:rFonts w:hint="eastAsia" w:asciiTheme="minorEastAsia" w:hAnsiTheme="minorEastAsia" w:eastAsiaTheme="minorEastAsia"/>
          <w:sz w:val="32"/>
          <w:szCs w:val="32"/>
          <w:highlight w:val="none"/>
        </w:rPr>
        <w:t>（款）</w:t>
      </w:r>
      <w:r>
        <w:rPr>
          <w:rFonts w:hint="eastAsia" w:asciiTheme="minorEastAsia" w:hAnsiTheme="minorEastAsia" w:eastAsiaTheme="minorEastAsia"/>
          <w:sz w:val="32"/>
          <w:szCs w:val="32"/>
          <w:highlight w:val="none"/>
          <w:lang w:val="en-US" w:eastAsia="zh-CN"/>
        </w:rPr>
        <w:t>行政运行</w:t>
      </w:r>
      <w:r>
        <w:rPr>
          <w:rFonts w:hint="eastAsia" w:asciiTheme="minorEastAsia" w:hAnsiTheme="minorEastAsia" w:eastAsiaTheme="minorEastAsia"/>
          <w:sz w:val="32"/>
          <w:szCs w:val="32"/>
          <w:highlight w:val="none"/>
        </w:rPr>
        <w:t>（项）</w:t>
      </w:r>
      <w:r>
        <w:rPr>
          <w:rFonts w:hint="eastAsia" w:asciiTheme="minorEastAsia" w:hAnsiTheme="minorEastAsia" w:eastAsiaTheme="minorEastAsia"/>
          <w:sz w:val="32"/>
          <w:szCs w:val="32"/>
        </w:rPr>
        <w:t>。</w:t>
      </w:r>
    </w:p>
    <w:p>
      <w:pPr>
        <w:pStyle w:val="12"/>
        <w:ind w:firstLine="793"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5005.63</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5859.26</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117.05</w:t>
      </w:r>
      <w:r>
        <w:rPr>
          <w:rFonts w:hint="eastAsia" w:asciiTheme="minorEastAsia" w:hAnsiTheme="minorEastAsia" w:eastAsiaTheme="minorEastAsia"/>
          <w:sz w:val="32"/>
          <w:szCs w:val="32"/>
        </w:rPr>
        <w:t>%，决算数大于年初预算数的主要原因是：</w:t>
      </w:r>
      <w:r>
        <w:rPr>
          <w:rFonts w:hint="eastAsia" w:asciiTheme="minorEastAsia" w:hAnsiTheme="minorEastAsia" w:eastAsiaTheme="minorEastAsia"/>
          <w:sz w:val="32"/>
          <w:szCs w:val="32"/>
          <w:lang w:val="en-US" w:eastAsia="zh-CN"/>
        </w:rPr>
        <w:t>预算追加了2020年度的平安建设工作奖励、2020年度综合绩效考评奖励、2021年部分物业补贴。</w:t>
      </w:r>
    </w:p>
    <w:p>
      <w:pPr>
        <w:pStyle w:val="12"/>
        <w:numPr>
          <w:ilvl w:val="0"/>
          <w:numId w:val="4"/>
        </w:numPr>
        <w:ind w:firstLine="793" w:firstLineChars="250"/>
        <w:rPr>
          <w:rFonts w:hint="eastAsia" w:asciiTheme="minorEastAsia" w:hAnsiTheme="minorEastAsia" w:eastAsiaTheme="minorEastAsia"/>
          <w:sz w:val="32"/>
          <w:szCs w:val="32"/>
          <w:highlight w:val="none"/>
          <w:lang w:val="en-US" w:eastAsia="zh-CN"/>
        </w:rPr>
      </w:pPr>
      <w:r>
        <w:rPr>
          <w:rFonts w:hint="eastAsia" w:asciiTheme="minorEastAsia" w:hAnsiTheme="minorEastAsia" w:eastAsiaTheme="minorEastAsia"/>
          <w:sz w:val="32"/>
          <w:szCs w:val="32"/>
          <w:highlight w:val="none"/>
        </w:rPr>
        <w:t>公共</w:t>
      </w:r>
      <w:r>
        <w:rPr>
          <w:rFonts w:hint="eastAsia" w:asciiTheme="minorEastAsia" w:hAnsiTheme="minorEastAsia" w:eastAsiaTheme="minorEastAsia"/>
          <w:sz w:val="32"/>
          <w:szCs w:val="32"/>
          <w:highlight w:val="none"/>
          <w:lang w:val="en-US" w:eastAsia="zh-CN"/>
        </w:rPr>
        <w:t>安全支出</w:t>
      </w:r>
      <w:r>
        <w:rPr>
          <w:rFonts w:hint="eastAsia" w:asciiTheme="minorEastAsia" w:hAnsiTheme="minorEastAsia" w:eastAsiaTheme="minorEastAsia"/>
          <w:sz w:val="32"/>
          <w:szCs w:val="32"/>
          <w:highlight w:val="none"/>
        </w:rPr>
        <w:t>（类）</w:t>
      </w:r>
      <w:r>
        <w:rPr>
          <w:rFonts w:hint="eastAsia" w:asciiTheme="minorEastAsia" w:hAnsiTheme="minorEastAsia" w:eastAsiaTheme="minorEastAsia"/>
          <w:sz w:val="32"/>
          <w:szCs w:val="32"/>
          <w:highlight w:val="none"/>
          <w:lang w:val="en-US" w:eastAsia="zh-CN"/>
        </w:rPr>
        <w:t>公安</w:t>
      </w:r>
      <w:r>
        <w:rPr>
          <w:rFonts w:hint="eastAsia" w:asciiTheme="minorEastAsia" w:hAnsiTheme="minorEastAsia" w:eastAsiaTheme="minorEastAsia"/>
          <w:sz w:val="32"/>
          <w:szCs w:val="32"/>
          <w:highlight w:val="none"/>
        </w:rPr>
        <w:t>（款）</w:t>
      </w:r>
      <w:r>
        <w:rPr>
          <w:rFonts w:hint="eastAsia" w:asciiTheme="minorEastAsia" w:hAnsiTheme="minorEastAsia" w:eastAsiaTheme="minorEastAsia"/>
          <w:sz w:val="32"/>
          <w:szCs w:val="32"/>
          <w:highlight w:val="none"/>
          <w:lang w:val="en-US" w:eastAsia="zh-CN"/>
        </w:rPr>
        <w:t>一般行政管理事务（项） 。</w:t>
      </w:r>
    </w:p>
    <w:p>
      <w:pPr>
        <w:pStyle w:val="12"/>
        <w:ind w:firstLine="793" w:firstLineChars="250"/>
        <w:rPr>
          <w:rFonts w:hint="default" w:asciiTheme="minorEastAsia" w:hAnsiTheme="minorEastAsia" w:eastAsiaTheme="minorEastAsia"/>
          <w:sz w:val="32"/>
          <w:szCs w:val="32"/>
          <w:lang w:val="en-US"/>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1708.56</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4237.98</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249.04</w:t>
      </w:r>
      <w:r>
        <w:rPr>
          <w:rFonts w:hint="eastAsia" w:asciiTheme="minorEastAsia" w:hAnsiTheme="minorEastAsia" w:eastAsiaTheme="minorEastAsia"/>
          <w:sz w:val="32"/>
          <w:szCs w:val="32"/>
        </w:rPr>
        <w:t>%，决算数大于年初预算数的主要原因是：</w:t>
      </w:r>
      <w:r>
        <w:rPr>
          <w:rFonts w:hint="eastAsia" w:asciiTheme="minorEastAsia" w:hAnsiTheme="minorEastAsia" w:eastAsiaTheme="minorEastAsia"/>
          <w:sz w:val="32"/>
          <w:szCs w:val="32"/>
          <w:lang w:val="en-US" w:eastAsia="zh-CN"/>
        </w:rPr>
        <w:t>预算追加了2020年度的平安建设工作奖励、2020年度综合绩效考评奖励、年部分物业补贴、办案费、中央转移支付装备费等。</w:t>
      </w:r>
    </w:p>
    <w:p>
      <w:pPr>
        <w:pStyle w:val="12"/>
        <w:ind w:firstLine="793" w:firstLineChars="250"/>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lang w:val="en-US" w:eastAsia="zh-CN"/>
        </w:rPr>
        <w:t>4</w:t>
      </w:r>
      <w:r>
        <w:rPr>
          <w:rFonts w:hint="eastAsia" w:asciiTheme="minorEastAsia" w:hAnsiTheme="minorEastAsia" w:eastAsiaTheme="minorEastAsia"/>
          <w:sz w:val="32"/>
          <w:szCs w:val="32"/>
          <w:highlight w:val="none"/>
        </w:rPr>
        <w:t>、公共</w:t>
      </w:r>
      <w:r>
        <w:rPr>
          <w:rFonts w:hint="eastAsia" w:asciiTheme="minorEastAsia" w:hAnsiTheme="minorEastAsia" w:eastAsiaTheme="minorEastAsia"/>
          <w:sz w:val="32"/>
          <w:szCs w:val="32"/>
          <w:highlight w:val="none"/>
          <w:lang w:val="en-US" w:eastAsia="zh-CN"/>
        </w:rPr>
        <w:t>安全支出</w:t>
      </w:r>
      <w:r>
        <w:rPr>
          <w:rFonts w:hint="eastAsia" w:asciiTheme="minorEastAsia" w:hAnsiTheme="minorEastAsia" w:eastAsiaTheme="minorEastAsia"/>
          <w:sz w:val="32"/>
          <w:szCs w:val="32"/>
          <w:highlight w:val="none"/>
        </w:rPr>
        <w:t>（类）</w:t>
      </w:r>
      <w:r>
        <w:rPr>
          <w:rFonts w:hint="eastAsia" w:asciiTheme="minorEastAsia" w:hAnsiTheme="minorEastAsia" w:eastAsiaTheme="minorEastAsia"/>
          <w:sz w:val="32"/>
          <w:szCs w:val="32"/>
          <w:highlight w:val="none"/>
          <w:lang w:val="en-US" w:eastAsia="zh-CN"/>
        </w:rPr>
        <w:t>公安</w:t>
      </w:r>
      <w:r>
        <w:rPr>
          <w:rFonts w:hint="eastAsia" w:asciiTheme="minorEastAsia" w:hAnsiTheme="minorEastAsia" w:eastAsiaTheme="minorEastAsia"/>
          <w:sz w:val="32"/>
          <w:szCs w:val="32"/>
          <w:highlight w:val="none"/>
        </w:rPr>
        <w:t>（款）</w:t>
      </w:r>
      <w:r>
        <w:rPr>
          <w:rFonts w:hint="eastAsia" w:asciiTheme="minorEastAsia" w:hAnsiTheme="minorEastAsia" w:eastAsiaTheme="minorEastAsia"/>
          <w:sz w:val="32"/>
          <w:szCs w:val="32"/>
          <w:highlight w:val="none"/>
          <w:lang w:val="en-US" w:eastAsia="zh-CN"/>
        </w:rPr>
        <w:t>执法办案</w:t>
      </w:r>
      <w:r>
        <w:rPr>
          <w:rFonts w:hint="eastAsia" w:asciiTheme="minorEastAsia" w:hAnsiTheme="minorEastAsia" w:eastAsiaTheme="minorEastAsia"/>
          <w:sz w:val="32"/>
          <w:szCs w:val="32"/>
          <w:highlight w:val="none"/>
        </w:rPr>
        <w:t>（项）。</w:t>
      </w:r>
    </w:p>
    <w:p>
      <w:pPr>
        <w:pStyle w:val="12"/>
        <w:ind w:firstLine="793" w:firstLineChars="250"/>
        <w:rPr>
          <w:rFonts w:hint="default" w:asciiTheme="minorEastAsia" w:hAnsiTheme="minorEastAsia" w:eastAsiaTheme="minorEastAsia"/>
          <w:sz w:val="32"/>
          <w:szCs w:val="32"/>
          <w:highlight w:val="none"/>
          <w:lang w:val="en-US" w:eastAsia="zh-CN"/>
        </w:rPr>
      </w:pPr>
      <w:r>
        <w:rPr>
          <w:rFonts w:hint="eastAsia" w:asciiTheme="minorEastAsia" w:hAnsiTheme="minorEastAsia" w:eastAsiaTheme="minorEastAsia"/>
          <w:sz w:val="32"/>
          <w:szCs w:val="32"/>
          <w:highlight w:val="none"/>
        </w:rPr>
        <w:t>年初预算为</w:t>
      </w:r>
      <w:r>
        <w:rPr>
          <w:rFonts w:hint="eastAsia" w:asciiTheme="minorEastAsia" w:hAnsiTheme="minorEastAsia" w:eastAsiaTheme="minorEastAsia"/>
          <w:sz w:val="32"/>
          <w:szCs w:val="32"/>
          <w:highlight w:val="none"/>
          <w:lang w:val="en-US" w:eastAsia="zh-CN"/>
        </w:rPr>
        <w:t>5451.49</w:t>
      </w:r>
      <w:r>
        <w:rPr>
          <w:rFonts w:hint="eastAsia" w:asciiTheme="minorEastAsia" w:hAnsiTheme="minorEastAsia" w:eastAsiaTheme="minorEastAsia"/>
          <w:sz w:val="32"/>
          <w:szCs w:val="32"/>
          <w:highlight w:val="none"/>
        </w:rPr>
        <w:t>万元，支出决算为</w:t>
      </w:r>
      <w:r>
        <w:rPr>
          <w:rFonts w:hint="eastAsia" w:asciiTheme="minorEastAsia" w:hAnsiTheme="minorEastAsia" w:eastAsiaTheme="minorEastAsia"/>
          <w:sz w:val="32"/>
          <w:szCs w:val="32"/>
          <w:highlight w:val="none"/>
          <w:lang w:val="en-US" w:eastAsia="zh-CN"/>
        </w:rPr>
        <w:t>7489.49</w:t>
      </w:r>
      <w:r>
        <w:rPr>
          <w:rFonts w:hint="eastAsia" w:asciiTheme="minorEastAsia" w:hAnsiTheme="minorEastAsia" w:eastAsiaTheme="minorEastAsia"/>
          <w:sz w:val="32"/>
          <w:szCs w:val="32"/>
          <w:highlight w:val="none"/>
        </w:rPr>
        <w:t>万元，完成年初预算的</w:t>
      </w:r>
      <w:r>
        <w:rPr>
          <w:rFonts w:hint="eastAsia" w:asciiTheme="minorEastAsia" w:hAnsiTheme="minorEastAsia" w:eastAsiaTheme="minorEastAsia"/>
          <w:sz w:val="32"/>
          <w:szCs w:val="32"/>
          <w:highlight w:val="none"/>
          <w:lang w:val="en-US" w:eastAsia="zh-CN"/>
        </w:rPr>
        <w:t>137.38</w:t>
      </w:r>
      <w:r>
        <w:rPr>
          <w:rFonts w:hint="eastAsia" w:asciiTheme="minorEastAsia" w:hAnsiTheme="minorEastAsia" w:eastAsiaTheme="minorEastAsia"/>
          <w:sz w:val="32"/>
          <w:szCs w:val="32"/>
          <w:highlight w:val="none"/>
        </w:rPr>
        <w:t>%，决算数大于年初预算数的主要原因是</w:t>
      </w:r>
      <w:r>
        <w:rPr>
          <w:rFonts w:hint="eastAsia" w:asciiTheme="minorEastAsia" w:hAnsiTheme="minorEastAsia" w:eastAsiaTheme="minorEastAsia"/>
          <w:sz w:val="32"/>
          <w:szCs w:val="32"/>
          <w:highlight w:val="none"/>
          <w:lang w:eastAsia="zh-CN"/>
        </w:rPr>
        <w:t>：</w:t>
      </w:r>
      <w:r>
        <w:rPr>
          <w:rFonts w:hint="eastAsia" w:asciiTheme="minorEastAsia" w:hAnsiTheme="minorEastAsia" w:eastAsiaTheme="minorEastAsia"/>
          <w:sz w:val="32"/>
          <w:szCs w:val="32"/>
          <w:highlight w:val="none"/>
          <w:lang w:val="en-US" w:eastAsia="zh-CN"/>
        </w:rPr>
        <w:t>预算追加全省交警部门科目三考试成本性经费等。</w:t>
      </w:r>
    </w:p>
    <w:p>
      <w:pPr>
        <w:pStyle w:val="12"/>
        <w:ind w:firstLine="793" w:firstLineChars="250"/>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lang w:val="en-US" w:eastAsia="zh-CN"/>
        </w:rPr>
        <w:t>5</w:t>
      </w:r>
      <w:r>
        <w:rPr>
          <w:rFonts w:hint="eastAsia" w:asciiTheme="minorEastAsia" w:hAnsiTheme="minorEastAsia" w:eastAsiaTheme="minorEastAsia"/>
          <w:sz w:val="32"/>
          <w:szCs w:val="32"/>
          <w:highlight w:val="none"/>
        </w:rPr>
        <w:t>、公共</w:t>
      </w:r>
      <w:r>
        <w:rPr>
          <w:rFonts w:hint="eastAsia" w:asciiTheme="minorEastAsia" w:hAnsiTheme="minorEastAsia" w:eastAsiaTheme="minorEastAsia"/>
          <w:sz w:val="32"/>
          <w:szCs w:val="32"/>
          <w:highlight w:val="none"/>
          <w:lang w:val="en-US" w:eastAsia="zh-CN"/>
        </w:rPr>
        <w:t>安全支出</w:t>
      </w:r>
      <w:r>
        <w:rPr>
          <w:rFonts w:hint="eastAsia" w:asciiTheme="minorEastAsia" w:hAnsiTheme="minorEastAsia" w:eastAsiaTheme="minorEastAsia"/>
          <w:sz w:val="32"/>
          <w:szCs w:val="32"/>
          <w:highlight w:val="none"/>
        </w:rPr>
        <w:t>（类）</w:t>
      </w:r>
      <w:r>
        <w:rPr>
          <w:rFonts w:hint="eastAsia" w:asciiTheme="minorEastAsia" w:hAnsiTheme="minorEastAsia" w:eastAsiaTheme="minorEastAsia"/>
          <w:sz w:val="32"/>
          <w:szCs w:val="32"/>
          <w:highlight w:val="none"/>
          <w:lang w:val="en-US" w:eastAsia="zh-CN"/>
        </w:rPr>
        <w:t>公安</w:t>
      </w:r>
      <w:r>
        <w:rPr>
          <w:rFonts w:hint="eastAsia" w:asciiTheme="minorEastAsia" w:hAnsiTheme="minorEastAsia" w:eastAsiaTheme="minorEastAsia"/>
          <w:sz w:val="32"/>
          <w:szCs w:val="32"/>
          <w:highlight w:val="none"/>
        </w:rPr>
        <w:t>（款）</w:t>
      </w:r>
      <w:r>
        <w:rPr>
          <w:rFonts w:hint="eastAsia" w:asciiTheme="minorEastAsia" w:hAnsiTheme="minorEastAsia" w:eastAsiaTheme="minorEastAsia"/>
          <w:sz w:val="32"/>
          <w:szCs w:val="32"/>
          <w:highlight w:val="none"/>
          <w:lang w:val="en-US" w:eastAsia="zh-CN"/>
        </w:rPr>
        <w:t>其他公安支出</w:t>
      </w:r>
      <w:r>
        <w:rPr>
          <w:rFonts w:hint="eastAsia" w:asciiTheme="minorEastAsia" w:hAnsiTheme="minorEastAsia" w:eastAsiaTheme="minorEastAsia"/>
          <w:sz w:val="32"/>
          <w:szCs w:val="32"/>
          <w:highlight w:val="none"/>
        </w:rPr>
        <w:t>（项）。</w:t>
      </w:r>
    </w:p>
    <w:p>
      <w:pPr>
        <w:pStyle w:val="12"/>
        <w:ind w:firstLine="793" w:firstLineChars="250"/>
        <w:rPr>
          <w:rFonts w:hint="default" w:asciiTheme="minorEastAsia" w:hAnsiTheme="minorEastAsia" w:eastAsiaTheme="minorEastAsia"/>
          <w:sz w:val="32"/>
          <w:szCs w:val="32"/>
          <w:highlight w:val="none"/>
          <w:lang w:val="en-US" w:eastAsia="zh-CN"/>
        </w:rPr>
      </w:pPr>
      <w:r>
        <w:rPr>
          <w:rFonts w:hint="eastAsia" w:asciiTheme="minorEastAsia" w:hAnsiTheme="minorEastAsia" w:eastAsiaTheme="minorEastAsia"/>
          <w:sz w:val="32"/>
          <w:szCs w:val="32"/>
          <w:highlight w:val="none"/>
        </w:rPr>
        <w:t>年初预算为</w:t>
      </w:r>
      <w:r>
        <w:rPr>
          <w:rFonts w:hint="eastAsia" w:asciiTheme="minorEastAsia" w:hAnsiTheme="minorEastAsia" w:eastAsiaTheme="minorEastAsia"/>
          <w:sz w:val="32"/>
          <w:szCs w:val="32"/>
          <w:highlight w:val="none"/>
          <w:lang w:val="en-US" w:eastAsia="zh-CN"/>
        </w:rPr>
        <w:t>0</w:t>
      </w:r>
      <w:r>
        <w:rPr>
          <w:rFonts w:hint="eastAsia" w:asciiTheme="minorEastAsia" w:hAnsiTheme="minorEastAsia" w:eastAsiaTheme="minorEastAsia"/>
          <w:sz w:val="32"/>
          <w:szCs w:val="32"/>
          <w:highlight w:val="none"/>
        </w:rPr>
        <w:t>万元，支出决算为</w:t>
      </w:r>
      <w:r>
        <w:rPr>
          <w:rFonts w:hint="eastAsia" w:asciiTheme="minorEastAsia" w:hAnsiTheme="minorEastAsia" w:eastAsiaTheme="minorEastAsia"/>
          <w:sz w:val="32"/>
          <w:szCs w:val="32"/>
          <w:highlight w:val="none"/>
          <w:lang w:val="en-US" w:eastAsia="zh-CN"/>
        </w:rPr>
        <w:t>63.90</w:t>
      </w:r>
      <w:r>
        <w:rPr>
          <w:rFonts w:hint="eastAsia" w:asciiTheme="minorEastAsia" w:hAnsiTheme="minorEastAsia" w:eastAsiaTheme="minorEastAsia"/>
          <w:sz w:val="32"/>
          <w:szCs w:val="32"/>
          <w:highlight w:val="none"/>
        </w:rPr>
        <w:t>万元，</w:t>
      </w:r>
      <w:r>
        <w:rPr>
          <w:rFonts w:hint="eastAsia" w:asciiTheme="minorEastAsia" w:hAnsiTheme="minorEastAsia" w:eastAsiaTheme="minorEastAsia"/>
          <w:sz w:val="32"/>
          <w:szCs w:val="32"/>
          <w:lang w:val="en-US" w:eastAsia="zh-CN"/>
        </w:rPr>
        <w:t>由于预算数为0，无法计算百分比，</w:t>
      </w:r>
      <w:r>
        <w:rPr>
          <w:rFonts w:hint="eastAsia" w:asciiTheme="minorEastAsia" w:hAnsiTheme="minorEastAsia" w:eastAsiaTheme="minorEastAsia"/>
          <w:sz w:val="32"/>
          <w:szCs w:val="32"/>
          <w:highlight w:val="none"/>
        </w:rPr>
        <w:t>决算数大于年初预算数的主要原因是</w:t>
      </w:r>
      <w:r>
        <w:rPr>
          <w:rFonts w:hint="eastAsia" w:asciiTheme="minorEastAsia" w:hAnsiTheme="minorEastAsia" w:eastAsiaTheme="minorEastAsia"/>
          <w:sz w:val="32"/>
          <w:szCs w:val="32"/>
          <w:highlight w:val="none"/>
          <w:lang w:eastAsia="zh-CN"/>
        </w:rPr>
        <w:t>：</w:t>
      </w:r>
      <w:r>
        <w:rPr>
          <w:rFonts w:hint="eastAsia" w:asciiTheme="minorEastAsia" w:hAnsiTheme="minorEastAsia" w:eastAsiaTheme="minorEastAsia"/>
          <w:sz w:val="32"/>
          <w:szCs w:val="32"/>
          <w:highlight w:val="none"/>
          <w:lang w:val="en-US" w:eastAsia="zh-CN"/>
        </w:rPr>
        <w:t>预算追加人民警察伤亡特殊补助金等。</w:t>
      </w:r>
    </w:p>
    <w:p>
      <w:pPr>
        <w:pStyle w:val="12"/>
        <w:ind w:firstLine="793" w:firstLineChars="250"/>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lang w:val="en-US" w:eastAsia="zh-CN"/>
        </w:rPr>
        <w:t>6</w:t>
      </w:r>
      <w:r>
        <w:rPr>
          <w:rFonts w:hint="eastAsia" w:asciiTheme="minorEastAsia" w:hAnsiTheme="minorEastAsia" w:eastAsiaTheme="minorEastAsia"/>
          <w:sz w:val="32"/>
          <w:szCs w:val="32"/>
          <w:highlight w:val="none"/>
        </w:rPr>
        <w:t>、</w:t>
      </w:r>
      <w:r>
        <w:rPr>
          <w:rFonts w:hint="eastAsia" w:asciiTheme="minorEastAsia" w:hAnsiTheme="minorEastAsia" w:eastAsiaTheme="minorEastAsia"/>
          <w:sz w:val="32"/>
          <w:szCs w:val="32"/>
          <w:highlight w:val="none"/>
          <w:lang w:val="en-US" w:eastAsia="zh-CN"/>
        </w:rPr>
        <w:t>社会保障和就业支出</w:t>
      </w:r>
      <w:r>
        <w:rPr>
          <w:rFonts w:hint="eastAsia" w:asciiTheme="minorEastAsia" w:hAnsiTheme="minorEastAsia" w:eastAsiaTheme="minorEastAsia"/>
          <w:sz w:val="32"/>
          <w:szCs w:val="32"/>
          <w:highlight w:val="none"/>
        </w:rPr>
        <w:t>（类）</w:t>
      </w:r>
      <w:r>
        <w:rPr>
          <w:rFonts w:hint="eastAsia" w:asciiTheme="minorEastAsia" w:hAnsiTheme="minorEastAsia" w:eastAsiaTheme="minorEastAsia"/>
          <w:sz w:val="32"/>
          <w:szCs w:val="32"/>
          <w:highlight w:val="none"/>
          <w:lang w:val="en-US" w:eastAsia="zh-CN"/>
        </w:rPr>
        <w:t>行政事业单位养老支出</w:t>
      </w:r>
      <w:r>
        <w:rPr>
          <w:rFonts w:hint="eastAsia" w:asciiTheme="minorEastAsia" w:hAnsiTheme="minorEastAsia" w:eastAsiaTheme="minorEastAsia"/>
          <w:sz w:val="32"/>
          <w:szCs w:val="32"/>
          <w:highlight w:val="none"/>
        </w:rPr>
        <w:t>（款）</w:t>
      </w:r>
      <w:r>
        <w:rPr>
          <w:rFonts w:hint="eastAsia" w:asciiTheme="minorEastAsia" w:hAnsiTheme="minorEastAsia" w:eastAsiaTheme="minorEastAsia"/>
          <w:sz w:val="32"/>
          <w:szCs w:val="32"/>
          <w:highlight w:val="none"/>
          <w:lang w:val="en-US" w:eastAsia="zh-CN"/>
        </w:rPr>
        <w:t>机关事业单位基本养老保险缴费支出</w:t>
      </w:r>
      <w:r>
        <w:rPr>
          <w:rFonts w:hint="eastAsia" w:asciiTheme="minorEastAsia" w:hAnsiTheme="minorEastAsia" w:eastAsiaTheme="minorEastAsia"/>
          <w:sz w:val="32"/>
          <w:szCs w:val="32"/>
          <w:highlight w:val="none"/>
        </w:rPr>
        <w:t>（项）。</w:t>
      </w:r>
    </w:p>
    <w:p>
      <w:pPr>
        <w:pStyle w:val="12"/>
        <w:ind w:firstLine="793" w:firstLineChars="250"/>
        <w:rPr>
          <w:rFonts w:hint="eastAsia" w:asciiTheme="minorEastAsia" w:hAnsiTheme="minorEastAsia" w:eastAsiaTheme="minorEastAsia"/>
          <w:sz w:val="32"/>
          <w:szCs w:val="32"/>
          <w:highlight w:val="none"/>
          <w:lang w:eastAsia="zh-CN"/>
        </w:rPr>
      </w:pPr>
      <w:r>
        <w:rPr>
          <w:rFonts w:hint="eastAsia" w:asciiTheme="minorEastAsia" w:hAnsiTheme="minorEastAsia" w:eastAsiaTheme="minorEastAsia"/>
          <w:sz w:val="32"/>
          <w:szCs w:val="32"/>
          <w:highlight w:val="none"/>
        </w:rPr>
        <w:t>年初预算为</w:t>
      </w:r>
      <w:r>
        <w:rPr>
          <w:rFonts w:hint="eastAsia" w:asciiTheme="minorEastAsia" w:hAnsiTheme="minorEastAsia" w:eastAsiaTheme="minorEastAsia"/>
          <w:sz w:val="32"/>
          <w:szCs w:val="32"/>
          <w:highlight w:val="none"/>
          <w:lang w:val="en-US" w:eastAsia="zh-CN"/>
        </w:rPr>
        <w:t>483.54</w:t>
      </w:r>
      <w:r>
        <w:rPr>
          <w:rFonts w:hint="eastAsia" w:asciiTheme="minorEastAsia" w:hAnsiTheme="minorEastAsia" w:eastAsiaTheme="minorEastAsia"/>
          <w:sz w:val="32"/>
          <w:szCs w:val="32"/>
          <w:highlight w:val="none"/>
        </w:rPr>
        <w:t>万元，支出决算为</w:t>
      </w:r>
      <w:r>
        <w:rPr>
          <w:rFonts w:hint="eastAsia" w:asciiTheme="minorEastAsia" w:hAnsiTheme="minorEastAsia" w:eastAsiaTheme="minorEastAsia"/>
          <w:sz w:val="32"/>
          <w:szCs w:val="32"/>
          <w:highlight w:val="none"/>
          <w:lang w:val="en-US" w:eastAsia="zh-CN"/>
        </w:rPr>
        <w:t>483.54</w:t>
      </w:r>
      <w:r>
        <w:rPr>
          <w:rFonts w:hint="eastAsia" w:asciiTheme="minorEastAsia" w:hAnsiTheme="minorEastAsia" w:eastAsiaTheme="minorEastAsia"/>
          <w:sz w:val="32"/>
          <w:szCs w:val="32"/>
          <w:highlight w:val="none"/>
        </w:rPr>
        <w:t>万元，完成年初预算的</w:t>
      </w:r>
      <w:r>
        <w:rPr>
          <w:rFonts w:hint="eastAsia" w:asciiTheme="minorEastAsia" w:hAnsiTheme="minorEastAsia" w:eastAsiaTheme="minorEastAsia"/>
          <w:sz w:val="32"/>
          <w:szCs w:val="32"/>
          <w:highlight w:val="none"/>
          <w:lang w:val="en-US" w:eastAsia="zh-CN"/>
        </w:rPr>
        <w:t>100.00</w:t>
      </w:r>
      <w:r>
        <w:rPr>
          <w:rFonts w:hint="eastAsia" w:asciiTheme="minorEastAsia" w:hAnsiTheme="minorEastAsia" w:eastAsiaTheme="minorEastAsia"/>
          <w:sz w:val="32"/>
          <w:szCs w:val="32"/>
          <w:highlight w:val="none"/>
        </w:rPr>
        <w:t>%</w:t>
      </w:r>
      <w:r>
        <w:rPr>
          <w:rFonts w:hint="eastAsia" w:asciiTheme="minorEastAsia" w:hAnsiTheme="minorEastAsia" w:eastAsiaTheme="minorEastAsia"/>
          <w:sz w:val="32"/>
          <w:szCs w:val="32"/>
          <w:highlight w:val="none"/>
          <w:lang w:eastAsia="zh-CN"/>
        </w:rPr>
        <w:t>。</w:t>
      </w:r>
      <w:r>
        <w:rPr>
          <w:rFonts w:hint="eastAsia" w:asciiTheme="minorEastAsia" w:hAnsiTheme="minorEastAsia" w:eastAsiaTheme="minorEastAsia"/>
          <w:sz w:val="32"/>
          <w:szCs w:val="32"/>
          <w:highlight w:val="none"/>
        </w:rPr>
        <w:t>决算数</w:t>
      </w:r>
      <w:r>
        <w:rPr>
          <w:rFonts w:hint="eastAsia" w:asciiTheme="minorEastAsia" w:hAnsiTheme="minorEastAsia" w:eastAsiaTheme="minorEastAsia"/>
          <w:sz w:val="32"/>
          <w:szCs w:val="32"/>
          <w:highlight w:val="none"/>
          <w:lang w:val="en-US" w:eastAsia="zh-CN"/>
        </w:rPr>
        <w:t>等</w:t>
      </w:r>
      <w:r>
        <w:rPr>
          <w:rFonts w:hint="eastAsia" w:asciiTheme="minorEastAsia" w:hAnsiTheme="minorEastAsia" w:eastAsiaTheme="minorEastAsia"/>
          <w:sz w:val="32"/>
          <w:szCs w:val="32"/>
          <w:highlight w:val="none"/>
        </w:rPr>
        <w:t>于年初预算数的主要原因是</w:t>
      </w:r>
      <w:r>
        <w:rPr>
          <w:rFonts w:hint="eastAsia" w:asciiTheme="minorEastAsia" w:hAnsiTheme="minorEastAsia" w:eastAsiaTheme="minorEastAsia"/>
          <w:sz w:val="32"/>
          <w:szCs w:val="32"/>
          <w:highlight w:val="none"/>
          <w:lang w:eastAsia="zh-CN"/>
        </w:rPr>
        <w:t>：</w:t>
      </w:r>
      <w:r>
        <w:rPr>
          <w:rFonts w:hint="eastAsia" w:asciiTheme="minorEastAsia" w:hAnsiTheme="minorEastAsia" w:eastAsiaTheme="minorEastAsia"/>
          <w:sz w:val="32"/>
          <w:szCs w:val="32"/>
          <w:highlight w:val="none"/>
          <w:lang w:val="en-US" w:eastAsia="zh-CN"/>
        </w:rPr>
        <w:t>按预算安排支出。</w:t>
      </w:r>
    </w:p>
    <w:p>
      <w:pPr>
        <w:pStyle w:val="12"/>
        <w:ind w:firstLine="793" w:firstLineChars="250"/>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lang w:val="en-US" w:eastAsia="zh-CN"/>
        </w:rPr>
        <w:t>7</w:t>
      </w:r>
      <w:r>
        <w:rPr>
          <w:rFonts w:hint="eastAsia" w:asciiTheme="minorEastAsia" w:hAnsiTheme="minorEastAsia" w:eastAsiaTheme="minorEastAsia"/>
          <w:sz w:val="32"/>
          <w:szCs w:val="32"/>
          <w:highlight w:val="none"/>
        </w:rPr>
        <w:t>、</w:t>
      </w:r>
      <w:r>
        <w:rPr>
          <w:rFonts w:hint="eastAsia" w:asciiTheme="minorEastAsia" w:hAnsiTheme="minorEastAsia" w:eastAsiaTheme="minorEastAsia"/>
          <w:sz w:val="32"/>
          <w:szCs w:val="32"/>
          <w:highlight w:val="none"/>
          <w:lang w:val="en-US" w:eastAsia="zh-CN"/>
        </w:rPr>
        <w:t>社会保障和就业支出</w:t>
      </w:r>
      <w:r>
        <w:rPr>
          <w:rFonts w:hint="eastAsia" w:asciiTheme="minorEastAsia" w:hAnsiTheme="minorEastAsia" w:eastAsiaTheme="minorEastAsia"/>
          <w:sz w:val="32"/>
          <w:szCs w:val="32"/>
          <w:highlight w:val="none"/>
        </w:rPr>
        <w:t>（类）</w:t>
      </w:r>
      <w:r>
        <w:rPr>
          <w:rFonts w:hint="eastAsia" w:asciiTheme="minorEastAsia" w:hAnsiTheme="minorEastAsia" w:eastAsiaTheme="minorEastAsia"/>
          <w:sz w:val="32"/>
          <w:szCs w:val="32"/>
          <w:highlight w:val="none"/>
          <w:lang w:val="en-US" w:eastAsia="zh-CN"/>
        </w:rPr>
        <w:t>抚恤</w:t>
      </w:r>
      <w:r>
        <w:rPr>
          <w:rFonts w:hint="eastAsia" w:asciiTheme="minorEastAsia" w:hAnsiTheme="minorEastAsia" w:eastAsiaTheme="minorEastAsia"/>
          <w:sz w:val="32"/>
          <w:szCs w:val="32"/>
          <w:highlight w:val="none"/>
        </w:rPr>
        <w:t>（款）</w:t>
      </w:r>
      <w:r>
        <w:rPr>
          <w:rFonts w:hint="eastAsia" w:asciiTheme="minorEastAsia" w:hAnsiTheme="minorEastAsia" w:eastAsiaTheme="minorEastAsia"/>
          <w:sz w:val="32"/>
          <w:szCs w:val="32"/>
          <w:highlight w:val="none"/>
          <w:lang w:val="en-US" w:eastAsia="zh-CN"/>
        </w:rPr>
        <w:t>其他优抚支出</w:t>
      </w:r>
      <w:r>
        <w:rPr>
          <w:rFonts w:hint="eastAsia" w:asciiTheme="minorEastAsia" w:hAnsiTheme="minorEastAsia" w:eastAsiaTheme="minorEastAsia"/>
          <w:sz w:val="32"/>
          <w:szCs w:val="32"/>
          <w:highlight w:val="none"/>
        </w:rPr>
        <w:t>（项）。</w:t>
      </w:r>
    </w:p>
    <w:p>
      <w:pPr>
        <w:pStyle w:val="12"/>
        <w:ind w:firstLine="793" w:firstLineChars="250"/>
        <w:rPr>
          <w:rFonts w:hint="default" w:asciiTheme="minorEastAsia" w:hAnsiTheme="minorEastAsia" w:eastAsiaTheme="minorEastAsia"/>
          <w:sz w:val="32"/>
          <w:szCs w:val="32"/>
          <w:highlight w:val="none"/>
          <w:lang w:val="en-US" w:eastAsia="zh-CN"/>
        </w:rPr>
      </w:pPr>
      <w:r>
        <w:rPr>
          <w:rFonts w:hint="eastAsia" w:asciiTheme="minorEastAsia" w:hAnsiTheme="minorEastAsia" w:eastAsiaTheme="minorEastAsia"/>
          <w:sz w:val="32"/>
          <w:szCs w:val="32"/>
          <w:highlight w:val="none"/>
        </w:rPr>
        <w:t>年初预算为</w:t>
      </w:r>
      <w:r>
        <w:rPr>
          <w:rFonts w:hint="eastAsia" w:asciiTheme="minorEastAsia" w:hAnsiTheme="minorEastAsia" w:eastAsiaTheme="minorEastAsia"/>
          <w:sz w:val="32"/>
          <w:szCs w:val="32"/>
          <w:highlight w:val="none"/>
          <w:lang w:val="en-US" w:eastAsia="zh-CN"/>
        </w:rPr>
        <w:t>0</w:t>
      </w:r>
      <w:r>
        <w:rPr>
          <w:rFonts w:hint="eastAsia" w:asciiTheme="minorEastAsia" w:hAnsiTheme="minorEastAsia" w:eastAsiaTheme="minorEastAsia"/>
          <w:sz w:val="32"/>
          <w:szCs w:val="32"/>
          <w:highlight w:val="none"/>
        </w:rPr>
        <w:t>万元，支出决算为</w:t>
      </w:r>
      <w:r>
        <w:rPr>
          <w:rFonts w:hint="eastAsia" w:asciiTheme="minorEastAsia" w:hAnsiTheme="minorEastAsia" w:eastAsiaTheme="minorEastAsia"/>
          <w:sz w:val="32"/>
          <w:szCs w:val="32"/>
          <w:highlight w:val="none"/>
          <w:lang w:val="en-US" w:eastAsia="zh-CN"/>
        </w:rPr>
        <w:t>53.84</w:t>
      </w:r>
      <w:r>
        <w:rPr>
          <w:rFonts w:hint="eastAsia" w:asciiTheme="minorEastAsia" w:hAnsiTheme="minorEastAsia" w:eastAsiaTheme="minorEastAsia"/>
          <w:sz w:val="32"/>
          <w:szCs w:val="32"/>
          <w:highlight w:val="none"/>
        </w:rPr>
        <w:t>万元，</w:t>
      </w:r>
      <w:r>
        <w:rPr>
          <w:rFonts w:hint="eastAsia" w:asciiTheme="minorEastAsia" w:hAnsiTheme="minorEastAsia" w:eastAsiaTheme="minorEastAsia"/>
          <w:sz w:val="32"/>
          <w:szCs w:val="32"/>
          <w:lang w:val="en-US" w:eastAsia="zh-CN"/>
        </w:rPr>
        <w:t>由于预算数为0，无法计算百分比，</w:t>
      </w:r>
      <w:r>
        <w:rPr>
          <w:rFonts w:hint="eastAsia" w:asciiTheme="minorEastAsia" w:hAnsiTheme="minorEastAsia" w:eastAsiaTheme="minorEastAsia"/>
          <w:sz w:val="32"/>
          <w:szCs w:val="32"/>
          <w:highlight w:val="none"/>
        </w:rPr>
        <w:t>决算数大于年初预算数的主要原因是</w:t>
      </w:r>
      <w:r>
        <w:rPr>
          <w:rFonts w:hint="eastAsia" w:asciiTheme="minorEastAsia" w:hAnsiTheme="minorEastAsia" w:eastAsiaTheme="minorEastAsia"/>
          <w:sz w:val="32"/>
          <w:szCs w:val="32"/>
          <w:highlight w:val="none"/>
          <w:lang w:eastAsia="zh-CN"/>
        </w:rPr>
        <w:t>：</w:t>
      </w:r>
      <w:r>
        <w:rPr>
          <w:rFonts w:hint="eastAsia" w:asciiTheme="minorEastAsia" w:hAnsiTheme="minorEastAsia" w:eastAsiaTheme="minorEastAsia"/>
          <w:sz w:val="32"/>
          <w:szCs w:val="32"/>
          <w:highlight w:val="none"/>
          <w:lang w:val="en-US" w:eastAsia="zh-CN"/>
        </w:rPr>
        <w:t>财政后期追加预算。</w:t>
      </w:r>
    </w:p>
    <w:p>
      <w:pPr>
        <w:pStyle w:val="12"/>
        <w:ind w:firstLine="793" w:firstLineChars="250"/>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lang w:val="en-US" w:eastAsia="zh-CN"/>
        </w:rPr>
        <w:t>8</w:t>
      </w:r>
      <w:r>
        <w:rPr>
          <w:rFonts w:hint="eastAsia" w:asciiTheme="minorEastAsia" w:hAnsiTheme="minorEastAsia" w:eastAsiaTheme="minorEastAsia"/>
          <w:sz w:val="32"/>
          <w:szCs w:val="32"/>
          <w:highlight w:val="none"/>
        </w:rPr>
        <w:t>、</w:t>
      </w:r>
      <w:r>
        <w:rPr>
          <w:rFonts w:hint="eastAsia" w:asciiTheme="minorEastAsia" w:hAnsiTheme="minorEastAsia" w:eastAsiaTheme="minorEastAsia"/>
          <w:sz w:val="32"/>
          <w:szCs w:val="32"/>
          <w:highlight w:val="none"/>
          <w:lang w:val="en-US" w:eastAsia="zh-CN"/>
        </w:rPr>
        <w:t>社会保障和就业支出</w:t>
      </w:r>
      <w:r>
        <w:rPr>
          <w:rFonts w:hint="eastAsia" w:asciiTheme="minorEastAsia" w:hAnsiTheme="minorEastAsia" w:eastAsiaTheme="minorEastAsia"/>
          <w:sz w:val="32"/>
          <w:szCs w:val="32"/>
          <w:highlight w:val="none"/>
        </w:rPr>
        <w:t>（类）</w:t>
      </w:r>
      <w:r>
        <w:rPr>
          <w:rFonts w:hint="eastAsia" w:asciiTheme="minorEastAsia" w:hAnsiTheme="minorEastAsia" w:eastAsiaTheme="minorEastAsia"/>
          <w:sz w:val="32"/>
          <w:szCs w:val="32"/>
          <w:highlight w:val="none"/>
          <w:lang w:val="en-US" w:eastAsia="zh-CN"/>
        </w:rPr>
        <w:t>残疾人事业</w:t>
      </w:r>
      <w:r>
        <w:rPr>
          <w:rFonts w:hint="eastAsia" w:asciiTheme="minorEastAsia" w:hAnsiTheme="minorEastAsia" w:eastAsiaTheme="minorEastAsia"/>
          <w:sz w:val="32"/>
          <w:szCs w:val="32"/>
          <w:highlight w:val="none"/>
        </w:rPr>
        <w:t>（款）</w:t>
      </w:r>
      <w:r>
        <w:rPr>
          <w:rFonts w:hint="eastAsia" w:asciiTheme="minorEastAsia" w:hAnsiTheme="minorEastAsia" w:eastAsiaTheme="minorEastAsia"/>
          <w:sz w:val="32"/>
          <w:szCs w:val="32"/>
          <w:highlight w:val="none"/>
          <w:lang w:val="en-US" w:eastAsia="zh-CN"/>
        </w:rPr>
        <w:t>其他残疾人事业支出</w:t>
      </w:r>
      <w:r>
        <w:rPr>
          <w:rFonts w:hint="eastAsia" w:asciiTheme="minorEastAsia" w:hAnsiTheme="minorEastAsia" w:eastAsiaTheme="minorEastAsia"/>
          <w:sz w:val="32"/>
          <w:szCs w:val="32"/>
          <w:highlight w:val="none"/>
        </w:rPr>
        <w:t>（项）。</w:t>
      </w:r>
    </w:p>
    <w:p>
      <w:pPr>
        <w:pStyle w:val="12"/>
        <w:ind w:firstLine="793" w:firstLineChars="250"/>
        <w:rPr>
          <w:rFonts w:hint="default" w:asciiTheme="minorEastAsia" w:hAnsiTheme="minorEastAsia" w:eastAsiaTheme="minorEastAsia"/>
          <w:sz w:val="32"/>
          <w:szCs w:val="32"/>
          <w:highlight w:val="none"/>
          <w:lang w:val="en-US" w:eastAsia="zh-CN"/>
        </w:rPr>
      </w:pPr>
      <w:r>
        <w:rPr>
          <w:rFonts w:hint="eastAsia" w:asciiTheme="minorEastAsia" w:hAnsiTheme="minorEastAsia" w:eastAsiaTheme="minorEastAsia"/>
          <w:sz w:val="32"/>
          <w:szCs w:val="32"/>
          <w:highlight w:val="none"/>
        </w:rPr>
        <w:t>年初预算为</w:t>
      </w:r>
      <w:r>
        <w:rPr>
          <w:rFonts w:hint="eastAsia" w:asciiTheme="minorEastAsia" w:hAnsiTheme="minorEastAsia" w:eastAsiaTheme="minorEastAsia"/>
          <w:sz w:val="32"/>
          <w:szCs w:val="32"/>
          <w:highlight w:val="none"/>
          <w:lang w:val="en-US" w:eastAsia="zh-CN"/>
        </w:rPr>
        <w:t>35.01</w:t>
      </w:r>
      <w:r>
        <w:rPr>
          <w:rFonts w:hint="eastAsia" w:asciiTheme="minorEastAsia" w:hAnsiTheme="minorEastAsia" w:eastAsiaTheme="minorEastAsia"/>
          <w:sz w:val="32"/>
          <w:szCs w:val="32"/>
          <w:highlight w:val="none"/>
        </w:rPr>
        <w:t>万元，支出决算为</w:t>
      </w:r>
      <w:r>
        <w:rPr>
          <w:rFonts w:hint="eastAsia" w:asciiTheme="minorEastAsia" w:hAnsiTheme="minorEastAsia" w:eastAsiaTheme="minorEastAsia"/>
          <w:sz w:val="32"/>
          <w:szCs w:val="32"/>
          <w:highlight w:val="none"/>
          <w:lang w:val="en-US" w:eastAsia="zh-CN"/>
        </w:rPr>
        <w:t>35.01</w:t>
      </w:r>
      <w:r>
        <w:rPr>
          <w:rFonts w:hint="eastAsia" w:asciiTheme="minorEastAsia" w:hAnsiTheme="minorEastAsia" w:eastAsiaTheme="minorEastAsia"/>
          <w:sz w:val="32"/>
          <w:szCs w:val="32"/>
          <w:highlight w:val="none"/>
        </w:rPr>
        <w:t>万元，完成年初预算的</w:t>
      </w:r>
      <w:r>
        <w:rPr>
          <w:rFonts w:hint="eastAsia" w:asciiTheme="minorEastAsia" w:hAnsiTheme="minorEastAsia" w:eastAsiaTheme="minorEastAsia"/>
          <w:sz w:val="32"/>
          <w:szCs w:val="32"/>
          <w:highlight w:val="none"/>
          <w:lang w:val="en-US" w:eastAsia="zh-CN"/>
        </w:rPr>
        <w:t>100.00</w:t>
      </w:r>
      <w:r>
        <w:rPr>
          <w:rFonts w:hint="eastAsia" w:asciiTheme="minorEastAsia" w:hAnsiTheme="minorEastAsia" w:eastAsiaTheme="minorEastAsia"/>
          <w:sz w:val="32"/>
          <w:szCs w:val="32"/>
          <w:highlight w:val="none"/>
        </w:rPr>
        <w:t>%，决算数</w:t>
      </w:r>
      <w:r>
        <w:rPr>
          <w:rFonts w:hint="eastAsia" w:asciiTheme="minorEastAsia" w:hAnsiTheme="minorEastAsia" w:eastAsiaTheme="minorEastAsia"/>
          <w:sz w:val="32"/>
          <w:szCs w:val="32"/>
          <w:highlight w:val="none"/>
          <w:lang w:val="en-US" w:eastAsia="zh-CN"/>
        </w:rPr>
        <w:t>等</w:t>
      </w:r>
      <w:r>
        <w:rPr>
          <w:rFonts w:hint="eastAsia" w:asciiTheme="minorEastAsia" w:hAnsiTheme="minorEastAsia" w:eastAsiaTheme="minorEastAsia"/>
          <w:sz w:val="32"/>
          <w:szCs w:val="32"/>
          <w:highlight w:val="none"/>
        </w:rPr>
        <w:t>于年初预算数的主要原因是</w:t>
      </w:r>
      <w:r>
        <w:rPr>
          <w:rFonts w:hint="eastAsia" w:asciiTheme="minorEastAsia" w:hAnsiTheme="minorEastAsia" w:eastAsiaTheme="minorEastAsia"/>
          <w:sz w:val="32"/>
          <w:szCs w:val="32"/>
          <w:highlight w:val="none"/>
          <w:lang w:eastAsia="zh-CN"/>
        </w:rPr>
        <w:t>：</w:t>
      </w:r>
      <w:r>
        <w:rPr>
          <w:rFonts w:hint="eastAsia" w:asciiTheme="minorEastAsia" w:hAnsiTheme="minorEastAsia" w:eastAsiaTheme="minorEastAsia"/>
          <w:sz w:val="32"/>
          <w:szCs w:val="32"/>
          <w:highlight w:val="none"/>
          <w:lang w:val="en-US" w:eastAsia="zh-CN"/>
        </w:rPr>
        <w:t>按预算安排支出。</w:t>
      </w:r>
    </w:p>
    <w:p>
      <w:pPr>
        <w:pStyle w:val="12"/>
        <w:ind w:firstLine="793" w:firstLineChars="250"/>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lang w:val="en-US" w:eastAsia="zh-CN"/>
        </w:rPr>
        <w:t>9</w:t>
      </w:r>
      <w:r>
        <w:rPr>
          <w:rFonts w:hint="eastAsia" w:asciiTheme="minorEastAsia" w:hAnsiTheme="minorEastAsia" w:eastAsiaTheme="minorEastAsia"/>
          <w:sz w:val="32"/>
          <w:szCs w:val="32"/>
          <w:highlight w:val="none"/>
        </w:rPr>
        <w:t>、</w:t>
      </w:r>
      <w:r>
        <w:rPr>
          <w:rFonts w:hint="eastAsia" w:asciiTheme="minorEastAsia" w:hAnsiTheme="minorEastAsia" w:eastAsiaTheme="minorEastAsia"/>
          <w:sz w:val="32"/>
          <w:szCs w:val="32"/>
          <w:highlight w:val="none"/>
          <w:lang w:val="en-US" w:eastAsia="zh-CN"/>
        </w:rPr>
        <w:t>卫生健康支出</w:t>
      </w:r>
      <w:r>
        <w:rPr>
          <w:rFonts w:hint="eastAsia" w:asciiTheme="minorEastAsia" w:hAnsiTheme="minorEastAsia" w:eastAsiaTheme="minorEastAsia"/>
          <w:sz w:val="32"/>
          <w:szCs w:val="32"/>
          <w:highlight w:val="none"/>
        </w:rPr>
        <w:t>（类）</w:t>
      </w:r>
      <w:r>
        <w:rPr>
          <w:rFonts w:hint="eastAsia" w:asciiTheme="minorEastAsia" w:hAnsiTheme="minorEastAsia" w:eastAsiaTheme="minorEastAsia"/>
          <w:sz w:val="32"/>
          <w:szCs w:val="32"/>
          <w:highlight w:val="none"/>
          <w:lang w:val="en-US" w:eastAsia="zh-CN"/>
        </w:rPr>
        <w:t>行政事业单位医疗</w:t>
      </w:r>
      <w:r>
        <w:rPr>
          <w:rFonts w:hint="eastAsia" w:asciiTheme="minorEastAsia" w:hAnsiTheme="minorEastAsia" w:eastAsiaTheme="minorEastAsia"/>
          <w:sz w:val="32"/>
          <w:szCs w:val="32"/>
          <w:highlight w:val="none"/>
        </w:rPr>
        <w:t>（款）</w:t>
      </w:r>
      <w:r>
        <w:rPr>
          <w:rFonts w:hint="eastAsia" w:asciiTheme="minorEastAsia" w:hAnsiTheme="minorEastAsia" w:eastAsiaTheme="minorEastAsia"/>
          <w:sz w:val="32"/>
          <w:szCs w:val="32"/>
          <w:highlight w:val="none"/>
          <w:lang w:val="en-US" w:eastAsia="zh-CN"/>
        </w:rPr>
        <w:t>行政单位医疗</w:t>
      </w:r>
      <w:r>
        <w:rPr>
          <w:rFonts w:hint="eastAsia" w:asciiTheme="minorEastAsia" w:hAnsiTheme="minorEastAsia" w:eastAsiaTheme="minorEastAsia"/>
          <w:sz w:val="32"/>
          <w:szCs w:val="32"/>
          <w:highlight w:val="none"/>
        </w:rPr>
        <w:t>（项）。</w:t>
      </w:r>
    </w:p>
    <w:p>
      <w:pPr>
        <w:pStyle w:val="12"/>
        <w:ind w:firstLine="793" w:firstLineChars="250"/>
        <w:rPr>
          <w:rFonts w:hint="default" w:asciiTheme="minorEastAsia" w:hAnsiTheme="minorEastAsia" w:eastAsiaTheme="minorEastAsia"/>
          <w:sz w:val="32"/>
          <w:szCs w:val="32"/>
          <w:highlight w:val="none"/>
          <w:lang w:val="en-US" w:eastAsia="zh-CN"/>
        </w:rPr>
      </w:pPr>
      <w:r>
        <w:rPr>
          <w:rFonts w:hint="eastAsia" w:asciiTheme="minorEastAsia" w:hAnsiTheme="minorEastAsia" w:eastAsiaTheme="minorEastAsia"/>
          <w:sz w:val="32"/>
          <w:szCs w:val="32"/>
          <w:highlight w:val="none"/>
        </w:rPr>
        <w:t>年初预算为</w:t>
      </w:r>
      <w:r>
        <w:rPr>
          <w:rFonts w:hint="eastAsia" w:asciiTheme="minorEastAsia" w:hAnsiTheme="minorEastAsia" w:eastAsiaTheme="minorEastAsia"/>
          <w:sz w:val="32"/>
          <w:szCs w:val="32"/>
          <w:highlight w:val="none"/>
          <w:lang w:val="en-US" w:eastAsia="zh-CN"/>
        </w:rPr>
        <w:t>223.1</w:t>
      </w:r>
      <w:r>
        <w:rPr>
          <w:rFonts w:hint="eastAsia" w:asciiTheme="minorEastAsia" w:hAnsiTheme="minorEastAsia" w:eastAsiaTheme="minorEastAsia"/>
          <w:sz w:val="32"/>
          <w:szCs w:val="32"/>
          <w:highlight w:val="none"/>
        </w:rPr>
        <w:t>万元，支出决算为</w:t>
      </w:r>
      <w:r>
        <w:rPr>
          <w:rFonts w:hint="eastAsia" w:asciiTheme="minorEastAsia" w:hAnsiTheme="minorEastAsia" w:eastAsiaTheme="minorEastAsia"/>
          <w:sz w:val="32"/>
          <w:szCs w:val="32"/>
          <w:highlight w:val="none"/>
          <w:lang w:val="en-US" w:eastAsia="zh-CN"/>
        </w:rPr>
        <w:t>213.53</w:t>
      </w:r>
      <w:r>
        <w:rPr>
          <w:rFonts w:hint="eastAsia" w:asciiTheme="minorEastAsia" w:hAnsiTheme="minorEastAsia" w:eastAsiaTheme="minorEastAsia"/>
          <w:sz w:val="32"/>
          <w:szCs w:val="32"/>
          <w:highlight w:val="none"/>
        </w:rPr>
        <w:t>万元，完成年初预算的</w:t>
      </w:r>
      <w:r>
        <w:rPr>
          <w:rFonts w:hint="eastAsia" w:asciiTheme="minorEastAsia" w:hAnsiTheme="minorEastAsia" w:eastAsiaTheme="minorEastAsia"/>
          <w:sz w:val="32"/>
          <w:szCs w:val="32"/>
          <w:highlight w:val="none"/>
          <w:lang w:val="en-US" w:eastAsia="zh-CN"/>
        </w:rPr>
        <w:t>95.71</w:t>
      </w:r>
      <w:r>
        <w:rPr>
          <w:rFonts w:hint="eastAsia" w:asciiTheme="minorEastAsia" w:hAnsiTheme="minorEastAsia" w:eastAsiaTheme="minorEastAsia"/>
          <w:sz w:val="32"/>
          <w:szCs w:val="32"/>
          <w:highlight w:val="none"/>
        </w:rPr>
        <w:t>%，决算数</w:t>
      </w:r>
      <w:r>
        <w:rPr>
          <w:rFonts w:hint="eastAsia" w:asciiTheme="minorEastAsia" w:hAnsiTheme="minorEastAsia" w:eastAsiaTheme="minorEastAsia"/>
          <w:sz w:val="32"/>
          <w:szCs w:val="32"/>
          <w:highlight w:val="none"/>
          <w:lang w:val="en-US" w:eastAsia="zh-CN"/>
        </w:rPr>
        <w:t>小</w:t>
      </w:r>
      <w:r>
        <w:rPr>
          <w:rFonts w:hint="eastAsia" w:asciiTheme="minorEastAsia" w:hAnsiTheme="minorEastAsia" w:eastAsiaTheme="minorEastAsia"/>
          <w:sz w:val="32"/>
          <w:szCs w:val="32"/>
          <w:highlight w:val="none"/>
        </w:rPr>
        <w:t>于年初预算数的主要原因是</w:t>
      </w:r>
      <w:r>
        <w:rPr>
          <w:rFonts w:hint="eastAsia" w:asciiTheme="minorEastAsia" w:hAnsiTheme="minorEastAsia" w:eastAsiaTheme="minorEastAsia"/>
          <w:sz w:val="32"/>
          <w:szCs w:val="32"/>
          <w:highlight w:val="none"/>
          <w:lang w:eastAsia="zh-CN"/>
        </w:rPr>
        <w:t>：</w:t>
      </w:r>
      <w:r>
        <w:rPr>
          <w:rFonts w:hint="eastAsia" w:asciiTheme="minorEastAsia" w:hAnsiTheme="minorEastAsia" w:eastAsiaTheme="minorEastAsia"/>
          <w:sz w:val="32"/>
          <w:szCs w:val="32"/>
          <w:highlight w:val="none"/>
          <w:lang w:val="en-US" w:eastAsia="zh-CN"/>
        </w:rPr>
        <w:t>基数调整。</w:t>
      </w:r>
    </w:p>
    <w:p>
      <w:pPr>
        <w:pStyle w:val="12"/>
        <w:ind w:firstLine="793" w:firstLineChars="250"/>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rPr>
        <w:t>1</w:t>
      </w:r>
      <w:r>
        <w:rPr>
          <w:rFonts w:hint="eastAsia" w:asciiTheme="minorEastAsia" w:hAnsiTheme="minorEastAsia" w:eastAsiaTheme="minorEastAsia"/>
          <w:sz w:val="32"/>
          <w:szCs w:val="32"/>
          <w:highlight w:val="none"/>
          <w:lang w:val="en-US" w:eastAsia="zh-CN"/>
        </w:rPr>
        <w:t>0</w:t>
      </w:r>
      <w:r>
        <w:rPr>
          <w:rFonts w:hint="eastAsia" w:asciiTheme="minorEastAsia" w:hAnsiTheme="minorEastAsia" w:eastAsiaTheme="minorEastAsia"/>
          <w:sz w:val="32"/>
          <w:szCs w:val="32"/>
          <w:highlight w:val="none"/>
        </w:rPr>
        <w:t>、</w:t>
      </w:r>
      <w:r>
        <w:rPr>
          <w:rFonts w:hint="eastAsia" w:asciiTheme="minorEastAsia" w:hAnsiTheme="minorEastAsia" w:eastAsiaTheme="minorEastAsia"/>
          <w:sz w:val="32"/>
          <w:szCs w:val="32"/>
          <w:highlight w:val="none"/>
          <w:lang w:val="en-US" w:eastAsia="zh-CN"/>
        </w:rPr>
        <w:t>城乡社区支出</w:t>
      </w:r>
      <w:r>
        <w:rPr>
          <w:rFonts w:hint="eastAsia" w:asciiTheme="minorEastAsia" w:hAnsiTheme="minorEastAsia" w:eastAsiaTheme="minorEastAsia"/>
          <w:sz w:val="32"/>
          <w:szCs w:val="32"/>
          <w:highlight w:val="none"/>
        </w:rPr>
        <w:t>（类）</w:t>
      </w:r>
      <w:r>
        <w:rPr>
          <w:rFonts w:hint="eastAsia" w:asciiTheme="minorEastAsia" w:hAnsiTheme="minorEastAsia" w:eastAsiaTheme="minorEastAsia"/>
          <w:sz w:val="32"/>
          <w:szCs w:val="32"/>
          <w:highlight w:val="none"/>
          <w:lang w:val="en-US" w:eastAsia="zh-CN"/>
        </w:rPr>
        <w:t>城乡社区规划与管理</w:t>
      </w:r>
      <w:r>
        <w:rPr>
          <w:rFonts w:hint="eastAsia" w:asciiTheme="minorEastAsia" w:hAnsiTheme="minorEastAsia" w:eastAsiaTheme="minorEastAsia"/>
          <w:sz w:val="32"/>
          <w:szCs w:val="32"/>
          <w:highlight w:val="none"/>
        </w:rPr>
        <w:t>（款）</w:t>
      </w:r>
      <w:r>
        <w:rPr>
          <w:rFonts w:hint="eastAsia" w:asciiTheme="minorEastAsia" w:hAnsiTheme="minorEastAsia" w:eastAsiaTheme="minorEastAsia"/>
          <w:sz w:val="32"/>
          <w:szCs w:val="32"/>
          <w:highlight w:val="none"/>
          <w:lang w:val="en-US" w:eastAsia="zh-CN"/>
        </w:rPr>
        <w:t>城乡社区规划与管理</w:t>
      </w:r>
      <w:r>
        <w:rPr>
          <w:rFonts w:hint="eastAsia" w:asciiTheme="minorEastAsia" w:hAnsiTheme="minorEastAsia" w:eastAsiaTheme="minorEastAsia"/>
          <w:sz w:val="32"/>
          <w:szCs w:val="32"/>
          <w:highlight w:val="none"/>
        </w:rPr>
        <w:t>（项）。</w:t>
      </w:r>
    </w:p>
    <w:p>
      <w:pPr>
        <w:pStyle w:val="12"/>
        <w:ind w:firstLine="793"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highlight w:val="none"/>
        </w:rPr>
        <w:t>年初预算为</w:t>
      </w:r>
      <w:r>
        <w:rPr>
          <w:rFonts w:hint="eastAsia" w:asciiTheme="minorEastAsia" w:hAnsiTheme="minorEastAsia" w:eastAsiaTheme="minorEastAsia"/>
          <w:sz w:val="32"/>
          <w:szCs w:val="32"/>
          <w:highlight w:val="none"/>
          <w:lang w:val="en-US" w:eastAsia="zh-CN"/>
        </w:rPr>
        <w:t>0</w:t>
      </w:r>
      <w:r>
        <w:rPr>
          <w:rFonts w:hint="eastAsia" w:asciiTheme="minorEastAsia" w:hAnsiTheme="minorEastAsia" w:eastAsiaTheme="minorEastAsia"/>
          <w:sz w:val="32"/>
          <w:szCs w:val="32"/>
          <w:highlight w:val="none"/>
        </w:rPr>
        <w:t>万元，支出决算为</w:t>
      </w:r>
      <w:r>
        <w:rPr>
          <w:rFonts w:hint="eastAsia" w:asciiTheme="minorEastAsia" w:hAnsiTheme="minorEastAsia" w:eastAsiaTheme="minorEastAsia"/>
          <w:sz w:val="32"/>
          <w:szCs w:val="32"/>
          <w:highlight w:val="none"/>
          <w:lang w:val="en-US" w:eastAsia="zh-CN"/>
        </w:rPr>
        <w:t>204</w:t>
      </w:r>
      <w:r>
        <w:rPr>
          <w:rFonts w:hint="eastAsia" w:asciiTheme="minorEastAsia" w:hAnsiTheme="minorEastAsia" w:eastAsiaTheme="minorEastAsia"/>
          <w:sz w:val="32"/>
          <w:szCs w:val="32"/>
          <w:highlight w:val="none"/>
        </w:rPr>
        <w:t>万元，</w:t>
      </w:r>
      <w:r>
        <w:rPr>
          <w:rFonts w:hint="eastAsia" w:asciiTheme="minorEastAsia" w:hAnsiTheme="minorEastAsia" w:eastAsiaTheme="minorEastAsia"/>
          <w:sz w:val="32"/>
          <w:szCs w:val="32"/>
          <w:lang w:val="en-US" w:eastAsia="zh-CN"/>
        </w:rPr>
        <w:t>由于预算数为0，无法计算百分比，</w:t>
      </w:r>
      <w:r>
        <w:rPr>
          <w:rFonts w:hint="eastAsia" w:asciiTheme="minorEastAsia" w:hAnsiTheme="minorEastAsia" w:eastAsiaTheme="minorEastAsia"/>
          <w:sz w:val="32"/>
          <w:szCs w:val="32"/>
          <w:highlight w:val="none"/>
        </w:rPr>
        <w:t>决算数大于年初预算数的主要原因是</w:t>
      </w:r>
      <w:r>
        <w:rPr>
          <w:rFonts w:hint="eastAsia" w:asciiTheme="minorEastAsia" w:hAnsiTheme="minorEastAsia" w:eastAsiaTheme="minorEastAsia"/>
          <w:sz w:val="32"/>
          <w:szCs w:val="32"/>
          <w:highlight w:val="none"/>
          <w:lang w:eastAsia="zh-CN"/>
        </w:rPr>
        <w:t>：</w:t>
      </w:r>
      <w:r>
        <w:rPr>
          <w:rFonts w:hint="eastAsia" w:asciiTheme="minorEastAsia" w:hAnsiTheme="minorEastAsia" w:eastAsiaTheme="minorEastAsia"/>
          <w:sz w:val="32"/>
          <w:szCs w:val="32"/>
          <w:highlight w:val="none"/>
          <w:lang w:val="en-US" w:eastAsia="zh-CN"/>
        </w:rPr>
        <w:t>财政后期追加预算。</w:t>
      </w:r>
    </w:p>
    <w:p>
      <w:pPr>
        <w:pStyle w:val="12"/>
        <w:rPr>
          <w:rFonts w:hAnsi="黑体"/>
          <w:b/>
          <w:sz w:val="32"/>
          <w:szCs w:val="32"/>
        </w:rPr>
      </w:pPr>
      <w:r>
        <w:rPr>
          <w:rFonts w:hint="eastAsia" w:hAnsi="黑体"/>
          <w:b/>
          <w:sz w:val="32"/>
          <w:szCs w:val="32"/>
        </w:rPr>
        <w:t>六、一般公共预算财政拨款基本支出决算情况说明</w:t>
      </w:r>
    </w:p>
    <w:p>
      <w:pPr>
        <w:pStyle w:val="12"/>
        <w:ind w:firstLine="634"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2021年度财政拨款基本支出</w:t>
      </w:r>
      <w:r>
        <w:rPr>
          <w:rFonts w:hint="eastAsia" w:asciiTheme="minorEastAsia" w:hAnsiTheme="minorEastAsia" w:eastAsiaTheme="minorEastAsia"/>
          <w:sz w:val="32"/>
          <w:szCs w:val="32"/>
          <w:lang w:val="en-US" w:eastAsia="zh-CN"/>
        </w:rPr>
        <w:t>18646.16</w:t>
      </w:r>
      <w:r>
        <w:rPr>
          <w:rFonts w:hint="eastAsia" w:asciiTheme="minorEastAsia" w:hAnsiTheme="minorEastAsia" w:eastAsiaTheme="minorEastAsia"/>
          <w:sz w:val="32"/>
          <w:szCs w:val="32"/>
        </w:rPr>
        <w:t>万元，其中：人员经费10663.5</w:t>
      </w:r>
      <w:r>
        <w:rPr>
          <w:rFonts w:hint="eastAsia" w:asciiTheme="minorEastAsia" w:hAnsiTheme="minorEastAsia" w:eastAsiaTheme="minorEastAsia"/>
          <w:sz w:val="32"/>
          <w:szCs w:val="32"/>
          <w:lang w:val="en-US" w:eastAsia="zh-CN"/>
        </w:rPr>
        <w:t>8</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57.19</w:t>
      </w:r>
      <w:r>
        <w:rPr>
          <w:rFonts w:hint="eastAsia" w:asciiTheme="minorEastAsia" w:hAnsiTheme="minorEastAsia" w:eastAsiaTheme="minorEastAsia"/>
          <w:sz w:val="32"/>
          <w:szCs w:val="32"/>
        </w:rPr>
        <w:t>%,主要包括主要包括基本工资、津贴补贴、</w:t>
      </w:r>
      <w:r>
        <w:rPr>
          <w:rFonts w:hint="eastAsia" w:asciiTheme="minorEastAsia" w:hAnsiTheme="minorEastAsia" w:eastAsiaTheme="minorEastAsia"/>
          <w:sz w:val="32"/>
          <w:szCs w:val="32"/>
          <w:lang w:val="zh-CN"/>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r>
        <w:rPr>
          <w:rFonts w:hint="eastAsia" w:asciiTheme="minorEastAsia" w:hAnsiTheme="minorEastAsia" w:eastAsiaTheme="minorEastAsia"/>
          <w:sz w:val="32"/>
          <w:szCs w:val="32"/>
        </w:rPr>
        <w:t>；公用经费7982.58万元，占基本支出的</w:t>
      </w:r>
      <w:r>
        <w:rPr>
          <w:rFonts w:hint="eastAsia" w:asciiTheme="minorEastAsia" w:hAnsiTheme="minorEastAsia" w:eastAsiaTheme="minorEastAsia"/>
          <w:sz w:val="32"/>
          <w:szCs w:val="32"/>
          <w:lang w:val="en-US" w:eastAsia="zh-CN"/>
        </w:rPr>
        <w:t>42.81</w:t>
      </w:r>
      <w:r>
        <w:rPr>
          <w:rFonts w:hint="eastAsia" w:asciiTheme="minorEastAsia" w:hAnsiTheme="minorEastAsia" w:eastAsiaTheme="minorEastAsia"/>
          <w:sz w:val="32"/>
          <w:szCs w:val="32"/>
        </w:rPr>
        <w:t>%，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12"/>
        <w:rPr>
          <w:rFonts w:hAnsi="黑体"/>
          <w:b/>
          <w:sz w:val="32"/>
          <w:szCs w:val="32"/>
        </w:rPr>
      </w:pPr>
      <w:r>
        <w:rPr>
          <w:rFonts w:hint="eastAsia" w:hAnsi="黑体"/>
          <w:b/>
          <w:sz w:val="32"/>
          <w:szCs w:val="32"/>
        </w:rPr>
        <w:t>七、一般公共预算财政拨款“三公”经费支出决算情况说明</w:t>
      </w:r>
    </w:p>
    <w:p>
      <w:pPr>
        <w:pStyle w:val="12"/>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2"/>
        <w:ind w:firstLine="793"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2021年度“三公”经费财政拨款支出预算为</w:t>
      </w:r>
      <w:r>
        <w:rPr>
          <w:rFonts w:hint="eastAsia" w:asciiTheme="minorEastAsia" w:hAnsiTheme="minorEastAsia" w:eastAsiaTheme="minorEastAsia"/>
          <w:sz w:val="32"/>
          <w:szCs w:val="32"/>
          <w:lang w:val="en-US" w:eastAsia="zh-CN"/>
        </w:rPr>
        <w:t>530</w:t>
      </w:r>
      <w:r>
        <w:rPr>
          <w:rFonts w:hint="eastAsia" w:asciiTheme="minorEastAsia" w:hAnsiTheme="minorEastAsia" w:eastAsiaTheme="minorEastAsia"/>
          <w:sz w:val="32"/>
          <w:szCs w:val="32"/>
        </w:rPr>
        <w:t>万元，支出决算为302.47万元，完成预算的</w:t>
      </w:r>
      <w:r>
        <w:rPr>
          <w:rFonts w:hint="eastAsia" w:asciiTheme="minorEastAsia" w:hAnsiTheme="minorEastAsia" w:eastAsiaTheme="minorEastAsia"/>
          <w:sz w:val="32"/>
          <w:szCs w:val="32"/>
          <w:lang w:val="en-US" w:eastAsia="zh-CN"/>
        </w:rPr>
        <w:t>57.07</w:t>
      </w:r>
      <w:r>
        <w:rPr>
          <w:rFonts w:hint="eastAsia" w:asciiTheme="minorEastAsia" w:hAnsiTheme="minorEastAsia" w:eastAsiaTheme="minorEastAsia"/>
          <w:sz w:val="32"/>
          <w:szCs w:val="32"/>
        </w:rPr>
        <w:t>%，其中：</w:t>
      </w:r>
    </w:p>
    <w:p>
      <w:pPr>
        <w:pStyle w:val="12"/>
        <w:ind w:firstLine="793"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由于预算数为0，无法计算百分比</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等于</w:t>
      </w:r>
      <w:r>
        <w:rPr>
          <w:rFonts w:hint="eastAsia" w:asciiTheme="minorEastAsia" w:hAnsiTheme="minorEastAsia" w:eastAsiaTheme="minorEastAsia"/>
          <w:sz w:val="32"/>
          <w:szCs w:val="32"/>
        </w:rPr>
        <w:t>预算数的主要原因</w:t>
      </w:r>
      <w:r>
        <w:rPr>
          <w:rFonts w:hint="eastAsia" w:asciiTheme="minorEastAsia" w:hAnsiTheme="minorEastAsia" w:eastAsiaTheme="minorEastAsia"/>
          <w:sz w:val="32"/>
          <w:szCs w:val="32"/>
          <w:lang w:val="en-US" w:eastAsia="zh-CN"/>
        </w:rPr>
        <w:t>是本单位2021年度无因公出国境人员</w:t>
      </w:r>
      <w:r>
        <w:rPr>
          <w:rFonts w:hint="eastAsia" w:asciiTheme="minorEastAsia" w:hAnsiTheme="minorEastAsia" w:eastAsiaTheme="minorEastAsia"/>
          <w:sz w:val="32"/>
          <w:szCs w:val="32"/>
        </w:rPr>
        <w:t>，与上年相比</w:t>
      </w:r>
      <w:r>
        <w:rPr>
          <w:rFonts w:hint="eastAsia" w:asciiTheme="minorEastAsia" w:hAnsiTheme="minorEastAsia" w:eastAsiaTheme="minorEastAsia"/>
          <w:sz w:val="32"/>
          <w:szCs w:val="32"/>
          <w:lang w:val="en-US" w:eastAsia="zh-CN"/>
        </w:rPr>
        <w:t>持平</w:t>
      </w:r>
      <w:r>
        <w:rPr>
          <w:rFonts w:hint="eastAsia" w:asciiTheme="minorEastAsia" w:hAnsiTheme="minorEastAsia" w:eastAsiaTheme="minorEastAsia"/>
          <w:sz w:val="32"/>
          <w:szCs w:val="32"/>
        </w:rPr>
        <w:t>的主要原因</w:t>
      </w:r>
      <w:r>
        <w:rPr>
          <w:rFonts w:hint="eastAsia" w:asciiTheme="minorEastAsia" w:hAnsiTheme="minorEastAsia" w:eastAsiaTheme="minorEastAsia"/>
          <w:sz w:val="32"/>
          <w:szCs w:val="32"/>
          <w:lang w:val="en-US" w:eastAsia="zh-CN"/>
        </w:rPr>
        <w:t>是本单位无因公出国境人员</w:t>
      </w:r>
      <w:r>
        <w:rPr>
          <w:rFonts w:hint="eastAsia" w:asciiTheme="minorEastAsia" w:hAnsiTheme="minorEastAsia" w:eastAsiaTheme="minorEastAsia"/>
          <w:sz w:val="32"/>
          <w:szCs w:val="32"/>
        </w:rPr>
        <w:t>。</w:t>
      </w:r>
    </w:p>
    <w:p>
      <w:pPr>
        <w:pStyle w:val="12"/>
        <w:ind w:firstLine="793"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20</w:t>
      </w:r>
      <w:r>
        <w:rPr>
          <w:rFonts w:hint="eastAsia" w:asciiTheme="minorEastAsia" w:hAnsiTheme="minorEastAsia" w:eastAsiaTheme="minorEastAsia"/>
          <w:sz w:val="32"/>
          <w:szCs w:val="32"/>
        </w:rPr>
        <w:t>万元，支出决算为0.06万元，完成预算的</w:t>
      </w:r>
      <w:r>
        <w:rPr>
          <w:rFonts w:hint="eastAsia" w:asciiTheme="minorEastAsia" w:hAnsiTheme="minorEastAsia" w:eastAsiaTheme="minorEastAsia"/>
          <w:sz w:val="32"/>
          <w:szCs w:val="32"/>
          <w:lang w:val="en-US" w:eastAsia="zh-CN"/>
        </w:rPr>
        <w:t>0.3</w:t>
      </w:r>
      <w:r>
        <w:rPr>
          <w:rFonts w:hint="eastAsia" w:asciiTheme="minorEastAsia" w:hAnsiTheme="minorEastAsia" w:eastAsiaTheme="minorEastAsia"/>
          <w:sz w:val="32"/>
          <w:szCs w:val="32"/>
        </w:rPr>
        <w:t>%，决算数小</w:t>
      </w:r>
      <w:r>
        <w:rPr>
          <w:rFonts w:hint="eastAsia" w:asciiTheme="minorEastAsia" w:hAnsiTheme="minorEastAsia" w:eastAsiaTheme="minorEastAsia"/>
          <w:sz w:val="32"/>
          <w:szCs w:val="32"/>
          <w:lang w:val="en-US" w:eastAsia="zh-CN"/>
        </w:rPr>
        <w:t>于</w:t>
      </w:r>
      <w:r>
        <w:rPr>
          <w:rFonts w:hint="eastAsia" w:asciiTheme="minorEastAsia" w:hAnsiTheme="minorEastAsia" w:eastAsiaTheme="minorEastAsia"/>
          <w:sz w:val="32"/>
          <w:szCs w:val="32"/>
        </w:rPr>
        <w:t>预算数的主要原因是</w:t>
      </w:r>
      <w:r>
        <w:rPr>
          <w:rFonts w:hint="eastAsia" w:asciiTheme="minorEastAsia" w:hAnsiTheme="minorEastAsia" w:eastAsiaTheme="minorEastAsia"/>
          <w:sz w:val="32"/>
          <w:szCs w:val="32"/>
          <w:lang w:val="en-US" w:eastAsia="zh-CN"/>
        </w:rPr>
        <w:t>厉行节约，严格控制公务接待。</w:t>
      </w:r>
      <w:r>
        <w:rPr>
          <w:rFonts w:hint="eastAsia" w:asciiTheme="minorEastAsia" w:hAnsiTheme="minorEastAsia" w:eastAsiaTheme="minorEastAsia"/>
          <w:sz w:val="32"/>
          <w:szCs w:val="32"/>
        </w:rPr>
        <w:t>与上年相比减少</w:t>
      </w:r>
      <w:r>
        <w:rPr>
          <w:rFonts w:hint="eastAsia" w:asciiTheme="minorEastAsia" w:hAnsiTheme="minorEastAsia" w:eastAsiaTheme="minorEastAsia"/>
          <w:sz w:val="32"/>
          <w:szCs w:val="32"/>
          <w:lang w:val="en-US" w:eastAsia="zh-CN"/>
        </w:rPr>
        <w:t>0.27</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81.82</w:t>
      </w:r>
      <w:r>
        <w:rPr>
          <w:rFonts w:hint="eastAsia" w:asciiTheme="minorEastAsia" w:hAnsiTheme="minorEastAsia" w:eastAsiaTheme="minorEastAsia"/>
          <w:sz w:val="32"/>
          <w:szCs w:val="32"/>
        </w:rPr>
        <w:t>%,减少的主要原因是</w:t>
      </w:r>
      <w:r>
        <w:rPr>
          <w:rFonts w:hint="eastAsia" w:asciiTheme="minorEastAsia" w:hAnsiTheme="minorEastAsia" w:eastAsiaTheme="minorEastAsia"/>
          <w:sz w:val="32"/>
          <w:szCs w:val="32"/>
          <w:lang w:val="en-US" w:eastAsia="zh-CN"/>
        </w:rPr>
        <w:t>严格控制公务接待</w:t>
      </w:r>
      <w:r>
        <w:rPr>
          <w:rFonts w:hint="eastAsia" w:asciiTheme="minorEastAsia" w:hAnsiTheme="minorEastAsia" w:eastAsiaTheme="minorEastAsia"/>
          <w:sz w:val="32"/>
          <w:szCs w:val="32"/>
        </w:rPr>
        <w:t>。</w:t>
      </w:r>
    </w:p>
    <w:p>
      <w:pPr>
        <w:pStyle w:val="12"/>
        <w:ind w:firstLine="634"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公务用车购置费支出预算为</w:t>
      </w:r>
      <w:r>
        <w:rPr>
          <w:rFonts w:hint="eastAsia" w:asciiTheme="minorEastAsia" w:hAnsiTheme="minorEastAsia" w:eastAsiaTheme="minorEastAsia"/>
          <w:sz w:val="32"/>
          <w:szCs w:val="32"/>
          <w:lang w:val="en-US" w:eastAsia="zh-CN"/>
        </w:rPr>
        <w:t>160</w:t>
      </w:r>
      <w:r>
        <w:rPr>
          <w:rFonts w:hint="eastAsia" w:asciiTheme="minorEastAsia" w:hAnsiTheme="minorEastAsia" w:eastAsiaTheme="minorEastAsia"/>
          <w:sz w:val="32"/>
          <w:szCs w:val="32"/>
        </w:rPr>
        <w:t>万元，支出决算为24.85万元，完成预算的</w:t>
      </w:r>
      <w:r>
        <w:rPr>
          <w:rFonts w:hint="eastAsia" w:asciiTheme="minorEastAsia" w:hAnsiTheme="minorEastAsia" w:eastAsiaTheme="minorEastAsia"/>
          <w:sz w:val="32"/>
          <w:szCs w:val="32"/>
          <w:lang w:val="en-US" w:eastAsia="zh-CN"/>
        </w:rPr>
        <w:t>15.53</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sz w:val="32"/>
          <w:szCs w:val="32"/>
          <w:lang w:val="en-US" w:eastAsia="zh-CN"/>
        </w:rPr>
        <w:t>厉行节约，严格控制公务用车。</w:t>
      </w:r>
      <w:r>
        <w:rPr>
          <w:rFonts w:hint="eastAsia" w:asciiTheme="minorEastAsia" w:hAnsiTheme="minorEastAsia" w:eastAsiaTheme="minorEastAsia"/>
          <w:sz w:val="32"/>
          <w:szCs w:val="32"/>
        </w:rPr>
        <w:t>与上年相比</w:t>
      </w:r>
      <w:r>
        <w:rPr>
          <w:rFonts w:hint="eastAsia" w:asciiTheme="minorEastAsia" w:hAnsiTheme="minorEastAsia" w:eastAsiaTheme="minorEastAsia"/>
          <w:sz w:val="32"/>
          <w:szCs w:val="32"/>
          <w:lang w:val="en-US" w:eastAsia="zh-CN"/>
        </w:rPr>
        <w:t>减少31</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减少55.5</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减少</w:t>
      </w:r>
      <w:r>
        <w:rPr>
          <w:rFonts w:hint="eastAsia" w:asciiTheme="minorEastAsia" w:hAnsiTheme="minorEastAsia" w:eastAsiaTheme="minorEastAsia"/>
          <w:sz w:val="32"/>
          <w:szCs w:val="32"/>
        </w:rPr>
        <w:t>的主要原因是</w:t>
      </w:r>
      <w:r>
        <w:rPr>
          <w:rFonts w:hint="eastAsia" w:asciiTheme="minorEastAsia" w:hAnsiTheme="minorEastAsia" w:eastAsiaTheme="minorEastAsia"/>
          <w:sz w:val="32"/>
          <w:szCs w:val="32"/>
          <w:lang w:val="en-US" w:eastAsia="zh-CN"/>
        </w:rPr>
        <w:t>车辆报废更新</w:t>
      </w:r>
      <w:r>
        <w:rPr>
          <w:rFonts w:hint="eastAsia" w:asciiTheme="minorEastAsia" w:hAnsiTheme="minorEastAsia" w:eastAsiaTheme="minorEastAsia"/>
          <w:sz w:val="32"/>
          <w:szCs w:val="32"/>
        </w:rPr>
        <w:t>。</w:t>
      </w:r>
    </w:p>
    <w:p>
      <w:pPr>
        <w:pStyle w:val="12"/>
        <w:ind w:firstLine="634"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公务用车运行维护费支出预算为</w:t>
      </w:r>
      <w:r>
        <w:rPr>
          <w:rFonts w:hint="eastAsia" w:asciiTheme="minorEastAsia" w:hAnsiTheme="minorEastAsia" w:eastAsiaTheme="minorEastAsia"/>
          <w:sz w:val="32"/>
          <w:szCs w:val="32"/>
          <w:lang w:val="en-US" w:eastAsia="zh-CN"/>
        </w:rPr>
        <w:t>350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277.56</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79</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sz w:val="32"/>
          <w:szCs w:val="32"/>
          <w:lang w:val="en-US" w:eastAsia="zh-CN"/>
        </w:rPr>
        <w:t>厉行节约，严格控制公务用车</w:t>
      </w:r>
      <w:r>
        <w:rPr>
          <w:rFonts w:hint="eastAsia" w:asciiTheme="minorEastAsia" w:hAnsiTheme="minorEastAsia" w:eastAsiaTheme="minorEastAsia"/>
          <w:sz w:val="32"/>
          <w:szCs w:val="32"/>
        </w:rPr>
        <w:t>，与上年相比增加</w:t>
      </w:r>
      <w:r>
        <w:rPr>
          <w:rFonts w:hint="eastAsia" w:asciiTheme="minorEastAsia" w:hAnsiTheme="minorEastAsia" w:eastAsiaTheme="minorEastAsia"/>
          <w:sz w:val="32"/>
          <w:szCs w:val="32"/>
          <w:lang w:val="en-US" w:eastAsia="zh-CN"/>
        </w:rPr>
        <w:t>56.47</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25.54</w:t>
      </w:r>
      <w:r>
        <w:rPr>
          <w:rFonts w:hint="eastAsia" w:asciiTheme="minorEastAsia" w:hAnsiTheme="minorEastAsia" w:eastAsiaTheme="minorEastAsia"/>
          <w:sz w:val="32"/>
          <w:szCs w:val="32"/>
        </w:rPr>
        <w:t>%,增长的主要原因是</w:t>
      </w:r>
      <w:r>
        <w:rPr>
          <w:rFonts w:hint="eastAsia" w:asciiTheme="minorEastAsia" w:hAnsiTheme="minorEastAsia" w:eastAsiaTheme="minorEastAsia"/>
          <w:sz w:val="32"/>
          <w:szCs w:val="32"/>
          <w:lang w:val="en-US" w:eastAsia="zh-CN"/>
        </w:rPr>
        <w:t>2020年部分费用在2021年结算</w:t>
      </w:r>
      <w:r>
        <w:rPr>
          <w:rFonts w:hint="eastAsia" w:asciiTheme="minorEastAsia" w:hAnsiTheme="minorEastAsia" w:eastAsiaTheme="minorEastAsia"/>
          <w:sz w:val="32"/>
          <w:szCs w:val="32"/>
        </w:rPr>
        <w:t>。</w:t>
      </w:r>
    </w:p>
    <w:p>
      <w:pPr>
        <w:pStyle w:val="12"/>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12"/>
        <w:ind w:firstLine="634"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2021年度“三公”经费财政拨款支出决算中，公务接待费支出决算</w:t>
      </w:r>
      <w:r>
        <w:rPr>
          <w:rFonts w:hint="eastAsia" w:asciiTheme="minorEastAsia" w:hAnsiTheme="minorEastAsia" w:eastAsiaTheme="minorEastAsia"/>
          <w:sz w:val="32"/>
          <w:szCs w:val="32"/>
          <w:lang w:val="en-US" w:eastAsia="zh-CN"/>
        </w:rPr>
        <w:t>0.06</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0.02</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302.41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99.98</w:t>
      </w:r>
      <w:r>
        <w:rPr>
          <w:rFonts w:hint="eastAsia" w:asciiTheme="minorEastAsia" w:hAnsiTheme="minorEastAsia" w:eastAsiaTheme="minorEastAsia"/>
          <w:sz w:val="32"/>
          <w:szCs w:val="32"/>
        </w:rPr>
        <w:t>%。其中：</w:t>
      </w:r>
    </w:p>
    <w:p>
      <w:pPr>
        <w:pStyle w:val="12"/>
        <w:ind w:firstLine="634" w:firstLineChars="200"/>
        <w:rPr>
          <w:rFonts w:hint="eastAsia" w:asciiTheme="minorEastAsia" w:hAnsiTheme="minorEastAsia" w:eastAsiaTheme="minorEastAsia"/>
          <w:b/>
          <w:sz w:val="32"/>
          <w:szCs w:val="32"/>
          <w:lang w:val="en-US" w:eastAsia="zh-CN"/>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w:t>
      </w:r>
      <w:r>
        <w:rPr>
          <w:rFonts w:hint="eastAsia" w:asciiTheme="minorEastAsia" w:hAnsiTheme="minorEastAsia" w:eastAsiaTheme="minorEastAsia"/>
          <w:sz w:val="32"/>
          <w:szCs w:val="32"/>
          <w:lang w:eastAsia="zh-CN"/>
        </w:rPr>
        <w:t>。</w:t>
      </w:r>
    </w:p>
    <w:p>
      <w:pPr>
        <w:pStyle w:val="12"/>
        <w:ind w:firstLine="634"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0.06</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人次，主要是</w:t>
      </w:r>
      <w:r>
        <w:rPr>
          <w:rFonts w:hint="eastAsia" w:asciiTheme="minorEastAsia" w:hAnsiTheme="minorEastAsia" w:eastAsiaTheme="minorEastAsia"/>
          <w:sz w:val="32"/>
          <w:szCs w:val="32"/>
          <w:lang w:val="en-US" w:eastAsia="zh-CN"/>
        </w:rPr>
        <w:t>相关业务</w:t>
      </w:r>
      <w:r>
        <w:rPr>
          <w:rFonts w:hint="eastAsia" w:asciiTheme="minorEastAsia" w:hAnsiTheme="minorEastAsia" w:eastAsiaTheme="minorEastAsia"/>
          <w:sz w:val="32"/>
          <w:szCs w:val="32"/>
        </w:rPr>
        <w:t>发生的接待支出。</w:t>
      </w:r>
    </w:p>
    <w:p>
      <w:pPr>
        <w:ind w:firstLine="793" w:firstLineChars="250"/>
        <w:rPr>
          <w:rFonts w:hint="eastAsia" w:asciiTheme="minorEastAsia" w:hAnsiTheme="minorEastAsia"/>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302.41</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24.85</w:t>
      </w:r>
      <w:r>
        <w:rPr>
          <w:rFonts w:hint="eastAsia" w:asciiTheme="minorEastAsia" w:hAnsiTheme="minorEastAsia"/>
          <w:sz w:val="32"/>
          <w:szCs w:val="32"/>
        </w:rPr>
        <w:t>万元，</w:t>
      </w:r>
      <w:r>
        <w:rPr>
          <w:rFonts w:hint="eastAsia" w:asciiTheme="minorEastAsia" w:hAnsiTheme="minorEastAsia"/>
          <w:sz w:val="32"/>
          <w:szCs w:val="32"/>
          <w:lang w:val="en-US" w:eastAsia="zh-CN"/>
        </w:rPr>
        <w:t>支队</w:t>
      </w:r>
      <w:r>
        <w:rPr>
          <w:rFonts w:hint="eastAsia" w:asciiTheme="minorEastAsia" w:hAnsiTheme="minorEastAsia"/>
          <w:sz w:val="32"/>
          <w:szCs w:val="32"/>
        </w:rPr>
        <w:t>更新公务用车</w:t>
      </w:r>
      <w:r>
        <w:rPr>
          <w:rFonts w:hint="eastAsia" w:asciiTheme="minorEastAsia" w:hAnsiTheme="minorEastAsia"/>
          <w:sz w:val="32"/>
          <w:szCs w:val="32"/>
          <w:lang w:val="en-US" w:eastAsia="zh-CN"/>
        </w:rPr>
        <w:t>1</w:t>
      </w:r>
      <w:r>
        <w:rPr>
          <w:rFonts w:hint="eastAsia" w:asciiTheme="minorEastAsia" w:hAnsiTheme="minorEastAsia"/>
          <w:sz w:val="32"/>
          <w:szCs w:val="32"/>
        </w:rPr>
        <w:t>辆</w:t>
      </w:r>
      <w:r>
        <w:rPr>
          <w:rFonts w:hint="eastAsia" w:asciiTheme="minorEastAsia" w:hAnsiTheme="minorEastAsia"/>
          <w:color w:val="000000" w:themeColor="text1"/>
          <w:sz w:val="32"/>
          <w:szCs w:val="32"/>
          <w14:textFill>
            <w14:solidFill>
              <w14:schemeClr w14:val="tx1"/>
            </w14:solidFill>
          </w14:textFill>
        </w:rPr>
        <w:t>。</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277.56</w:t>
      </w:r>
      <w:r>
        <w:rPr>
          <w:rFonts w:hint="eastAsia" w:asciiTheme="minorEastAsia" w:hAnsiTheme="minorEastAsia"/>
          <w:sz w:val="32"/>
          <w:szCs w:val="32"/>
        </w:rPr>
        <w:t>万元，主要是</w:t>
      </w:r>
      <w:r>
        <w:rPr>
          <w:rFonts w:hint="eastAsia" w:asciiTheme="minorEastAsia" w:hAnsiTheme="minorEastAsia"/>
          <w:sz w:val="32"/>
          <w:szCs w:val="32"/>
          <w:lang w:val="en-US" w:eastAsia="zh-CN"/>
        </w:rPr>
        <w:t>公务用车日常维护运行等</w:t>
      </w:r>
      <w:r>
        <w:rPr>
          <w:rFonts w:hint="eastAsia" w:asciiTheme="minorEastAsia" w:hAnsiTheme="minorEastAsia"/>
          <w:sz w:val="32"/>
          <w:szCs w:val="32"/>
        </w:rPr>
        <w:t>支出，截止2021年12月31日，我单位开支财政拨款的公务用车保有量为</w:t>
      </w:r>
      <w:r>
        <w:rPr>
          <w:rFonts w:hint="eastAsia" w:asciiTheme="minorEastAsia" w:hAnsiTheme="minorEastAsia"/>
          <w:sz w:val="32"/>
          <w:szCs w:val="32"/>
          <w:lang w:val="en-US" w:eastAsia="zh-CN"/>
        </w:rPr>
        <w:t>72</w:t>
      </w:r>
      <w:r>
        <w:rPr>
          <w:rFonts w:hint="eastAsia" w:asciiTheme="minorEastAsia" w:hAnsiTheme="minorEastAsia"/>
          <w:sz w:val="32"/>
          <w:szCs w:val="32"/>
        </w:rPr>
        <w:t>辆。</w:t>
      </w:r>
    </w:p>
    <w:p>
      <w:pPr>
        <w:pStyle w:val="12"/>
        <w:rPr>
          <w:rFonts w:hAnsi="黑体"/>
          <w:b/>
          <w:sz w:val="32"/>
          <w:szCs w:val="32"/>
        </w:rPr>
      </w:pPr>
      <w:r>
        <w:rPr>
          <w:rFonts w:hint="eastAsia" w:hAnsi="黑体"/>
          <w:b/>
          <w:sz w:val="32"/>
          <w:szCs w:val="32"/>
        </w:rPr>
        <w:t>八、政府性基金预算收入支出决算情况</w:t>
      </w:r>
    </w:p>
    <w:p>
      <w:pPr>
        <w:pStyle w:val="12"/>
        <w:ind w:firstLine="634" w:firstLineChars="200"/>
        <w:rPr>
          <w:rFonts w:hint="eastAsia" w:asciiTheme="minorEastAsia" w:hAnsiTheme="minorEastAsia" w:eastAsiaTheme="minorEastAsia" w:cstheme="minorEastAsia"/>
          <w:b w:val="0"/>
          <w:bCs w:val="0"/>
          <w:i w:val="0"/>
          <w:iCs/>
          <w:color w:val="000000" w:themeColor="text1"/>
          <w:sz w:val="32"/>
          <w:szCs w:val="32"/>
          <w:lang w:eastAsia="zh-CN"/>
          <w14:textFill>
            <w14:solidFill>
              <w14:schemeClr w14:val="tx1"/>
            </w14:solidFill>
          </w14:textFill>
        </w:rPr>
      </w:pPr>
      <w:r>
        <w:rPr>
          <w:rFonts w:hint="eastAsia" w:asciiTheme="minorEastAsia" w:hAnsiTheme="minorEastAsia" w:eastAsiaTheme="minorEastAsia"/>
          <w:sz w:val="32"/>
          <w:szCs w:val="32"/>
        </w:rPr>
        <w:t>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年度</w:t>
      </w:r>
      <w:r>
        <w:rPr>
          <w:rFonts w:hint="eastAsia" w:asciiTheme="minorEastAsia" w:hAnsiTheme="minorEastAsia" w:eastAsiaTheme="minorEastAsia" w:cstheme="minorEastAsia"/>
          <w:b w:val="0"/>
          <w:bCs w:val="0"/>
          <w:i w:val="0"/>
          <w:iCs/>
          <w:color w:val="000000" w:themeColor="text1"/>
          <w:sz w:val="32"/>
          <w:szCs w:val="32"/>
          <w14:textFill>
            <w14:solidFill>
              <w14:schemeClr w14:val="tx1"/>
            </w14:solidFill>
          </w14:textFill>
        </w:rPr>
        <w:t>本单位无政府性基金收支</w:t>
      </w:r>
      <w:r>
        <w:rPr>
          <w:rFonts w:hint="eastAsia" w:asciiTheme="minorEastAsia" w:hAnsiTheme="minorEastAsia" w:eastAsiaTheme="minorEastAsia" w:cstheme="minorEastAsia"/>
          <w:b w:val="0"/>
          <w:bCs w:val="0"/>
          <w:i w:val="0"/>
          <w:iCs/>
          <w:color w:val="000000" w:themeColor="text1"/>
          <w:sz w:val="32"/>
          <w:szCs w:val="32"/>
          <w:lang w:eastAsia="zh-CN"/>
          <w14:textFill>
            <w14:solidFill>
              <w14:schemeClr w14:val="tx1"/>
            </w14:solidFill>
          </w14:textFill>
        </w:rPr>
        <w:t>。</w:t>
      </w:r>
    </w:p>
    <w:p>
      <w:pPr>
        <w:pStyle w:val="12"/>
        <w:numPr>
          <w:ilvl w:val="0"/>
          <w:numId w:val="5"/>
        </w:numPr>
        <w:rPr>
          <w:rFonts w:hint="eastAsia" w:hAnsi="黑体"/>
          <w:b/>
          <w:sz w:val="32"/>
          <w:szCs w:val="32"/>
          <w:lang w:eastAsia="zh-CN"/>
        </w:rPr>
      </w:pPr>
      <w:r>
        <w:rPr>
          <w:rFonts w:hint="eastAsia" w:hAnsi="黑体"/>
          <w:b/>
          <w:sz w:val="32"/>
          <w:szCs w:val="32"/>
        </w:rPr>
        <w:t>国有资本经营预算财政拨款支出决算</w:t>
      </w:r>
      <w:r>
        <w:rPr>
          <w:rFonts w:hint="eastAsia" w:hAnsi="黑体"/>
          <w:b/>
          <w:sz w:val="32"/>
          <w:szCs w:val="32"/>
          <w:lang w:eastAsia="zh-CN"/>
        </w:rPr>
        <w:t>情况</w:t>
      </w:r>
    </w:p>
    <w:p>
      <w:pPr>
        <w:pStyle w:val="12"/>
        <w:ind w:firstLine="634"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年度</w:t>
      </w:r>
      <w:r>
        <w:rPr>
          <w:rFonts w:hint="eastAsia" w:asciiTheme="minorEastAsia" w:hAnsiTheme="minorEastAsia" w:eastAsiaTheme="minorEastAsia"/>
          <w:sz w:val="32"/>
          <w:szCs w:val="32"/>
          <w:lang w:val="en-US" w:eastAsia="zh-CN"/>
        </w:rPr>
        <w:t>本</w:t>
      </w:r>
      <w:r>
        <w:rPr>
          <w:rFonts w:hint="eastAsia" w:asciiTheme="minorEastAsia" w:hAnsiTheme="minorEastAsia" w:eastAsiaTheme="minorEastAsia"/>
          <w:sz w:val="32"/>
          <w:szCs w:val="32"/>
        </w:rPr>
        <w:t>单位无国有资本经营预算财政拨款支出</w:t>
      </w:r>
      <w:r>
        <w:rPr>
          <w:rFonts w:hint="eastAsia" w:asciiTheme="minorEastAsia" w:hAnsiTheme="minorEastAsia" w:eastAsiaTheme="minorEastAsia"/>
          <w:sz w:val="32"/>
          <w:szCs w:val="32"/>
          <w:lang w:eastAsia="zh-CN"/>
        </w:rPr>
        <w:t>。</w:t>
      </w:r>
    </w:p>
    <w:p>
      <w:pPr>
        <w:pStyle w:val="12"/>
        <w:rPr>
          <w:rFonts w:hAnsi="黑体"/>
          <w:b/>
          <w:sz w:val="32"/>
          <w:szCs w:val="32"/>
        </w:rPr>
      </w:pPr>
      <w:r>
        <w:rPr>
          <w:rFonts w:hint="eastAsia" w:hAnsi="黑体"/>
          <w:b/>
          <w:sz w:val="32"/>
          <w:szCs w:val="32"/>
        </w:rPr>
        <w:t>十、机关运行经费支出说明</w:t>
      </w:r>
    </w:p>
    <w:p>
      <w:pPr>
        <w:pStyle w:val="12"/>
        <w:ind w:firstLine="634"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本部门2021年度机关运行经费支出</w:t>
      </w:r>
      <w:r>
        <w:rPr>
          <w:rFonts w:hint="eastAsia" w:asciiTheme="minorEastAsia" w:hAnsiTheme="minorEastAsia" w:eastAsiaTheme="minorEastAsia"/>
          <w:sz w:val="32"/>
          <w:szCs w:val="32"/>
          <w:lang w:val="en-US" w:eastAsia="zh-CN"/>
        </w:rPr>
        <w:t>7982.58</w:t>
      </w:r>
      <w:r>
        <w:rPr>
          <w:rFonts w:hint="eastAsia" w:asciiTheme="minorEastAsia" w:hAnsiTheme="minorEastAsia" w:eastAsiaTheme="minorEastAsia"/>
          <w:sz w:val="32"/>
          <w:szCs w:val="32"/>
        </w:rPr>
        <w:t>元，比上年决算数增加</w:t>
      </w:r>
      <w:r>
        <w:rPr>
          <w:rFonts w:hint="eastAsia" w:asciiTheme="minorEastAsia" w:hAnsiTheme="minorEastAsia" w:eastAsiaTheme="minorEastAsia"/>
          <w:sz w:val="32"/>
          <w:szCs w:val="32"/>
          <w:lang w:val="en-US" w:eastAsia="zh-CN"/>
        </w:rPr>
        <w:t>122.62</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1.56%</w:t>
      </w:r>
      <w:r>
        <w:rPr>
          <w:rFonts w:hint="eastAsia" w:asciiTheme="minorEastAsia" w:hAnsiTheme="minorEastAsia" w:eastAsiaTheme="minorEastAsia"/>
          <w:sz w:val="32"/>
          <w:szCs w:val="32"/>
        </w:rPr>
        <w:t>。主要原因是</w:t>
      </w:r>
      <w:r>
        <w:rPr>
          <w:rFonts w:hint="eastAsia" w:asciiTheme="minorEastAsia" w:hAnsiTheme="minorEastAsia" w:eastAsiaTheme="minorEastAsia"/>
          <w:sz w:val="32"/>
          <w:szCs w:val="32"/>
          <w:lang w:val="en-US" w:eastAsia="zh-CN"/>
        </w:rPr>
        <w:t>正常运行增加。</w:t>
      </w:r>
    </w:p>
    <w:p>
      <w:pPr>
        <w:pStyle w:val="12"/>
        <w:rPr>
          <w:rFonts w:hAnsi="黑体"/>
          <w:b/>
          <w:sz w:val="32"/>
          <w:szCs w:val="32"/>
        </w:rPr>
      </w:pPr>
      <w:r>
        <w:rPr>
          <w:rFonts w:hint="eastAsia" w:hAnsi="黑体"/>
          <w:b/>
          <w:sz w:val="32"/>
          <w:szCs w:val="32"/>
        </w:rPr>
        <w:t>十一、一般性支出情况说明</w:t>
      </w:r>
    </w:p>
    <w:p>
      <w:pPr>
        <w:pStyle w:val="12"/>
        <w:ind w:firstLine="634"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2021年本部门开支会议费</w:t>
      </w:r>
      <w:r>
        <w:rPr>
          <w:rFonts w:hint="eastAsia" w:asciiTheme="minorEastAsia" w:hAnsiTheme="minorEastAsia" w:eastAsiaTheme="minorEastAsia"/>
          <w:sz w:val="32"/>
          <w:szCs w:val="32"/>
          <w:lang w:val="en-US" w:eastAsia="zh-CN"/>
        </w:rPr>
        <w:t>0.78</w:t>
      </w:r>
      <w:r>
        <w:rPr>
          <w:rFonts w:hint="eastAsia" w:asciiTheme="minorEastAsia" w:hAnsiTheme="minorEastAsia" w:eastAsiaTheme="minorEastAsia"/>
          <w:sz w:val="32"/>
          <w:szCs w:val="32"/>
        </w:rPr>
        <w:t>万元，用于召开</w:t>
      </w:r>
      <w:r>
        <w:rPr>
          <w:rFonts w:hint="eastAsia" w:asciiTheme="minorEastAsia" w:hAnsiTheme="minorEastAsia" w:eastAsiaTheme="minorEastAsia"/>
          <w:sz w:val="32"/>
          <w:szCs w:val="32"/>
          <w:lang w:val="en-US" w:eastAsia="zh-CN"/>
        </w:rPr>
        <w:t>业务</w:t>
      </w:r>
      <w:r>
        <w:rPr>
          <w:rFonts w:hint="eastAsia" w:asciiTheme="minorEastAsia" w:hAnsiTheme="minorEastAsia" w:eastAsiaTheme="minorEastAsia"/>
          <w:sz w:val="32"/>
          <w:szCs w:val="32"/>
        </w:rPr>
        <w:t>会议，人数</w:t>
      </w:r>
      <w:r>
        <w:rPr>
          <w:rFonts w:hint="eastAsia" w:asciiTheme="minorEastAsia" w:hAnsiTheme="minorEastAsia" w:eastAsiaTheme="minorEastAsia"/>
          <w:sz w:val="32"/>
          <w:szCs w:val="32"/>
          <w:lang w:val="en-US" w:eastAsia="zh-CN"/>
        </w:rPr>
        <w:t>73</w:t>
      </w:r>
      <w:r>
        <w:rPr>
          <w:rFonts w:hint="eastAsia" w:asciiTheme="minorEastAsia" w:hAnsiTheme="minorEastAsia" w:eastAsiaTheme="minorEastAsia"/>
          <w:sz w:val="32"/>
          <w:szCs w:val="32"/>
        </w:rPr>
        <w:t>人，内容为</w:t>
      </w:r>
      <w:r>
        <w:rPr>
          <w:rFonts w:hint="eastAsia" w:asciiTheme="minorEastAsia" w:hAnsiTheme="minorEastAsia" w:eastAsiaTheme="minorEastAsia"/>
          <w:sz w:val="32"/>
          <w:szCs w:val="32"/>
          <w:lang w:val="en-US" w:eastAsia="zh-CN"/>
        </w:rPr>
        <w:t>顽瘴痼疾集中整治工作部署、被装管理员业务培训</w:t>
      </w:r>
      <w:r>
        <w:rPr>
          <w:rFonts w:hint="eastAsia" w:asciiTheme="minorEastAsia" w:hAnsiTheme="minorEastAsia" w:eastAsiaTheme="minorEastAsia"/>
          <w:sz w:val="32"/>
          <w:szCs w:val="32"/>
        </w:rPr>
        <w:t>会议；开支培训费</w:t>
      </w:r>
      <w:r>
        <w:rPr>
          <w:rFonts w:hint="eastAsia" w:asciiTheme="minorEastAsia" w:hAnsiTheme="minorEastAsia" w:eastAsiaTheme="minorEastAsia"/>
          <w:sz w:val="32"/>
          <w:szCs w:val="32"/>
          <w:lang w:val="en-US" w:eastAsia="zh-CN"/>
        </w:rPr>
        <w:t>17.47</w:t>
      </w:r>
      <w:r>
        <w:rPr>
          <w:rFonts w:hint="eastAsia" w:asciiTheme="minorEastAsia" w:hAnsiTheme="minorEastAsia" w:eastAsiaTheme="minorEastAsia"/>
          <w:sz w:val="32"/>
          <w:szCs w:val="32"/>
        </w:rPr>
        <w:t>万元，用于开展</w:t>
      </w:r>
      <w:r>
        <w:rPr>
          <w:rFonts w:hint="eastAsia" w:asciiTheme="minorEastAsia" w:hAnsiTheme="minorEastAsia" w:eastAsiaTheme="minorEastAsia"/>
          <w:sz w:val="32"/>
          <w:szCs w:val="32"/>
          <w:lang w:val="en-US" w:eastAsia="zh-CN"/>
        </w:rPr>
        <w:t>业务</w:t>
      </w:r>
      <w:r>
        <w:rPr>
          <w:rFonts w:hint="eastAsia" w:asciiTheme="minorEastAsia" w:hAnsiTheme="minorEastAsia" w:eastAsiaTheme="minorEastAsia"/>
          <w:sz w:val="32"/>
          <w:szCs w:val="32"/>
        </w:rPr>
        <w:t>培训，人数</w:t>
      </w:r>
      <w:r>
        <w:rPr>
          <w:rFonts w:hint="eastAsia" w:asciiTheme="minorEastAsia" w:hAnsiTheme="minorEastAsia" w:eastAsiaTheme="minorEastAsia"/>
          <w:sz w:val="32"/>
          <w:szCs w:val="32"/>
          <w:lang w:val="en-US" w:eastAsia="zh-CN"/>
        </w:rPr>
        <w:t>198</w:t>
      </w:r>
      <w:r>
        <w:rPr>
          <w:rFonts w:hint="eastAsia" w:asciiTheme="minorEastAsia" w:hAnsiTheme="minorEastAsia" w:eastAsiaTheme="minorEastAsia"/>
          <w:sz w:val="32"/>
          <w:szCs w:val="32"/>
        </w:rPr>
        <w:t>人，内容为</w:t>
      </w:r>
      <w:r>
        <w:rPr>
          <w:rFonts w:hint="eastAsia" w:asciiTheme="minorEastAsia" w:hAnsiTheme="minorEastAsia" w:eastAsiaTheme="minorEastAsia"/>
          <w:sz w:val="32"/>
          <w:szCs w:val="32"/>
          <w:lang w:val="en-US" w:eastAsia="zh-CN"/>
        </w:rPr>
        <w:t>大练兵培训、新媒体运营培训、考试员培训及晋职晋级及新警培训</w:t>
      </w:r>
      <w:r>
        <w:rPr>
          <w:rFonts w:hint="eastAsia" w:asciiTheme="minorEastAsia" w:hAnsiTheme="minorEastAsia" w:eastAsiaTheme="minorEastAsia"/>
          <w:sz w:val="32"/>
          <w:szCs w:val="32"/>
        </w:rPr>
        <w:t>；举办……等节庆、晚会、论坛、赛事活动，开支</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12"/>
        <w:rPr>
          <w:rFonts w:hAnsi="黑体"/>
          <w:b/>
          <w:sz w:val="32"/>
          <w:szCs w:val="32"/>
        </w:rPr>
      </w:pPr>
      <w:r>
        <w:rPr>
          <w:rFonts w:hint="eastAsia" w:hAnsi="黑体"/>
          <w:b/>
          <w:sz w:val="32"/>
          <w:szCs w:val="32"/>
        </w:rPr>
        <w:t>十二、政府采购支出说明</w:t>
      </w:r>
    </w:p>
    <w:p>
      <w:pPr>
        <w:pStyle w:val="12"/>
        <w:ind w:firstLine="634"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本部门2021年度政府采购支出总额</w:t>
      </w:r>
      <w:r>
        <w:rPr>
          <w:rFonts w:hint="eastAsia" w:asciiTheme="minorEastAsia" w:hAnsiTheme="minorEastAsia" w:eastAsiaTheme="minorEastAsia"/>
          <w:sz w:val="32"/>
          <w:szCs w:val="32"/>
          <w:lang w:val="en-US" w:eastAsia="zh-CN"/>
        </w:rPr>
        <w:t>3600.95</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1226.23</w:t>
      </w:r>
      <w:r>
        <w:rPr>
          <w:rFonts w:hint="eastAsia" w:asciiTheme="minorEastAsia" w:hAnsiTheme="minorEastAsia" w:eastAsiaTheme="minorEastAsia"/>
          <w:sz w:val="32"/>
          <w:szCs w:val="32"/>
        </w:rPr>
        <w:t>万元、政府采购工程支出</w:t>
      </w:r>
      <w:r>
        <w:rPr>
          <w:rFonts w:hint="eastAsia" w:asciiTheme="minorEastAsia" w:hAnsiTheme="minorEastAsia" w:eastAsiaTheme="minorEastAsia"/>
          <w:sz w:val="32"/>
          <w:szCs w:val="32"/>
          <w:lang w:val="en-US" w:eastAsia="zh-CN"/>
        </w:rPr>
        <w:t>82.35</w:t>
      </w:r>
      <w:r>
        <w:rPr>
          <w:rFonts w:hint="eastAsia" w:asciiTheme="minorEastAsia" w:hAnsiTheme="minorEastAsia" w:eastAsiaTheme="minorEastAsia"/>
          <w:sz w:val="32"/>
          <w:szCs w:val="32"/>
        </w:rPr>
        <w:t>万元、政府采购服务支出</w:t>
      </w:r>
      <w:r>
        <w:rPr>
          <w:rFonts w:hint="eastAsia" w:asciiTheme="minorEastAsia" w:hAnsiTheme="minorEastAsia" w:eastAsiaTheme="minorEastAsia"/>
          <w:sz w:val="32"/>
          <w:szCs w:val="32"/>
          <w:lang w:val="en-US" w:eastAsia="zh-CN"/>
        </w:rPr>
        <w:t>2292.37</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2600.95</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72.2</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1612.58</w:t>
      </w:r>
      <w:r>
        <w:rPr>
          <w:rFonts w:hint="eastAsia" w:asciiTheme="minorEastAsia" w:hAnsiTheme="minorEastAsia" w:eastAsiaTheme="minorEastAsia"/>
          <w:sz w:val="32"/>
          <w:szCs w:val="32"/>
        </w:rPr>
        <w:t>万元，占授予中小企业合同金额的</w:t>
      </w:r>
      <w:r>
        <w:rPr>
          <w:rFonts w:hint="eastAsia" w:asciiTheme="minorEastAsia" w:hAnsiTheme="minorEastAsia" w:eastAsiaTheme="minorEastAsia"/>
          <w:sz w:val="32"/>
          <w:szCs w:val="32"/>
          <w:lang w:val="en-US" w:eastAsia="zh-CN"/>
        </w:rPr>
        <w:t>62</w:t>
      </w:r>
      <w:r>
        <w:rPr>
          <w:rFonts w:hint="eastAsia" w:asciiTheme="minorEastAsia" w:hAnsiTheme="minorEastAsia" w:eastAsiaTheme="minorEastAsia"/>
          <w:sz w:val="32"/>
          <w:szCs w:val="32"/>
        </w:rPr>
        <w:t>%；货物采购授予中小企业合同金额占货物支出金额的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%，工程采购授予中小企业合同金额占工程支出金额的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%，服务采购授予中小企业合同金额占服务支出金额的</w:t>
      </w:r>
      <w:r>
        <w:rPr>
          <w:rFonts w:hint="eastAsia" w:asciiTheme="minorEastAsia" w:hAnsiTheme="minorEastAsia" w:eastAsiaTheme="minorEastAsia"/>
          <w:sz w:val="32"/>
          <w:szCs w:val="32"/>
          <w:lang w:val="en-US" w:eastAsia="zh-CN"/>
        </w:rPr>
        <w:t>56.4</w:t>
      </w:r>
      <w:r>
        <w:rPr>
          <w:rFonts w:hint="eastAsia" w:asciiTheme="minorEastAsia" w:hAnsiTheme="minorEastAsia" w:eastAsiaTheme="minorEastAsia"/>
          <w:sz w:val="32"/>
          <w:szCs w:val="32"/>
        </w:rPr>
        <w:t>%。</w:t>
      </w:r>
    </w:p>
    <w:p>
      <w:pPr>
        <w:pStyle w:val="12"/>
        <w:rPr>
          <w:rFonts w:hAnsi="黑体"/>
          <w:b/>
          <w:sz w:val="32"/>
          <w:szCs w:val="32"/>
        </w:rPr>
      </w:pPr>
      <w:r>
        <w:rPr>
          <w:rFonts w:hint="eastAsia" w:hAnsi="黑体"/>
          <w:b/>
          <w:sz w:val="32"/>
          <w:szCs w:val="32"/>
        </w:rPr>
        <w:t>十三、国有资产占用情况说明</w:t>
      </w:r>
    </w:p>
    <w:p>
      <w:pPr>
        <w:pStyle w:val="12"/>
        <w:ind w:firstLine="634"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截至2021年12月31日，部门（单位）共有车辆</w:t>
      </w:r>
      <w:r>
        <w:rPr>
          <w:rFonts w:hint="eastAsia" w:asciiTheme="minorEastAsia" w:hAnsiTheme="minorEastAsia" w:eastAsiaTheme="minorEastAsia"/>
          <w:sz w:val="32"/>
          <w:szCs w:val="32"/>
          <w:lang w:val="en-US" w:eastAsia="zh-CN"/>
        </w:rPr>
        <w:t>78</w:t>
      </w:r>
      <w:r>
        <w:rPr>
          <w:rFonts w:hint="eastAsia" w:asciiTheme="minorEastAsia" w:hAnsiTheme="minorEastAsia" w:eastAsiaTheme="minorEastAsia"/>
          <w:sz w:val="32"/>
          <w:szCs w:val="32"/>
        </w:rPr>
        <w:t>辆，其中，执法执勤用车</w:t>
      </w:r>
      <w:r>
        <w:rPr>
          <w:rFonts w:hint="eastAsia" w:asciiTheme="minorEastAsia" w:hAnsiTheme="minorEastAsia" w:eastAsiaTheme="minorEastAsia"/>
          <w:sz w:val="32"/>
          <w:szCs w:val="32"/>
          <w:lang w:val="en-US" w:eastAsia="zh-CN"/>
        </w:rPr>
        <w:t>72</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rPr>
        <w:t>辆，其他用车主要是</w:t>
      </w:r>
      <w:r>
        <w:rPr>
          <w:rFonts w:hint="eastAsia" w:asciiTheme="minorEastAsia" w:hAnsiTheme="minorEastAsia" w:eastAsiaTheme="minorEastAsia"/>
          <w:sz w:val="32"/>
          <w:szCs w:val="32"/>
          <w:lang w:val="en-US" w:eastAsia="zh-CN"/>
        </w:rPr>
        <w:t>公务用车参改车辆待报废</w:t>
      </w:r>
      <w:r>
        <w:rPr>
          <w:rFonts w:hint="eastAsia" w:asciiTheme="minorEastAsia" w:hAnsiTheme="minorEastAsia" w:eastAsiaTheme="minorEastAsia"/>
          <w:sz w:val="32"/>
          <w:szCs w:val="32"/>
        </w:rPr>
        <w:t>；单位价值50万元以上通用设备</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台（套）。</w:t>
      </w:r>
    </w:p>
    <w:p>
      <w:pPr>
        <w:pStyle w:val="12"/>
        <w:rPr>
          <w:rFonts w:hint="eastAsia" w:hAnsi="黑体"/>
          <w:b/>
          <w:sz w:val="32"/>
          <w:szCs w:val="32"/>
        </w:rPr>
      </w:pPr>
      <w:r>
        <w:rPr>
          <w:rFonts w:hint="eastAsia" w:hAnsi="黑体"/>
          <w:b/>
          <w:sz w:val="32"/>
          <w:szCs w:val="32"/>
          <w:lang w:eastAsia="zh-CN"/>
        </w:rPr>
        <w:t>十四、</w:t>
      </w:r>
      <w:r>
        <w:rPr>
          <w:rFonts w:hint="eastAsia" w:hAnsi="黑体"/>
          <w:b/>
          <w:sz w:val="32"/>
          <w:szCs w:val="32"/>
        </w:rPr>
        <w:t>2021年度预算绩效情况说明</w:t>
      </w:r>
    </w:p>
    <w:p>
      <w:pPr>
        <w:pStyle w:val="12"/>
        <w:ind w:firstLine="951" w:firstLineChars="3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组织对本单位开展整体支出绩效评价，涉及一般公共预算支出19241.43万元。从评价情况来看：</w:t>
      </w:r>
    </w:p>
    <w:p>
      <w:pPr>
        <w:pStyle w:val="12"/>
        <w:ind w:firstLine="951" w:firstLineChars="3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本年度绩效目标：</w:t>
      </w:r>
      <w:r>
        <w:rPr>
          <w:rFonts w:hint="eastAsia" w:asciiTheme="minorEastAsia" w:hAnsiTheme="minorEastAsia" w:eastAsiaTheme="minorEastAsia"/>
          <w:sz w:val="32"/>
          <w:szCs w:val="32"/>
        </w:rPr>
        <w:t>深入推进事故预防“减量控大”、交通问题顽瘴痼疾整治、</w:t>
      </w:r>
      <w:r>
        <w:rPr>
          <w:rFonts w:hint="eastAsia" w:asciiTheme="minorEastAsia" w:hAnsiTheme="minorEastAsia" w:eastAsiaTheme="minorEastAsia"/>
          <w:sz w:val="32"/>
          <w:szCs w:val="32"/>
          <w:lang w:val="en-US" w:eastAsia="zh-CN"/>
        </w:rPr>
        <w:t>持续开展“一盔一带”安全守护行动、持续优化智能交通系统、加强交通安全宣传教育</w:t>
      </w:r>
      <w:r>
        <w:rPr>
          <w:rFonts w:hint="eastAsia" w:asciiTheme="minorEastAsia" w:hAnsiTheme="minorEastAsia" w:eastAsiaTheme="minorEastAsia"/>
          <w:sz w:val="32"/>
          <w:szCs w:val="32"/>
        </w:rPr>
        <w:t>等工作，全面筑牢道路交通安全防线，着力打造大交管工作格局，确保全市道路交通安全、畅通、有序。</w:t>
      </w:r>
    </w:p>
    <w:p>
      <w:pPr>
        <w:pStyle w:val="12"/>
        <w:ind w:firstLine="951" w:firstLineChars="3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2021</w:t>
      </w:r>
      <w:r>
        <w:rPr>
          <w:rFonts w:hint="eastAsia" w:asciiTheme="minorEastAsia" w:hAnsiTheme="minorEastAsia" w:eastAsiaTheme="minorEastAsia"/>
          <w:sz w:val="32"/>
          <w:szCs w:val="32"/>
        </w:rPr>
        <w:t>年，交警支队在市委、市政府和市公安局的坚强领导下，紧紧围绕</w:t>
      </w:r>
      <w:r>
        <w:rPr>
          <w:rFonts w:hint="eastAsia" w:asciiTheme="minorEastAsia" w:hAnsiTheme="minorEastAsia" w:eastAsiaTheme="minorEastAsia"/>
          <w:sz w:val="32"/>
          <w:szCs w:val="32"/>
          <w:lang w:val="en-US" w:eastAsia="zh-CN"/>
        </w:rPr>
        <w:t>事故预防“减量控大”和建党100周年大庆这一主线，坚决贯彻执行市委市政府和省总队工作部署和要求，使全市交通安全形势持续平稳</w:t>
      </w:r>
      <w:r>
        <w:rPr>
          <w:rFonts w:hint="eastAsia" w:asciiTheme="minorEastAsia" w:hAnsiTheme="minorEastAsia" w:eastAsiaTheme="minorEastAsia"/>
          <w:sz w:val="32"/>
          <w:szCs w:val="32"/>
        </w:rPr>
        <w:t>。全市</w:t>
      </w:r>
      <w:r>
        <w:rPr>
          <w:rFonts w:hint="eastAsia" w:asciiTheme="minorEastAsia" w:hAnsiTheme="minorEastAsia" w:eastAsiaTheme="minorEastAsia"/>
          <w:sz w:val="32"/>
          <w:szCs w:val="32"/>
          <w:lang w:val="en-US" w:eastAsia="zh-CN"/>
        </w:rPr>
        <w:t>开展各类专项整治行动400余次，查纠各类交通违法124.9万余起，全市较大以上交通事故“零发生。高标准完成“建党100周年”，省市党代会、春运等重要节点交通安保。支队加大对智能交通系统的优化，利用缉查布控系统，精准打击涉牌涉证违法行为。加强交通安全宣传教育，为民，服务提质增效。</w:t>
      </w:r>
    </w:p>
    <w:p>
      <w:pPr>
        <w:pStyle w:val="12"/>
        <w:ind w:firstLine="632"/>
        <w:jc w:val="both"/>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本单位无项目支出，故未开展项目自评，无自评结果。</w:t>
      </w:r>
    </w:p>
    <w:p>
      <w:pPr>
        <w:pStyle w:val="12"/>
        <w:ind w:firstLine="632"/>
        <w:jc w:val="both"/>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2021年度部门整体支出绩效评价报告附后。</w:t>
      </w:r>
    </w:p>
    <w:p>
      <w:pPr>
        <w:pStyle w:val="12"/>
        <w:jc w:val="center"/>
        <w:rPr>
          <w:rFonts w:hint="eastAsia"/>
          <w:sz w:val="72"/>
          <w:szCs w:val="72"/>
        </w:rPr>
      </w:pPr>
    </w:p>
    <w:p>
      <w:pPr>
        <w:pStyle w:val="12"/>
        <w:jc w:val="center"/>
        <w:rPr>
          <w:rFonts w:hint="eastAsia"/>
          <w:sz w:val="72"/>
          <w:szCs w:val="72"/>
        </w:rPr>
      </w:pPr>
      <w:bookmarkStart w:id="2" w:name="_GoBack"/>
      <w:bookmarkEnd w:id="2"/>
    </w:p>
    <w:p>
      <w:pPr>
        <w:pStyle w:val="12"/>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34" w:firstLineChars="200"/>
        <w:jc w:val="left"/>
        <w:rPr>
          <w:rFonts w:cs="黑体" w:asciiTheme="minorEastAsia" w:hAnsiTheme="minorEastAsia"/>
          <w:color w:val="000000"/>
          <w:kern w:val="0"/>
          <w:sz w:val="32"/>
          <w:szCs w:val="32"/>
        </w:rPr>
      </w:pPr>
    </w:p>
    <w:p>
      <w:pPr>
        <w:ind w:firstLine="634"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34"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二、机关运行经费</w:t>
      </w:r>
      <w:r>
        <w:rPr>
          <w:rFonts w:hint="eastAsia" w:cs="黑体" w:asciiTheme="minorEastAsia" w:hAnsiTheme="minorEastAsia"/>
          <w:color w:val="000000"/>
          <w:kern w:val="0"/>
          <w:sz w:val="32"/>
          <w:szCs w:val="32"/>
          <w:lang w:eastAsia="zh-CN"/>
        </w:rPr>
        <w:t>，</w:t>
      </w:r>
      <w:r>
        <w:rPr>
          <w:rFonts w:hint="eastAsia" w:cs="黑体" w:asciiTheme="minorEastAsia" w:hAnsiTheme="minorEastAsia"/>
          <w:color w:val="000000"/>
          <w:kern w:val="0"/>
          <w:sz w:val="32"/>
          <w:szCs w:val="32"/>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ind w:firstLine="634"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三、</w:t>
      </w:r>
      <w:r>
        <w:rPr>
          <w:rFonts w:cs="黑体" w:asciiTheme="minorEastAsia" w:hAnsiTheme="minorEastAsia"/>
          <w:color w:val="000000"/>
          <w:kern w:val="0"/>
          <w:sz w:val="32"/>
          <w:szCs w:val="32"/>
        </w:rPr>
        <w:t>……</w:t>
      </w:r>
    </w:p>
    <w:p>
      <w:pPr>
        <w:pStyle w:val="12"/>
        <w:jc w:val="center"/>
        <w:rPr>
          <w:rFonts w:asciiTheme="minorEastAsia" w:hAnsiTheme="minorEastAsia"/>
          <w:sz w:val="32"/>
          <w:szCs w:val="32"/>
        </w:rPr>
      </w:pPr>
      <w:r>
        <w:rPr>
          <w:rFonts w:asciiTheme="minorEastAsia" w:hAnsiTheme="minorEastAsia"/>
          <w:sz w:val="32"/>
          <w:szCs w:val="32"/>
        </w:rPr>
        <w:t>………</w:t>
      </w:r>
    </w:p>
    <w:p>
      <w:pPr>
        <w:widowControl/>
        <w:jc w:val="left"/>
        <w:rPr>
          <w:rFonts w:eastAsia="黑体" w:cs="黑体" w:asciiTheme="minorEastAsia" w:hAnsiTheme="minorEastAsia"/>
          <w:color w:val="000000"/>
          <w:kern w:val="0"/>
          <w:sz w:val="28"/>
          <w:szCs w:val="3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34" w:firstLineChars="200"/>
        <w:jc w:val="left"/>
        <w:rPr>
          <w:rFonts w:hint="eastAsia" w:cs="黑体" w:asciiTheme="minorEastAsia" w:hAnsiTheme="minorEastAsia" w:eastAsiaTheme="minorEastAsia"/>
          <w:b/>
          <w:color w:val="000000"/>
          <w:kern w:val="0"/>
          <w:sz w:val="32"/>
          <w:szCs w:val="32"/>
          <w:lang w:val="en-US" w:eastAsia="zh-CN"/>
        </w:rPr>
      </w:pPr>
      <w:r>
        <w:rPr>
          <w:rFonts w:hint="eastAsia" w:cs="黑体" w:asciiTheme="minorEastAsia" w:hAnsiTheme="minorEastAsia"/>
          <w:b/>
          <w:color w:val="000000"/>
          <w:kern w:val="0"/>
          <w:sz w:val="32"/>
          <w:szCs w:val="32"/>
          <w:lang w:val="en-US" w:eastAsia="zh-CN"/>
        </w:rPr>
        <w:t>1、2021年部门决算公开表格</w:t>
      </w:r>
    </w:p>
    <w:p>
      <w:pPr>
        <w:ind w:firstLine="634" w:firstLineChars="200"/>
        <w:jc w:val="left"/>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lang w:val="en-US" w:eastAsia="zh-CN"/>
        </w:rPr>
        <w:t>2、</w:t>
      </w:r>
      <w:r>
        <w:rPr>
          <w:rFonts w:hint="eastAsia" w:cs="黑体" w:asciiTheme="minorEastAsia" w:hAnsiTheme="minorEastAsia"/>
          <w:b/>
          <w:color w:val="000000"/>
          <w:kern w:val="0"/>
          <w:sz w:val="32"/>
          <w:szCs w:val="32"/>
        </w:rPr>
        <w:t>2021年度部门整体支出绩效评价报告</w:t>
      </w:r>
    </w:p>
    <w:p>
      <w:pPr>
        <w:spacing w:line="348" w:lineRule="auto"/>
        <w:jc w:val="center"/>
        <w:rPr>
          <w:rFonts w:hint="eastAsia" w:eastAsia="方正小标宋简体"/>
          <w:bCs/>
          <w:sz w:val="42"/>
          <w:szCs w:val="42"/>
        </w:rPr>
      </w:pPr>
      <w:bookmarkStart w:id="0" w:name="OLE_LINK1"/>
      <w:bookmarkStart w:id="1" w:name="OLE_LINK2"/>
    </w:p>
    <w:p>
      <w:pPr>
        <w:spacing w:line="800" w:lineRule="exact"/>
        <w:jc w:val="center"/>
        <w:rPr>
          <w:rFonts w:hint="eastAsia" w:eastAsia="方正小标宋简体"/>
          <w:bCs/>
          <w:sz w:val="46"/>
          <w:szCs w:val="46"/>
        </w:rPr>
      </w:pPr>
      <w:r>
        <w:rPr>
          <w:rFonts w:hint="eastAsia" w:eastAsia="方正小标宋简体"/>
          <w:bCs/>
          <w:sz w:val="46"/>
          <w:szCs w:val="46"/>
        </w:rPr>
        <w:t>岳阳市20</w:t>
      </w:r>
      <w:r>
        <w:rPr>
          <w:rFonts w:hint="eastAsia" w:eastAsia="方正小标宋简体"/>
          <w:bCs/>
          <w:sz w:val="46"/>
          <w:szCs w:val="46"/>
          <w:lang w:val="en-US" w:eastAsia="zh-CN"/>
        </w:rPr>
        <w:t>21</w:t>
      </w:r>
      <w:r>
        <w:rPr>
          <w:rFonts w:hint="eastAsia" w:eastAsia="方正小标宋简体"/>
          <w:bCs/>
          <w:sz w:val="46"/>
          <w:szCs w:val="46"/>
        </w:rPr>
        <w:t>年度部门整体支出</w:t>
      </w:r>
    </w:p>
    <w:p>
      <w:pPr>
        <w:spacing w:line="800" w:lineRule="exact"/>
        <w:jc w:val="center"/>
        <w:rPr>
          <w:rFonts w:hint="eastAsia" w:eastAsia="方正小标宋简体"/>
          <w:bCs/>
          <w:sz w:val="46"/>
          <w:szCs w:val="46"/>
        </w:rPr>
      </w:pPr>
      <w:r>
        <w:rPr>
          <w:rFonts w:hint="eastAsia" w:eastAsia="方正小标宋简体"/>
          <w:bCs/>
          <w:sz w:val="46"/>
          <w:szCs w:val="46"/>
        </w:rPr>
        <w:t>绩效评价自评报告</w:t>
      </w:r>
    </w:p>
    <w:p>
      <w:pPr>
        <w:rPr>
          <w:rFonts w:hint="eastAsia" w:eastAsia="仿宋_GB2312"/>
          <w:b/>
          <w:sz w:val="32"/>
        </w:rPr>
      </w:pPr>
    </w:p>
    <w:p>
      <w:pPr>
        <w:rPr>
          <w:rFonts w:hint="eastAsia" w:eastAsia="仿宋_GB2312"/>
          <w:b/>
          <w:sz w:val="32"/>
        </w:rPr>
      </w:pPr>
    </w:p>
    <w:p>
      <w:pPr>
        <w:rPr>
          <w:rFonts w:hint="eastAsia" w:eastAsia="仿宋_GB2312"/>
          <w:b/>
          <w:sz w:val="32"/>
        </w:rPr>
      </w:pPr>
    </w:p>
    <w:p>
      <w:pPr>
        <w:spacing w:before="301" w:beforeLines="50" w:line="348" w:lineRule="auto"/>
        <w:ind w:firstLine="476" w:firstLineChars="150"/>
        <w:jc w:val="left"/>
        <w:rPr>
          <w:rFonts w:hint="eastAsia" w:eastAsia="仿宋_GB2312"/>
          <w:sz w:val="32"/>
          <w:szCs w:val="32"/>
          <w:u w:val="single"/>
        </w:rPr>
      </w:pPr>
      <w:r>
        <w:rPr>
          <w:rFonts w:hint="eastAsia" w:eastAsia="仿宋_GB2312"/>
          <w:sz w:val="32"/>
          <w:szCs w:val="32"/>
        </w:rPr>
        <w:t>部门(单位)名称：</w:t>
      </w:r>
      <w:r>
        <w:rPr>
          <w:rFonts w:hint="eastAsia" w:eastAsia="仿宋_GB2312"/>
          <w:sz w:val="32"/>
          <w:szCs w:val="32"/>
          <w:u w:val="single"/>
        </w:rPr>
        <w:t xml:space="preserve">        岳阳市公安局交通警察支队                       </w:t>
      </w:r>
    </w:p>
    <w:p>
      <w:pPr>
        <w:spacing w:before="301" w:beforeLines="50" w:line="348" w:lineRule="auto"/>
        <w:ind w:firstLine="476" w:firstLineChars="150"/>
        <w:rPr>
          <w:rFonts w:hint="eastAsia" w:eastAsia="仿宋_GB2312"/>
          <w:spacing w:val="20"/>
          <w:sz w:val="32"/>
          <w:szCs w:val="32"/>
        </w:rPr>
      </w:pPr>
      <w:r>
        <w:rPr>
          <w:rFonts w:hint="eastAsia" w:eastAsia="仿宋_GB2312"/>
          <w:sz w:val="32"/>
          <w:szCs w:val="32"/>
        </w:rPr>
        <w:t>预</w:t>
      </w:r>
      <w:r>
        <w:rPr>
          <w:rFonts w:hint="eastAsia" w:eastAsia="仿宋_GB2312"/>
          <w:spacing w:val="30"/>
          <w:sz w:val="32"/>
          <w:szCs w:val="32"/>
        </w:rPr>
        <w:t xml:space="preserve"> 算 编 码：</w:t>
      </w:r>
      <w:r>
        <w:rPr>
          <w:rFonts w:hint="eastAsia" w:eastAsia="仿宋_GB2312"/>
          <w:spacing w:val="20"/>
          <w:sz w:val="32"/>
          <w:szCs w:val="32"/>
          <w:u w:val="single"/>
        </w:rPr>
        <w:t xml:space="preserve">            </w:t>
      </w:r>
      <w:r>
        <w:rPr>
          <w:rFonts w:hint="eastAsia" w:eastAsia="仿宋_GB2312"/>
          <w:spacing w:val="20"/>
          <w:sz w:val="32"/>
          <w:szCs w:val="32"/>
          <w:u w:val="single"/>
          <w:lang w:val="en-US" w:eastAsia="zh-CN"/>
        </w:rPr>
        <w:t>248005</w:t>
      </w:r>
      <w:r>
        <w:rPr>
          <w:rFonts w:hint="eastAsia" w:eastAsia="仿宋_GB2312"/>
          <w:spacing w:val="20"/>
          <w:sz w:val="32"/>
          <w:szCs w:val="32"/>
          <w:u w:val="single"/>
        </w:rPr>
        <w:t xml:space="preserve">                   </w:t>
      </w:r>
    </w:p>
    <w:p>
      <w:pPr>
        <w:spacing w:before="301" w:beforeLines="50" w:line="348" w:lineRule="auto"/>
        <w:ind w:firstLine="476" w:firstLineChars="150"/>
        <w:jc w:val="left"/>
        <w:rPr>
          <w:rFonts w:hint="eastAsia" w:eastAsia="仿宋_GB2312"/>
          <w:sz w:val="32"/>
          <w:szCs w:val="32"/>
        </w:rPr>
      </w:pPr>
      <w:r>
        <w:rPr>
          <w:rFonts w:hint="eastAsia" w:eastAsia="仿宋_GB2312"/>
          <w:sz w:val="32"/>
          <w:szCs w:val="32"/>
        </w:rPr>
        <w:t>评价方式：部门（单位）绩效自评</w:t>
      </w:r>
    </w:p>
    <w:p>
      <w:pPr>
        <w:spacing w:before="301" w:beforeLines="50" w:line="348" w:lineRule="auto"/>
        <w:ind w:firstLine="476" w:firstLineChars="150"/>
        <w:jc w:val="left"/>
        <w:rPr>
          <w:rFonts w:hint="eastAsia" w:eastAsia="仿宋_GB2312"/>
          <w:sz w:val="32"/>
          <w:szCs w:val="32"/>
        </w:rPr>
      </w:pPr>
      <w:r>
        <w:rPr>
          <w:rFonts w:hint="eastAsia" w:eastAsia="仿宋_GB2312"/>
          <w:sz w:val="32"/>
          <w:szCs w:val="32"/>
        </w:rPr>
        <w:t>评价机构：部门（单位）评价组</w:t>
      </w:r>
    </w:p>
    <w:p>
      <w:pPr>
        <w:spacing w:line="720" w:lineRule="exact"/>
        <w:ind w:firstLine="2188" w:firstLineChars="690"/>
        <w:rPr>
          <w:rFonts w:hint="eastAsia" w:eastAsia="仿宋_GB2312"/>
          <w:sz w:val="32"/>
        </w:rPr>
      </w:pPr>
    </w:p>
    <w:p>
      <w:pPr>
        <w:spacing w:line="720" w:lineRule="exact"/>
        <w:ind w:firstLine="2188" w:firstLineChars="690"/>
        <w:rPr>
          <w:rFonts w:hint="eastAsia" w:eastAsia="仿宋_GB2312"/>
          <w:sz w:val="32"/>
        </w:rPr>
      </w:pPr>
    </w:p>
    <w:p>
      <w:pPr>
        <w:spacing w:line="720" w:lineRule="exact"/>
        <w:ind w:firstLine="2188" w:firstLineChars="690"/>
        <w:rPr>
          <w:rFonts w:hint="eastAsia" w:eastAsia="仿宋_GB2312"/>
          <w:sz w:val="32"/>
        </w:rPr>
      </w:pPr>
    </w:p>
    <w:p>
      <w:pPr>
        <w:spacing w:line="348" w:lineRule="auto"/>
        <w:jc w:val="center"/>
        <w:rPr>
          <w:rFonts w:hint="eastAsia" w:eastAsia="仿宋_GB2312"/>
          <w:sz w:val="32"/>
        </w:rPr>
      </w:pPr>
    </w:p>
    <w:p>
      <w:pPr>
        <w:spacing w:line="348" w:lineRule="auto"/>
        <w:jc w:val="center"/>
        <w:rPr>
          <w:rFonts w:hint="eastAsia" w:eastAsia="仿宋_GB2312"/>
          <w:sz w:val="32"/>
        </w:rPr>
      </w:pPr>
      <w:r>
        <w:rPr>
          <w:rFonts w:hint="eastAsia" w:eastAsia="仿宋_GB2312"/>
          <w:sz w:val="32"/>
        </w:rPr>
        <w:t>报告日期：202</w:t>
      </w:r>
      <w:r>
        <w:rPr>
          <w:rFonts w:hint="eastAsia" w:eastAsia="仿宋_GB2312"/>
          <w:sz w:val="32"/>
          <w:lang w:val="en-US" w:eastAsia="zh-CN"/>
        </w:rPr>
        <w:t>2</w:t>
      </w:r>
      <w:r>
        <w:rPr>
          <w:rFonts w:hint="eastAsia" w:eastAsia="仿宋_GB2312"/>
          <w:sz w:val="32"/>
        </w:rPr>
        <w:t>年</w:t>
      </w:r>
      <w:r>
        <w:rPr>
          <w:rFonts w:hint="eastAsia" w:eastAsia="仿宋_GB2312"/>
          <w:sz w:val="32"/>
          <w:lang w:val="en-US" w:eastAsia="zh-CN"/>
        </w:rPr>
        <w:t>9</w:t>
      </w:r>
      <w:r>
        <w:rPr>
          <w:rFonts w:hint="eastAsia" w:eastAsia="仿宋_GB2312"/>
          <w:sz w:val="32"/>
        </w:rPr>
        <w:t>月</w:t>
      </w:r>
      <w:r>
        <w:rPr>
          <w:rFonts w:hint="eastAsia" w:eastAsia="仿宋_GB2312"/>
          <w:sz w:val="32"/>
          <w:lang w:val="en-US" w:eastAsia="zh-CN"/>
        </w:rPr>
        <w:t>28</w:t>
      </w:r>
      <w:r>
        <w:rPr>
          <w:rFonts w:hint="eastAsia" w:eastAsia="仿宋_GB2312"/>
          <w:sz w:val="32"/>
        </w:rPr>
        <w:t>日</w:t>
      </w:r>
    </w:p>
    <w:p>
      <w:pPr>
        <w:autoSpaceDN w:val="0"/>
        <w:jc w:val="center"/>
        <w:textAlignment w:val="center"/>
        <w:rPr>
          <w:rFonts w:hint="eastAsia" w:eastAsia="仿宋_GB2312"/>
          <w:sz w:val="32"/>
          <w:szCs w:val="32"/>
        </w:rPr>
        <w:sectPr>
          <w:footerReference r:id="rId3" w:type="default"/>
          <w:footerReference r:id="rId4" w:type="even"/>
          <w:pgSz w:w="11906" w:h="16838"/>
          <w:pgMar w:top="1588" w:right="1588" w:bottom="1588" w:left="1588" w:header="851" w:footer="992" w:gutter="0"/>
          <w:pgNumType w:start="1"/>
          <w:cols w:space="720" w:num="1"/>
          <w:docGrid w:type="linesAndChars" w:linePitch="602" w:charSpace="-782"/>
        </w:sectPr>
      </w:pPr>
      <w:r>
        <w:rPr>
          <w:rFonts w:hint="eastAsia" w:eastAsia="仿宋_GB2312"/>
          <w:sz w:val="32"/>
        </w:rPr>
        <w:t>岳阳市财政</w:t>
      </w:r>
      <w:r>
        <w:rPr>
          <w:rFonts w:hint="eastAsia" w:eastAsia="仿宋_GB2312"/>
          <w:sz w:val="32"/>
          <w:szCs w:val="32"/>
        </w:rPr>
        <w:t>局（制）</w:t>
      </w:r>
    </w:p>
    <w:tbl>
      <w:tblPr>
        <w:tblStyle w:val="8"/>
        <w:tblW w:w="98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1441"/>
        <w:gridCol w:w="213"/>
        <w:gridCol w:w="46"/>
        <w:gridCol w:w="1080"/>
        <w:gridCol w:w="210"/>
        <w:gridCol w:w="1145"/>
        <w:gridCol w:w="272"/>
        <w:gridCol w:w="808"/>
        <w:gridCol w:w="1479"/>
        <w:gridCol w:w="226"/>
        <w:gridCol w:w="631"/>
        <w:gridCol w:w="709"/>
        <w:gridCol w:w="460"/>
        <w:gridCol w:w="107"/>
        <w:gridCol w:w="32"/>
        <w:gridCol w:w="9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一、部门（单位）基本概况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联系人</w:t>
            </w:r>
          </w:p>
        </w:tc>
        <w:tc>
          <w:tcPr>
            <w:tcW w:w="3561"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刘关</w:t>
            </w: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联络电话</w:t>
            </w:r>
          </w:p>
        </w:tc>
        <w:tc>
          <w:tcPr>
            <w:tcW w:w="3106"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18598901056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人员编制</w:t>
            </w:r>
          </w:p>
        </w:tc>
        <w:tc>
          <w:tcPr>
            <w:tcW w:w="3561" w:type="dxa"/>
            <w:gridSpan w:val="6"/>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392</w:t>
            </w: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实有人数</w:t>
            </w:r>
          </w:p>
        </w:tc>
        <w:tc>
          <w:tcPr>
            <w:tcW w:w="3106" w:type="dxa"/>
            <w:gridSpan w:val="7"/>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509"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职能职责概述</w:t>
            </w:r>
          </w:p>
        </w:tc>
        <w:tc>
          <w:tcPr>
            <w:tcW w:w="8146" w:type="dxa"/>
            <w:gridSpan w:val="14"/>
            <w:noWrap w:val="0"/>
            <w:vAlign w:val="center"/>
          </w:tcPr>
          <w:p>
            <w:pPr>
              <w:autoSpaceDN w:val="0"/>
              <w:spacing w:line="320" w:lineRule="exact"/>
              <w:ind w:firstLine="420" w:firstLineChars="200"/>
              <w:jc w:val="left"/>
              <w:textAlignment w:val="center"/>
              <w:rPr>
                <w:rFonts w:hint="eastAsia"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岳阳市公安局交通警察支队，为岳阳市公安局直属副处级机构，内设12个科所室、5个业务指导大队、9个勤务大队。岳阳市公安局交通警察支队内设机构包括：指挥调度管理大队、政工科、纪委（监察室）、工会、行政装备科、办公室、交通安全宣传教育科、交通秩序管理科、机动车驾驶人管理所、机动车辆管理所、交通违法处理大队、驾驶人考试中心、法制大队、道路交通设施管理大队、农村道路交通管理指导大队、交通事故预防处理指导大队、驾驶人交通违法教育管理大队、岳阳楼大队、白石岭大队、云溪大队、君山大队、城陵矶大队、南湖大队、新港区大队、公路巡逻警察大队、综合执法大队。</w:t>
            </w:r>
          </w:p>
          <w:p>
            <w:pPr>
              <w:autoSpaceDN w:val="0"/>
              <w:spacing w:line="320" w:lineRule="exact"/>
              <w:ind w:firstLine="420" w:firstLineChars="200"/>
              <w:jc w:val="left"/>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lang w:val="en-US" w:eastAsia="zh-CN"/>
              </w:rPr>
              <w:t>现实有干警392人，协警551人，主要负责并指导全市城乡道路交通安全管理、安全宣传教育、交通指挥；负责维护城区交通秩序，处理交通事故；负责预防、控制和打击涉车、涉路违法犯罪；协同打击城区非法营运的机动车辆；机动车辆管理和驾驶热管理工作；负责参与道路建设中的交通安全设施的规划、设置；负责重大警保卫任务交通管理以及静态交通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386"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年度主要</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工作内容</w:t>
            </w:r>
          </w:p>
        </w:tc>
        <w:tc>
          <w:tcPr>
            <w:tcW w:w="8146" w:type="dxa"/>
            <w:gridSpan w:val="14"/>
            <w:noWrap w:val="0"/>
            <w:vAlign w:val="center"/>
          </w:tcPr>
          <w:p>
            <w:pPr>
              <w:autoSpaceDN w:val="0"/>
              <w:spacing w:line="320" w:lineRule="exact"/>
              <w:jc w:val="left"/>
              <w:textAlignment w:val="center"/>
              <w:rPr>
                <w:rFonts w:hint="eastAsia" w:ascii="仿宋_GB2312" w:hAnsi="楷体_GB2312" w:eastAsia="仿宋_GB2312" w:cs="楷体_GB2312"/>
                <w:bCs/>
                <w:color w:val="000000"/>
                <w:szCs w:val="21"/>
              </w:rPr>
            </w:pPr>
            <w:r>
              <w:rPr>
                <w:rFonts w:hint="eastAsia" w:ascii="仿宋_GB2312" w:hAnsi="仿宋_GB2312" w:eastAsia="仿宋_GB2312" w:cs="仿宋_GB2312"/>
                <w:color w:val="000000"/>
                <w:szCs w:val="21"/>
              </w:rPr>
              <w:t>任务1：</w:t>
            </w:r>
            <w:r>
              <w:rPr>
                <w:rFonts w:hint="eastAsia" w:ascii="仿宋_GB2312" w:hAnsi="仿宋_GB2312" w:eastAsia="仿宋_GB2312" w:cs="仿宋_GB2312"/>
                <w:color w:val="000000"/>
                <w:szCs w:val="21"/>
                <w:lang w:val="en-US" w:eastAsia="zh-CN"/>
              </w:rPr>
              <w:t>吸取交通事故经验教训，做好事故预防工作</w:t>
            </w:r>
            <w:r>
              <w:rPr>
                <w:rFonts w:hint="eastAsia" w:ascii="仿宋_GB2312" w:hAnsi="楷体_GB2312" w:eastAsia="仿宋_GB2312" w:cs="楷体_GB2312"/>
                <w:bCs/>
                <w:color w:val="000000"/>
                <w:szCs w:val="21"/>
              </w:rPr>
              <w:t>。</w:t>
            </w:r>
          </w:p>
          <w:p>
            <w:pPr>
              <w:autoSpaceDN w:val="0"/>
              <w:spacing w:line="320" w:lineRule="exact"/>
              <w:jc w:val="left"/>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任务2：</w:t>
            </w:r>
            <w:r>
              <w:rPr>
                <w:rFonts w:hint="eastAsia" w:ascii="仿宋_GB2312" w:hAnsi="黑体" w:eastAsia="仿宋_GB2312" w:cs="黑体"/>
                <w:szCs w:val="21"/>
                <w:lang w:val="en-US" w:eastAsia="zh-CN"/>
              </w:rPr>
              <w:t>交通问题顽瘴痼疾集中整治，做好路面管控</w:t>
            </w:r>
            <w:r>
              <w:rPr>
                <w:rFonts w:hint="eastAsia" w:ascii="仿宋_GB2312" w:hAnsi="仿宋_GB2312" w:eastAsia="仿宋_GB2312" w:cs="仿宋_GB2312"/>
                <w:szCs w:val="21"/>
              </w:rPr>
              <w:t>。</w:t>
            </w:r>
          </w:p>
          <w:p>
            <w:pPr>
              <w:autoSpaceDN w:val="0"/>
              <w:spacing w:line="320" w:lineRule="exact"/>
              <w:jc w:val="left"/>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任务3：</w:t>
            </w:r>
            <w:r>
              <w:rPr>
                <w:rFonts w:hint="eastAsia" w:ascii="仿宋_GB2312" w:hAnsi="楷体_GB2312" w:eastAsia="仿宋_GB2312" w:cs="楷体_GB2312"/>
                <w:bCs/>
                <w:color w:val="000000"/>
                <w:szCs w:val="21"/>
                <w:shd w:val="clear" w:color="auto" w:fill="FFFFFF"/>
                <w:lang w:val="en-US" w:eastAsia="zh-CN"/>
              </w:rPr>
              <w:t>智能交通系统持续优化，扩展大数据应用</w:t>
            </w:r>
            <w:r>
              <w:rPr>
                <w:rFonts w:hint="eastAsia" w:ascii="仿宋_GB2312" w:hAnsi="楷体_GB2312" w:eastAsia="仿宋_GB2312" w:cs="楷体_GB2312"/>
                <w:bCs/>
                <w:color w:val="000000"/>
                <w:szCs w:val="21"/>
                <w:shd w:val="clear" w:color="auto" w:fill="FFFFFF"/>
              </w:rPr>
              <w:t>。</w:t>
            </w:r>
          </w:p>
          <w:p>
            <w:pPr>
              <w:autoSpaceDN w:val="0"/>
              <w:spacing w:line="320" w:lineRule="exact"/>
              <w:jc w:val="left"/>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任务4：</w:t>
            </w:r>
            <w:r>
              <w:rPr>
                <w:rFonts w:hint="eastAsia" w:ascii="仿宋_GB2312" w:hAnsi="仿宋_GB2312" w:eastAsia="仿宋_GB2312" w:cs="仿宋_GB2312"/>
                <w:color w:val="000000"/>
                <w:szCs w:val="21"/>
                <w:lang w:val="en-US" w:eastAsia="zh-CN"/>
              </w:rPr>
              <w:t>开展交通安全宣传深入人心</w:t>
            </w:r>
            <w:r>
              <w:rPr>
                <w:rFonts w:hint="eastAsia" w:ascii="仿宋_GB2312" w:hAnsi="楷体_GB2312" w:eastAsia="仿宋_GB2312" w:cs="楷体_GB2312"/>
                <w:bCs/>
                <w:color w:val="000000"/>
                <w:szCs w:val="21"/>
                <w:shd w:val="clear" w:color="auto" w:fill="FFFFFF"/>
              </w:rPr>
              <w:t>。</w:t>
            </w:r>
          </w:p>
          <w:p>
            <w:pPr>
              <w:autoSpaceDN w:val="0"/>
              <w:spacing w:line="320" w:lineRule="exact"/>
              <w:jc w:val="left"/>
              <w:textAlignment w:val="center"/>
              <w:rPr>
                <w:rFonts w:hint="eastAsia" w:ascii="仿宋_GB2312" w:hAnsi="楷体_GB2312" w:eastAsia="仿宋_GB2312" w:cs="楷体_GB2312"/>
                <w:bCs/>
                <w:color w:val="000000"/>
                <w:szCs w:val="21"/>
              </w:rPr>
            </w:pPr>
            <w:r>
              <w:rPr>
                <w:rFonts w:hint="eastAsia" w:ascii="仿宋_GB2312" w:hAnsi="仿宋_GB2312" w:eastAsia="仿宋_GB2312" w:cs="仿宋_GB2312"/>
                <w:color w:val="000000"/>
                <w:szCs w:val="21"/>
              </w:rPr>
              <w:t>任务5：</w:t>
            </w:r>
            <w:r>
              <w:rPr>
                <w:rFonts w:hint="eastAsia" w:ascii="仿宋_GB2312" w:hAnsi="楷体_GB2312" w:eastAsia="仿宋_GB2312" w:cs="楷体_GB2312"/>
                <w:bCs/>
                <w:color w:val="000000"/>
                <w:szCs w:val="21"/>
                <w:lang w:val="en-US" w:eastAsia="zh-CN"/>
              </w:rPr>
              <w:t>提高为民服务质量，增强为民服务效率</w:t>
            </w:r>
            <w:r>
              <w:rPr>
                <w:rFonts w:hint="eastAsia" w:ascii="仿宋_GB2312" w:hAnsi="楷体_GB2312" w:eastAsia="仿宋_GB2312" w:cs="楷体_GB2312"/>
                <w:bCs/>
                <w:color w:val="000000"/>
                <w:szCs w:val="21"/>
              </w:rPr>
              <w:t>。</w:t>
            </w:r>
          </w:p>
          <w:p>
            <w:pPr>
              <w:autoSpaceDN w:val="0"/>
              <w:spacing w:line="320" w:lineRule="exact"/>
              <w:jc w:val="left"/>
              <w:textAlignment w:val="center"/>
              <w:rPr>
                <w:rFonts w:hint="eastAsia" w:ascii="仿宋_GB2312" w:hAnsi="楷体_GB2312" w:eastAsia="仿宋_GB2312" w:cs="楷体_GB2312"/>
                <w:bCs/>
                <w:szCs w:val="21"/>
              </w:rPr>
            </w:pPr>
            <w:r>
              <w:rPr>
                <w:rFonts w:hint="eastAsia" w:ascii="仿宋_GB2312" w:hAnsi="楷体_GB2312" w:eastAsia="仿宋_GB2312" w:cs="楷体_GB2312"/>
                <w:bCs/>
                <w:color w:val="000000"/>
                <w:szCs w:val="21"/>
              </w:rPr>
              <w:t>任务6：</w:t>
            </w:r>
            <w:r>
              <w:rPr>
                <w:rFonts w:hint="eastAsia" w:ascii="仿宋_GB2312" w:hAnsi="楷体_GB2312" w:eastAsia="仿宋_GB2312" w:cs="楷体_GB2312"/>
                <w:bCs/>
                <w:color w:val="000000"/>
                <w:szCs w:val="21"/>
                <w:shd w:val="clear" w:color="auto" w:fill="FFFFFF"/>
                <w:lang w:val="en-US" w:eastAsia="zh-CN"/>
              </w:rPr>
              <w:t>扎实开展“坚持政治建警全面从严治警”，提升队伍党建</w:t>
            </w:r>
            <w:r>
              <w:rPr>
                <w:rFonts w:hint="eastAsia" w:ascii="仿宋_GB2312" w:hAnsi="楷体_GB2312" w:eastAsia="仿宋_GB2312" w:cs="楷体_GB2312"/>
                <w:bCs/>
                <w:szCs w:val="21"/>
              </w:rPr>
              <w:t>。</w:t>
            </w:r>
          </w:p>
          <w:p>
            <w:pPr>
              <w:autoSpaceDN w:val="0"/>
              <w:spacing w:line="320" w:lineRule="exact"/>
              <w:jc w:val="left"/>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260"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年度部门（单位）总体运行情况及取得的成绩</w:t>
            </w:r>
          </w:p>
        </w:tc>
        <w:tc>
          <w:tcPr>
            <w:tcW w:w="8146" w:type="dxa"/>
            <w:gridSpan w:val="14"/>
            <w:noWrap w:val="0"/>
            <w:vAlign w:val="center"/>
          </w:tcPr>
          <w:p>
            <w:pPr>
              <w:spacing w:line="34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2021</w:t>
            </w:r>
            <w:r>
              <w:rPr>
                <w:rFonts w:hint="eastAsia" w:ascii="仿宋_GB2312" w:hAnsi="仿宋_GB2312" w:eastAsia="仿宋_GB2312" w:cs="仿宋_GB2312"/>
                <w:szCs w:val="21"/>
              </w:rPr>
              <w:t>年，交警支队在市委、市政府和市公安局的坚强领导下，紧紧围绕</w:t>
            </w:r>
            <w:r>
              <w:rPr>
                <w:rFonts w:hint="eastAsia" w:ascii="仿宋_GB2312" w:hAnsi="仿宋_GB2312" w:eastAsia="仿宋_GB2312" w:cs="仿宋_GB2312"/>
                <w:szCs w:val="21"/>
                <w:lang w:val="en-US" w:eastAsia="zh-CN"/>
              </w:rPr>
              <w:t>事故预防“减量控大”和建党100周年大庆这一主线，坚决贯彻执行市委市政府和省总队工作部署和要求，使全市交通安全形势持续平稳</w:t>
            </w:r>
            <w:r>
              <w:rPr>
                <w:rFonts w:hint="eastAsia" w:ascii="仿宋_GB2312" w:hAnsi="仿宋_GB2312" w:eastAsia="仿宋_GB2312" w:cs="仿宋_GB2312"/>
                <w:szCs w:val="21"/>
              </w:rPr>
              <w:t>。全市</w:t>
            </w:r>
            <w:r>
              <w:rPr>
                <w:rFonts w:hint="eastAsia" w:ascii="仿宋_GB2312" w:hAnsi="仿宋_GB2312" w:eastAsia="仿宋_GB2312" w:cs="仿宋_GB2312"/>
                <w:szCs w:val="21"/>
                <w:lang w:val="en-US" w:eastAsia="zh-CN"/>
              </w:rPr>
              <w:t>开展各类专项整治行动400余次，查纠各类交通违法124.9万余起，全市较大以上交通事故“零发生。高标准完成“建党100周年”，省市党代会、春运等重要节点交通安保。支队加大对智能交通系统的优化，利用缉查布控系统，精准打击涉牌涉证违法行为。加强交通安全宣传教育，为民服务提质增效。</w:t>
            </w:r>
          </w:p>
          <w:p>
            <w:pPr>
              <w:autoSpaceDN w:val="0"/>
              <w:spacing w:line="320" w:lineRule="exact"/>
              <w:jc w:val="left"/>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二、部门（单位）收支情况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年度收入情况（万元）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机构名称</w:t>
            </w:r>
          </w:p>
        </w:tc>
        <w:tc>
          <w:tcPr>
            <w:tcW w:w="1080" w:type="dxa"/>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收入合计</w:t>
            </w:r>
          </w:p>
        </w:tc>
        <w:tc>
          <w:tcPr>
            <w:tcW w:w="7020" w:type="dxa"/>
            <w:gridSpan w:val="1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014" w:hRule="atLeast"/>
          <w:jc w:val="center"/>
        </w:trPr>
        <w:tc>
          <w:tcPr>
            <w:tcW w:w="1700" w:type="dxa"/>
            <w:gridSpan w:val="3"/>
            <w:vMerge w:val="continue"/>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上年结转</w:t>
            </w: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公共财</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政拨款</w:t>
            </w:r>
          </w:p>
        </w:tc>
        <w:tc>
          <w:tcPr>
            <w:tcW w:w="1705"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政府基金拨款</w:t>
            </w:r>
          </w:p>
        </w:tc>
        <w:tc>
          <w:tcPr>
            <w:tcW w:w="1800" w:type="dxa"/>
            <w:gridSpan w:val="3"/>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纳入专户管理的非税收入拨款</w:t>
            </w:r>
          </w:p>
        </w:tc>
        <w:tc>
          <w:tcPr>
            <w:tcW w:w="1080" w:type="dxa"/>
            <w:gridSpan w:val="3"/>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72" w:hRule="atLeast"/>
          <w:jc w:val="center"/>
        </w:trPr>
        <w:tc>
          <w:tcPr>
            <w:tcW w:w="1700" w:type="dxa"/>
            <w:gridSpan w:val="3"/>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局机关及二级机构汇总</w:t>
            </w:r>
          </w:p>
        </w:tc>
        <w:tc>
          <w:tcPr>
            <w:tcW w:w="1080" w:type="dxa"/>
            <w:tcBorders>
              <w:righ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19,241.43</w:t>
            </w:r>
          </w:p>
        </w:tc>
        <w:tc>
          <w:tcPr>
            <w:tcW w:w="1355" w:type="dxa"/>
            <w:gridSpan w:val="2"/>
            <w:tcBorders>
              <w:lef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757.49</w:t>
            </w:r>
          </w:p>
        </w:tc>
        <w:tc>
          <w:tcPr>
            <w:tcW w:w="1080" w:type="dxa"/>
            <w:gridSpan w:val="2"/>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18,052.94</w:t>
            </w:r>
          </w:p>
        </w:tc>
        <w:tc>
          <w:tcPr>
            <w:tcW w:w="1705" w:type="dxa"/>
            <w:gridSpan w:val="2"/>
            <w:noWrap w:val="0"/>
            <w:vAlign w:val="center"/>
          </w:tcPr>
          <w:p>
            <w:pPr>
              <w:autoSpaceDN w:val="0"/>
              <w:spacing w:line="320" w:lineRule="exact"/>
              <w:jc w:val="left"/>
              <w:textAlignment w:val="center"/>
              <w:rPr>
                <w:rFonts w:hint="eastAsia" w:ascii="仿宋_GB2312" w:hAnsi="仿宋_GB2312" w:eastAsia="仿宋_GB2312" w:cs="仿宋_GB2312"/>
                <w:color w:val="FF0000"/>
                <w:sz w:val="24"/>
              </w:rPr>
            </w:pPr>
          </w:p>
        </w:tc>
        <w:tc>
          <w:tcPr>
            <w:tcW w:w="1800" w:type="dxa"/>
            <w:gridSpan w:val="3"/>
            <w:noWrap w:val="0"/>
            <w:vAlign w:val="center"/>
          </w:tcPr>
          <w:p>
            <w:pPr>
              <w:autoSpaceDN w:val="0"/>
              <w:spacing w:line="320" w:lineRule="exact"/>
              <w:jc w:val="center"/>
              <w:textAlignment w:val="center"/>
              <w:rPr>
                <w:rFonts w:hint="eastAsia" w:ascii="仿宋_GB2312" w:hAnsi="仿宋_GB2312" w:eastAsia="仿宋_GB2312" w:cs="仿宋_GB2312"/>
                <w:color w:val="FF0000"/>
                <w:sz w:val="24"/>
              </w:rPr>
            </w:pPr>
          </w:p>
        </w:tc>
        <w:tc>
          <w:tcPr>
            <w:tcW w:w="1080" w:type="dxa"/>
            <w:gridSpan w:val="3"/>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431.00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9800" w:type="dxa"/>
            <w:gridSpan w:val="1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部门（单位）年度支出和结余情况（万元）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restart"/>
            <w:noWrap w:val="0"/>
            <w:vAlign w:val="center"/>
          </w:tcPr>
          <w:p>
            <w:pPr>
              <w:snapToGri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支出合计</w:t>
            </w:r>
          </w:p>
        </w:tc>
        <w:tc>
          <w:tcPr>
            <w:tcW w:w="5480" w:type="dxa"/>
            <w:gridSpan w:val="8"/>
            <w:tcBorders>
              <w:left w:val="single" w:color="auto" w:sz="4" w:space="0"/>
              <w:bottom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540" w:type="dxa"/>
            <w:gridSpan w:val="4"/>
            <w:tcBorders>
              <w:left w:val="single" w:color="auto" w:sz="4" w:space="0"/>
              <w:bottom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noWrap w:val="0"/>
            <w:vAlign w:val="center"/>
          </w:tcPr>
          <w:p>
            <w:pPr>
              <w:spacing w:line="320" w:lineRule="exact"/>
              <w:jc w:val="center"/>
              <w:rPr>
                <w:rFonts w:hint="eastAsia" w:ascii="仿宋_GB2312" w:hAnsi="仿宋_GB2312" w:eastAsia="仿宋_GB2312" w:cs="仿宋_GB2312"/>
                <w:sz w:val="24"/>
              </w:rPr>
            </w:pPr>
          </w:p>
        </w:tc>
        <w:tc>
          <w:tcPr>
            <w:tcW w:w="1080"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vMerge w:val="restart"/>
            <w:tcBorders>
              <w:top w:val="single" w:color="auto" w:sz="4" w:space="0"/>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基本支出</w:t>
            </w:r>
          </w:p>
        </w:tc>
        <w:tc>
          <w:tcPr>
            <w:tcW w:w="3416" w:type="dxa"/>
            <w:gridSpan w:val="5"/>
            <w:tcBorders>
              <w:top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709" w:type="dxa"/>
            <w:vMerge w:val="restart"/>
            <w:tcBorders>
              <w:top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项目支出</w:t>
            </w:r>
          </w:p>
        </w:tc>
        <w:tc>
          <w:tcPr>
            <w:tcW w:w="567" w:type="dxa"/>
            <w:gridSpan w:val="2"/>
            <w:vMerge w:val="restart"/>
            <w:tcBorders>
              <w:top w:val="single" w:color="auto" w:sz="4" w:space="0"/>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当年结余</w:t>
            </w:r>
          </w:p>
        </w:tc>
        <w:tc>
          <w:tcPr>
            <w:tcW w:w="973" w:type="dxa"/>
            <w:gridSpan w:val="2"/>
            <w:vMerge w:val="restart"/>
            <w:tcBorders>
              <w:top w:val="single" w:color="auto" w:sz="4" w:space="0"/>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累计</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noWrap w:val="0"/>
            <w:vAlign w:val="center"/>
          </w:tcPr>
          <w:p>
            <w:pPr>
              <w:spacing w:line="320" w:lineRule="exact"/>
              <w:jc w:val="center"/>
              <w:rPr>
                <w:rFonts w:hint="eastAsia" w:ascii="仿宋_GB2312" w:hAnsi="仿宋_GB2312" w:eastAsia="仿宋_GB2312" w:cs="仿宋_GB2312"/>
                <w:sz w:val="24"/>
              </w:rPr>
            </w:pPr>
          </w:p>
        </w:tc>
        <w:tc>
          <w:tcPr>
            <w:tcW w:w="1080"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vMerge w:val="continue"/>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人员支出</w:t>
            </w:r>
          </w:p>
        </w:tc>
        <w:tc>
          <w:tcPr>
            <w:tcW w:w="2336" w:type="dxa"/>
            <w:gridSpan w:val="3"/>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公用支出</w:t>
            </w:r>
          </w:p>
        </w:tc>
        <w:tc>
          <w:tcPr>
            <w:tcW w:w="709"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567" w:type="dxa"/>
            <w:gridSpan w:val="2"/>
            <w:vMerge w:val="continue"/>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73" w:type="dxa"/>
            <w:gridSpan w:val="2"/>
            <w:vMerge w:val="continue"/>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77" w:hRule="atLeast"/>
          <w:jc w:val="center"/>
        </w:trPr>
        <w:tc>
          <w:tcPr>
            <w:tcW w:w="1700" w:type="dxa"/>
            <w:gridSpan w:val="3"/>
            <w:noWrap w:val="0"/>
            <w:vAlign w:val="center"/>
          </w:tcPr>
          <w:p>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color w:val="000000"/>
                <w:sz w:val="24"/>
              </w:rPr>
              <w:t>局机关及二级机构汇总</w:t>
            </w:r>
          </w:p>
        </w:tc>
        <w:tc>
          <w:tcPr>
            <w:tcW w:w="1080" w:type="dxa"/>
            <w:tcBorders>
              <w:righ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19241.43</w:t>
            </w:r>
          </w:p>
        </w:tc>
        <w:tc>
          <w:tcPr>
            <w:tcW w:w="1355" w:type="dxa"/>
            <w:gridSpan w:val="2"/>
            <w:tcBorders>
              <w:lef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19156.01</w:t>
            </w:r>
          </w:p>
        </w:tc>
        <w:tc>
          <w:tcPr>
            <w:tcW w:w="1080" w:type="dxa"/>
            <w:gridSpan w:val="2"/>
            <w:noWrap w:val="0"/>
            <w:vAlign w:val="center"/>
          </w:tcPr>
          <w:p>
            <w:pPr>
              <w:keepNext w:val="0"/>
              <w:keepLines w:val="0"/>
              <w:widowControl/>
              <w:suppressLineNumbers w:val="0"/>
              <w:jc w:val="righ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10682.5</w:t>
            </w:r>
          </w:p>
        </w:tc>
        <w:tc>
          <w:tcPr>
            <w:tcW w:w="2336" w:type="dxa"/>
            <w:gridSpan w:val="3"/>
            <w:noWrap w:val="0"/>
            <w:vAlign w:val="center"/>
          </w:tcPr>
          <w:p>
            <w:pPr>
              <w:keepNext w:val="0"/>
              <w:keepLines w:val="0"/>
              <w:widowControl/>
              <w:suppressLineNumbers w:val="0"/>
              <w:jc w:val="righ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8473.51</w:t>
            </w:r>
          </w:p>
        </w:tc>
        <w:tc>
          <w:tcPr>
            <w:tcW w:w="709" w:type="dxa"/>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567" w:type="dxa"/>
            <w:gridSpan w:val="2"/>
            <w:tcBorders>
              <w:righ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85.42</w:t>
            </w:r>
          </w:p>
        </w:tc>
        <w:tc>
          <w:tcPr>
            <w:tcW w:w="973"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FF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restart"/>
            <w:noWrap w:val="0"/>
            <w:vAlign w:val="center"/>
          </w:tcPr>
          <w:p>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三公经费</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7020" w:type="dxa"/>
            <w:gridSpan w:val="1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noWrap w:val="0"/>
            <w:vAlign w:val="center"/>
          </w:tcPr>
          <w:p>
            <w:pPr>
              <w:spacing w:line="320" w:lineRule="exact"/>
              <w:jc w:val="center"/>
              <w:rPr>
                <w:rFonts w:hint="eastAsia" w:ascii="仿宋_GB2312" w:hAnsi="仿宋_GB2312" w:eastAsia="仿宋_GB2312" w:cs="仿宋_GB2312"/>
                <w:sz w:val="24"/>
              </w:rPr>
            </w:pPr>
          </w:p>
        </w:tc>
        <w:tc>
          <w:tcPr>
            <w:tcW w:w="1080"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公务接待费</w:t>
            </w: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公务用车运维费</w:t>
            </w:r>
          </w:p>
        </w:tc>
        <w:tc>
          <w:tcPr>
            <w:tcW w:w="2336" w:type="dxa"/>
            <w:gridSpan w:val="3"/>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公务用车购置费</w:t>
            </w:r>
          </w:p>
        </w:tc>
        <w:tc>
          <w:tcPr>
            <w:tcW w:w="2249"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因公出国费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58" w:hRule="atLeast"/>
          <w:jc w:val="center"/>
        </w:trPr>
        <w:tc>
          <w:tcPr>
            <w:tcW w:w="1700" w:type="dxa"/>
            <w:gridSpan w:val="3"/>
            <w:noWrap w:val="0"/>
            <w:vAlign w:val="center"/>
          </w:tcPr>
          <w:p>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color w:val="000000"/>
                <w:sz w:val="24"/>
              </w:rPr>
              <w:t>局机关及二级机构汇总</w:t>
            </w:r>
          </w:p>
        </w:tc>
        <w:tc>
          <w:tcPr>
            <w:tcW w:w="1080" w:type="dxa"/>
            <w:tcBorders>
              <w:righ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302.47</w:t>
            </w:r>
          </w:p>
        </w:tc>
        <w:tc>
          <w:tcPr>
            <w:tcW w:w="1355" w:type="dxa"/>
            <w:gridSpan w:val="2"/>
            <w:tcBorders>
              <w:lef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0.06</w:t>
            </w:r>
          </w:p>
        </w:tc>
        <w:tc>
          <w:tcPr>
            <w:tcW w:w="1080" w:type="dxa"/>
            <w:gridSpan w:val="2"/>
            <w:noWrap w:val="0"/>
            <w:vAlign w:val="center"/>
          </w:tcPr>
          <w:p>
            <w:pPr>
              <w:keepNext w:val="0"/>
              <w:keepLines w:val="0"/>
              <w:widowControl/>
              <w:suppressLineNumbers w:val="0"/>
              <w:jc w:val="righ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277.56</w:t>
            </w:r>
          </w:p>
        </w:tc>
        <w:tc>
          <w:tcPr>
            <w:tcW w:w="2336" w:type="dxa"/>
            <w:gridSpan w:val="3"/>
            <w:noWrap w:val="0"/>
            <w:vAlign w:val="center"/>
          </w:tcPr>
          <w:p>
            <w:pPr>
              <w:keepNext w:val="0"/>
              <w:keepLines w:val="0"/>
              <w:widowControl/>
              <w:suppressLineNumbers w:val="0"/>
              <w:jc w:val="righ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24.85</w:t>
            </w:r>
          </w:p>
        </w:tc>
        <w:tc>
          <w:tcPr>
            <w:tcW w:w="2249"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restart"/>
            <w:noWrap w:val="0"/>
            <w:vAlign w:val="center"/>
          </w:tcPr>
          <w:p>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固定资产</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6079" w:type="dxa"/>
            <w:gridSpan w:val="11"/>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941" w:type="dxa"/>
            <w:vMerge w:val="restart"/>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noWrap w:val="0"/>
            <w:vAlign w:val="center"/>
          </w:tcPr>
          <w:p>
            <w:pPr>
              <w:spacing w:line="320" w:lineRule="exact"/>
              <w:jc w:val="center"/>
              <w:rPr>
                <w:rFonts w:hint="eastAsia" w:ascii="仿宋_GB2312" w:hAnsi="仿宋_GB2312" w:eastAsia="仿宋_GB2312" w:cs="仿宋_GB2312"/>
                <w:sz w:val="24"/>
              </w:rPr>
            </w:pPr>
          </w:p>
        </w:tc>
        <w:tc>
          <w:tcPr>
            <w:tcW w:w="1080"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35" w:type="dxa"/>
            <w:gridSpan w:val="4"/>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在用固定资产</w:t>
            </w:r>
          </w:p>
        </w:tc>
        <w:tc>
          <w:tcPr>
            <w:tcW w:w="3644" w:type="dxa"/>
            <w:gridSpan w:val="7"/>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出租固定资产</w:t>
            </w:r>
          </w:p>
        </w:tc>
        <w:tc>
          <w:tcPr>
            <w:tcW w:w="941" w:type="dxa"/>
            <w:vMerge w:val="continue"/>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55" w:hRule="atLeast"/>
          <w:jc w:val="center"/>
        </w:trPr>
        <w:tc>
          <w:tcPr>
            <w:tcW w:w="1700" w:type="dxa"/>
            <w:gridSpan w:val="3"/>
            <w:noWrap w:val="0"/>
            <w:vAlign w:val="center"/>
          </w:tcPr>
          <w:p>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color w:val="000000"/>
                <w:sz w:val="24"/>
              </w:rPr>
              <w:t>局机关及二级机构汇总</w:t>
            </w:r>
          </w:p>
        </w:tc>
        <w:tc>
          <w:tcPr>
            <w:tcW w:w="1080" w:type="dxa"/>
            <w:tcBorders>
              <w:righ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8338.4</w:t>
            </w:r>
          </w:p>
        </w:tc>
        <w:tc>
          <w:tcPr>
            <w:tcW w:w="2435" w:type="dxa"/>
            <w:gridSpan w:val="4"/>
            <w:tcBorders>
              <w:lef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8338.4</w:t>
            </w:r>
          </w:p>
        </w:tc>
        <w:tc>
          <w:tcPr>
            <w:tcW w:w="3644"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41"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39" w:hRule="atLeast"/>
          <w:jc w:val="center"/>
        </w:trPr>
        <w:tc>
          <w:tcPr>
            <w:tcW w:w="9800" w:type="dxa"/>
            <w:gridSpan w:val="1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三、部门（单位）整体支出绩效自评情况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441" w:type="dxa"/>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整体支出绩效定性目标及实施计划完成情况</w:t>
            </w:r>
          </w:p>
        </w:tc>
        <w:tc>
          <w:tcPr>
            <w:tcW w:w="3774"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预期目标</w:t>
            </w:r>
          </w:p>
        </w:tc>
        <w:tc>
          <w:tcPr>
            <w:tcW w:w="4585" w:type="dxa"/>
            <w:gridSpan w:val="8"/>
            <w:noWrap w:val="0"/>
            <w:vAlign w:val="center"/>
          </w:tcPr>
          <w:p>
            <w:pPr>
              <w:autoSpaceDN w:val="0"/>
              <w:spacing w:line="320" w:lineRule="exact"/>
              <w:jc w:val="center"/>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实际完成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172"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3774" w:type="dxa"/>
            <w:gridSpan w:val="7"/>
            <w:noWrap w:val="0"/>
            <w:vAlign w:val="center"/>
          </w:tcPr>
          <w:p>
            <w:pPr>
              <w:autoSpaceDN w:val="0"/>
              <w:spacing w:line="320" w:lineRule="exact"/>
              <w:jc w:val="left"/>
              <w:textAlignment w:val="center"/>
              <w:rPr>
                <w:rFonts w:hint="eastAsia" w:ascii="仿宋_GB2312" w:hAnsi="仿宋_GB2312" w:eastAsia="仿宋_GB2312" w:cs="仿宋_GB2312"/>
                <w:color w:val="000000"/>
                <w:szCs w:val="21"/>
              </w:rPr>
            </w:pPr>
            <w:r>
              <w:rPr>
                <w:rFonts w:hint="eastAsia" w:eastAsia="仿宋_GB2312"/>
                <w:sz w:val="24"/>
              </w:rPr>
              <w:t>深入推进事故预防“减量控大”、交通问题顽瘴痼疾整治、</w:t>
            </w:r>
            <w:r>
              <w:rPr>
                <w:rFonts w:hint="eastAsia" w:eastAsia="仿宋_GB2312"/>
                <w:sz w:val="24"/>
                <w:lang w:val="en-US" w:eastAsia="zh-CN"/>
              </w:rPr>
              <w:t>持续开展“一盔一带”安全守护行动、持续优化智能交通系统、加强交通安全宣传教育</w:t>
            </w:r>
            <w:r>
              <w:rPr>
                <w:rFonts w:hint="eastAsia" w:eastAsia="仿宋_GB2312"/>
                <w:sz w:val="24"/>
              </w:rPr>
              <w:t>等工作，全面筑牢道路交通安全防线，着力打造大交管工作格局，确保全市道路交通安全、畅通、有序。</w:t>
            </w:r>
          </w:p>
        </w:tc>
        <w:tc>
          <w:tcPr>
            <w:tcW w:w="4585" w:type="dxa"/>
            <w:gridSpan w:val="8"/>
            <w:noWrap w:val="0"/>
            <w:vAlign w:val="center"/>
          </w:tcPr>
          <w:p>
            <w:pPr>
              <w:autoSpaceDN w:val="0"/>
              <w:spacing w:line="320" w:lineRule="exac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1、省市督办的突出风险路段整改率99.85%，全市重点运输企业备案率100%，事故死亡人数较2019和2020年两年平均下降0.4%，全市较大以上交通事故“零发生”；2、</w:t>
            </w:r>
            <w:r>
              <w:rPr>
                <w:rFonts w:hint="eastAsia" w:ascii="仿宋_GB2312" w:hAnsi="仿宋_GB2312" w:eastAsia="仿宋_GB2312" w:cs="仿宋_GB2312"/>
                <w:szCs w:val="21"/>
              </w:rPr>
              <w:t>全市</w:t>
            </w:r>
            <w:r>
              <w:rPr>
                <w:rFonts w:hint="eastAsia" w:ascii="仿宋_GB2312" w:hAnsi="仿宋_GB2312" w:eastAsia="仿宋_GB2312" w:cs="仿宋_GB2312"/>
                <w:szCs w:val="21"/>
                <w:lang w:val="en-US" w:eastAsia="zh-CN"/>
              </w:rPr>
              <w:t>开展各类专项整治行动400余次，查纠各类交通违法124.9万余起，摩托车、电动车头盔佩戴率由年初52%提升至90%；3、完成37个重点部门的交通组织“微改造”；4、开展“美丽乡村行”交通安全巡回宣讲148场次、“七进”宣传活动2048场次等。</w:t>
            </w:r>
          </w:p>
          <w:p>
            <w:pPr>
              <w:autoSpaceDN w:val="0"/>
              <w:spacing w:line="320" w:lineRule="exact"/>
              <w:textAlignment w:val="center"/>
              <w:rPr>
                <w:rFonts w:hint="eastAsia" w:ascii="仿宋_GB2312" w:hAnsi="仿宋_GB2312" w:eastAsia="仿宋_GB2312" w:cs="仿宋_GB2312"/>
                <w:color w:val="000000"/>
                <w:szCs w:val="21"/>
              </w:rPr>
            </w:pPr>
          </w:p>
          <w:p>
            <w:pPr>
              <w:autoSpaceDN w:val="0"/>
              <w:spacing w:line="320" w:lineRule="exact"/>
              <w:textAlignment w:val="center"/>
              <w:rPr>
                <w:rFonts w:hint="eastAsia" w:ascii="仿宋_GB2312" w:hAnsi="仿宋_GB2312" w:eastAsia="仿宋_GB2312" w:cs="仿宋_GB2312"/>
                <w:color w:val="000000"/>
                <w:szCs w:val="21"/>
              </w:rPr>
            </w:pPr>
          </w:p>
          <w:p>
            <w:pPr>
              <w:autoSpaceDN w:val="0"/>
              <w:spacing w:line="320" w:lineRule="exact"/>
              <w:textAlignment w:val="center"/>
              <w:rPr>
                <w:rFonts w:hint="eastAsia" w:ascii="仿宋_GB2312" w:hAnsi="仿宋_GB2312" w:eastAsia="仿宋_GB2312" w:cs="仿宋_GB2312"/>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441" w:type="dxa"/>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整体支出</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绩效定量目标及实施计划完成情况</w:t>
            </w:r>
          </w:p>
        </w:tc>
        <w:tc>
          <w:tcPr>
            <w:tcW w:w="2966"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评价内容</w:t>
            </w:r>
          </w:p>
        </w:tc>
        <w:tc>
          <w:tcPr>
            <w:tcW w:w="3144"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绩效目标</w:t>
            </w:r>
          </w:p>
        </w:tc>
        <w:tc>
          <w:tcPr>
            <w:tcW w:w="2249"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516"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产出目标</w:t>
            </w:r>
          </w:p>
          <w:p>
            <w:pPr>
              <w:autoSpaceDN w:val="0"/>
              <w:spacing w:line="320" w:lineRule="exact"/>
              <w:jc w:val="center"/>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（部门工作实绩，包含上级部门和市委市政府布置的重点工作、实事任务等，根据部门实际进行调整细化）</w:t>
            </w:r>
          </w:p>
        </w:tc>
        <w:tc>
          <w:tcPr>
            <w:tcW w:w="1417"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质量指标</w:t>
            </w:r>
          </w:p>
        </w:tc>
        <w:tc>
          <w:tcPr>
            <w:tcW w:w="3144"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lang w:val="en-US" w:eastAsia="zh-CN"/>
              </w:rPr>
              <w:t>省市督办的突出风险路段整改率99.85%，全市重点运输企业备案率100%，“两客一危一货”重点车辆驾驶人违法“清零”率100%。</w:t>
            </w:r>
            <w:r>
              <w:rPr>
                <w:rFonts w:hint="eastAsia" w:ascii="仿宋_GB2312" w:hAnsi="仿宋_GB2312" w:eastAsia="仿宋_GB2312" w:cs="仿宋_GB2312"/>
                <w:szCs w:val="21"/>
                <w:lang w:val="en-US" w:eastAsia="zh-CN"/>
              </w:rPr>
              <w:t>摩托车、电动车头盔佩戴率由年初52%提升至90%。线上处理快处快赔占主城区业务总量81.07%。现场执法重点未办结案件清理率大96.7%</w:t>
            </w:r>
            <w:r>
              <w:rPr>
                <w:rFonts w:hint="eastAsia" w:ascii="仿宋_GB2312" w:hAnsi="仿宋_GB2312" w:eastAsia="仿宋_GB2312" w:cs="仿宋_GB2312"/>
                <w:color w:val="000000"/>
                <w:szCs w:val="21"/>
              </w:rPr>
              <w:t xml:space="preserve">                                                   </w:t>
            </w:r>
          </w:p>
        </w:tc>
        <w:tc>
          <w:tcPr>
            <w:tcW w:w="2249" w:type="dxa"/>
            <w:gridSpan w:val="5"/>
            <w:noWrap w:val="0"/>
            <w:vAlign w:val="center"/>
          </w:tcPr>
          <w:p>
            <w:pPr>
              <w:autoSpaceDN w:val="0"/>
              <w:spacing w:line="320" w:lineRule="exact"/>
              <w:jc w:val="center"/>
              <w:textAlignment w:val="center"/>
              <w:rPr>
                <w:rFonts w:hint="eastAsia" w:ascii="仿宋_GB2312" w:hAnsi="仿宋_GB2312" w:eastAsia="仿宋_GB2312" w:cs="仿宋_GB2312"/>
                <w:b/>
                <w:color w:val="000000"/>
                <w:szCs w:val="21"/>
              </w:rPr>
            </w:pPr>
            <w:r>
              <w:rPr>
                <w:rFonts w:hint="eastAsia" w:ascii="仿宋_GB2312" w:hAnsi="仿宋_GB2312" w:eastAsia="仿宋_GB2312" w:cs="仿宋_GB2312"/>
                <w:color w:val="000000"/>
                <w:szCs w:val="21"/>
              </w:rPr>
              <w:t xml:space="preserve">按时完成工作任务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393"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Cs w:val="21"/>
              </w:rPr>
            </w:pPr>
          </w:p>
        </w:tc>
        <w:tc>
          <w:tcPr>
            <w:tcW w:w="1417"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数量指标</w:t>
            </w:r>
          </w:p>
        </w:tc>
        <w:tc>
          <w:tcPr>
            <w:tcW w:w="3144" w:type="dxa"/>
            <w:gridSpan w:val="4"/>
            <w:noWrap w:val="0"/>
            <w:vAlign w:val="center"/>
          </w:tcPr>
          <w:p>
            <w:pPr>
              <w:autoSpaceDN w:val="0"/>
              <w:spacing w:line="320" w:lineRule="exact"/>
              <w:jc w:val="left"/>
              <w:textAlignment w:val="center"/>
              <w:rPr>
                <w:rFonts w:hint="default" w:ascii="仿宋_GB2312" w:eastAsia="仿宋_GB2312"/>
                <w:szCs w:val="21"/>
                <w:lang w:val="en-US" w:eastAsia="zh-CN"/>
              </w:rPr>
            </w:pPr>
            <w:r>
              <w:rPr>
                <w:rFonts w:hint="eastAsia" w:ascii="仿宋_GB2312" w:eastAsia="仿宋_GB2312"/>
                <w:szCs w:val="21"/>
                <w:lang w:val="en-US" w:eastAsia="zh-CN"/>
              </w:rPr>
              <w:t>省整治办交办的98台“大吨小标”、104台“违法王”车辆全部整改，全市较大以上交通事故“零发生”。</w:t>
            </w:r>
            <w:r>
              <w:rPr>
                <w:rFonts w:hint="eastAsia" w:ascii="仿宋_GB2312" w:hAnsi="仿宋_GB2312" w:eastAsia="仿宋_GB2312" w:cs="仿宋_GB2312"/>
                <w:szCs w:val="21"/>
              </w:rPr>
              <w:t>全市</w:t>
            </w:r>
            <w:r>
              <w:rPr>
                <w:rFonts w:hint="eastAsia" w:ascii="仿宋_GB2312" w:hAnsi="仿宋_GB2312" w:eastAsia="仿宋_GB2312" w:cs="仿宋_GB2312"/>
                <w:szCs w:val="21"/>
                <w:lang w:val="en-US" w:eastAsia="zh-CN"/>
              </w:rPr>
              <w:t>开展各类专项整治行动400余次，查纠各类交通违法124.9万余起。对94个路口细化配时方案685个，进行配时调整1850余次。开设宣传阵地635个，发放宣传单12万余次，为群众出行发布路况提示420万余次。市政府政务中心“只跑一次”车驾管业务种类大38中，为群众提供服务85万余次。</w:t>
            </w:r>
          </w:p>
        </w:tc>
        <w:tc>
          <w:tcPr>
            <w:tcW w:w="2249" w:type="dxa"/>
            <w:gridSpan w:val="5"/>
            <w:noWrap w:val="0"/>
            <w:vAlign w:val="center"/>
          </w:tcPr>
          <w:p>
            <w:pPr>
              <w:jc w:val="center"/>
              <w:rPr>
                <w:rFonts w:hint="eastAsia" w:ascii="仿宋_GB2312" w:hAnsi="宋体" w:eastAsia="仿宋_GB2312" w:cs="宋体"/>
                <w:szCs w:val="21"/>
              </w:rPr>
            </w:pPr>
            <w:r>
              <w:rPr>
                <w:rFonts w:hint="eastAsia" w:ascii="仿宋_GB2312" w:eastAsia="仿宋_GB2312"/>
                <w:szCs w:val="21"/>
              </w:rPr>
              <w:t>按时按质完成各项工作任务</w:t>
            </w:r>
          </w:p>
          <w:p>
            <w:pPr>
              <w:autoSpaceDN w:val="0"/>
              <w:spacing w:line="320" w:lineRule="exact"/>
              <w:jc w:val="center"/>
              <w:textAlignment w:val="center"/>
              <w:rPr>
                <w:rFonts w:hint="eastAsia" w:ascii="仿宋_GB2312" w:hAnsi="仿宋_GB2312" w:eastAsia="仿宋_GB2312" w:cs="仿宋_GB2312"/>
                <w:b/>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018"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Cs w:val="21"/>
              </w:rPr>
            </w:pPr>
          </w:p>
        </w:tc>
        <w:tc>
          <w:tcPr>
            <w:tcW w:w="1417"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时效指标</w:t>
            </w:r>
          </w:p>
        </w:tc>
        <w:tc>
          <w:tcPr>
            <w:tcW w:w="3144"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年底完成</w:t>
            </w:r>
          </w:p>
          <w:p>
            <w:pPr>
              <w:autoSpaceDN w:val="0"/>
              <w:spacing w:line="320" w:lineRule="exact"/>
              <w:jc w:val="center"/>
              <w:textAlignment w:val="center"/>
              <w:rPr>
                <w:rFonts w:hint="eastAsia" w:ascii="仿宋_GB2312" w:hAnsi="仿宋_GB2312" w:eastAsia="仿宋_GB2312" w:cs="仿宋_GB2312"/>
                <w:color w:val="000000"/>
                <w:szCs w:val="21"/>
              </w:rPr>
            </w:pPr>
          </w:p>
        </w:tc>
        <w:tc>
          <w:tcPr>
            <w:tcW w:w="2249" w:type="dxa"/>
            <w:gridSpan w:val="5"/>
            <w:noWrap w:val="0"/>
            <w:vAlign w:val="center"/>
          </w:tcPr>
          <w:p>
            <w:pPr>
              <w:jc w:val="center"/>
              <w:rPr>
                <w:rFonts w:hint="eastAsia" w:ascii="仿宋_GB2312" w:hAnsi="宋体" w:eastAsia="仿宋_GB2312" w:cs="宋体"/>
                <w:szCs w:val="21"/>
              </w:rPr>
            </w:pPr>
            <w:r>
              <w:rPr>
                <w:rFonts w:hint="eastAsia" w:ascii="仿宋_GB2312" w:eastAsia="仿宋_GB2312"/>
                <w:szCs w:val="21"/>
              </w:rPr>
              <w:t>年底完成</w:t>
            </w:r>
          </w:p>
          <w:p>
            <w:pPr>
              <w:autoSpaceDN w:val="0"/>
              <w:spacing w:line="320" w:lineRule="exact"/>
              <w:jc w:val="center"/>
              <w:textAlignment w:val="center"/>
              <w:rPr>
                <w:rFonts w:hint="eastAsia" w:ascii="仿宋_GB2312" w:hAnsi="仿宋_GB2312" w:eastAsia="仿宋_GB2312" w:cs="仿宋_GB2312"/>
                <w:b/>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32"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Cs w:val="21"/>
              </w:rPr>
            </w:pPr>
          </w:p>
        </w:tc>
        <w:tc>
          <w:tcPr>
            <w:tcW w:w="1417"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成本指标</w:t>
            </w:r>
          </w:p>
        </w:tc>
        <w:tc>
          <w:tcPr>
            <w:tcW w:w="3144"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控制在预算内</w:t>
            </w:r>
          </w:p>
          <w:p>
            <w:pPr>
              <w:autoSpaceDN w:val="0"/>
              <w:spacing w:line="320" w:lineRule="exact"/>
              <w:jc w:val="center"/>
              <w:textAlignment w:val="center"/>
              <w:rPr>
                <w:rFonts w:hint="eastAsia" w:ascii="仿宋_GB2312" w:hAnsi="仿宋_GB2312" w:eastAsia="仿宋_GB2312" w:cs="仿宋_GB2312"/>
                <w:color w:val="000000"/>
                <w:szCs w:val="21"/>
              </w:rPr>
            </w:pPr>
          </w:p>
        </w:tc>
        <w:tc>
          <w:tcPr>
            <w:tcW w:w="2249" w:type="dxa"/>
            <w:gridSpan w:val="5"/>
            <w:noWrap w:val="0"/>
            <w:vAlign w:val="center"/>
          </w:tcPr>
          <w:p>
            <w:pPr>
              <w:autoSpaceDN w:val="0"/>
              <w:spacing w:line="320" w:lineRule="exact"/>
              <w:jc w:val="center"/>
              <w:textAlignment w:val="center"/>
              <w:rPr>
                <w:rFonts w:hint="eastAsia" w:ascii="仿宋_GB2312" w:hAnsi="仿宋_GB2312" w:eastAsia="仿宋_GB2312" w:cs="仿宋_GB2312"/>
                <w:b/>
                <w:color w:val="000000"/>
                <w:szCs w:val="21"/>
              </w:rPr>
            </w:pPr>
            <w:r>
              <w:rPr>
                <w:rFonts w:hint="eastAsia" w:ascii="仿宋_GB2312" w:hAnsi="仿宋_GB2312" w:eastAsia="仿宋_GB2312" w:cs="仿宋_GB2312"/>
                <w:color w:val="000000"/>
                <w:szCs w:val="21"/>
              </w:rPr>
              <w:t>控制在预算内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效益目标</w:t>
            </w:r>
          </w:p>
          <w:p>
            <w:pPr>
              <w:autoSpaceDN w:val="0"/>
              <w:spacing w:line="320" w:lineRule="exact"/>
              <w:jc w:val="center"/>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（预期实现的效益）</w:t>
            </w:r>
          </w:p>
        </w:tc>
        <w:tc>
          <w:tcPr>
            <w:tcW w:w="1417"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社会效益</w:t>
            </w:r>
          </w:p>
        </w:tc>
        <w:tc>
          <w:tcPr>
            <w:tcW w:w="3144" w:type="dxa"/>
            <w:gridSpan w:val="4"/>
            <w:noWrap w:val="0"/>
            <w:vAlign w:val="center"/>
          </w:tcPr>
          <w:p>
            <w:pPr>
              <w:autoSpaceDN w:val="0"/>
              <w:spacing w:line="320" w:lineRule="exact"/>
              <w:jc w:val="center"/>
              <w:textAlignment w:val="center"/>
              <w:rPr>
                <w:rFonts w:hint="eastAsia" w:ascii="仿宋_GB2312" w:hAnsi="黑体" w:eastAsia="仿宋_GB2312" w:cs="黑体"/>
                <w:szCs w:val="21"/>
                <w:lang w:eastAsia="zh-CN"/>
              </w:rPr>
            </w:pPr>
            <w:r>
              <w:rPr>
                <w:rFonts w:hint="eastAsia" w:ascii="仿宋_GB2312" w:hAnsi="黑体" w:eastAsia="仿宋_GB2312" w:cs="黑体"/>
                <w:szCs w:val="21"/>
                <w:lang w:val="en-US" w:eastAsia="zh-CN"/>
              </w:rPr>
              <w:t>交通安全形势持续平稳</w:t>
            </w:r>
          </w:p>
        </w:tc>
        <w:tc>
          <w:tcPr>
            <w:tcW w:w="2249" w:type="dxa"/>
            <w:gridSpan w:val="5"/>
            <w:noWrap w:val="0"/>
            <w:vAlign w:val="center"/>
          </w:tcPr>
          <w:p>
            <w:pPr>
              <w:autoSpaceDN w:val="0"/>
              <w:spacing w:line="320" w:lineRule="exact"/>
              <w:jc w:val="center"/>
              <w:textAlignment w:val="center"/>
              <w:rPr>
                <w:rFonts w:hint="eastAsia" w:ascii="仿宋_GB2312" w:hAnsi="仿宋_GB2312" w:eastAsia="仿宋_GB2312" w:cs="仿宋_GB2312"/>
                <w:b/>
                <w:color w:val="000000"/>
                <w:szCs w:val="21"/>
              </w:rPr>
            </w:pPr>
            <w:r>
              <w:rPr>
                <w:rFonts w:hint="eastAsia" w:ascii="仿宋_GB2312" w:hAnsi="仿宋_GB2312" w:eastAsia="仿宋_GB2312" w:cs="仿宋_GB2312"/>
                <w:szCs w:val="21"/>
              </w:rPr>
              <w:t>促进了道路交通畅通与安全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Cs w:val="21"/>
              </w:rPr>
            </w:pPr>
          </w:p>
        </w:tc>
        <w:tc>
          <w:tcPr>
            <w:tcW w:w="1417"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经济效益</w:t>
            </w:r>
          </w:p>
        </w:tc>
        <w:tc>
          <w:tcPr>
            <w:tcW w:w="3144"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Cs w:val="21"/>
              </w:rPr>
            </w:pPr>
          </w:p>
        </w:tc>
        <w:tc>
          <w:tcPr>
            <w:tcW w:w="2249" w:type="dxa"/>
            <w:gridSpan w:val="5"/>
            <w:noWrap w:val="0"/>
            <w:vAlign w:val="center"/>
          </w:tcPr>
          <w:p>
            <w:pPr>
              <w:autoSpaceDN w:val="0"/>
              <w:spacing w:line="320" w:lineRule="exact"/>
              <w:jc w:val="center"/>
              <w:textAlignment w:val="center"/>
              <w:rPr>
                <w:rFonts w:hint="eastAsia" w:ascii="仿宋_GB2312" w:hAnsi="仿宋_GB2312" w:eastAsia="仿宋_GB2312" w:cs="仿宋_GB2312"/>
                <w:b/>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Cs w:val="21"/>
              </w:rPr>
            </w:pPr>
          </w:p>
        </w:tc>
        <w:tc>
          <w:tcPr>
            <w:tcW w:w="1417"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生态效益</w:t>
            </w:r>
          </w:p>
        </w:tc>
        <w:tc>
          <w:tcPr>
            <w:tcW w:w="3144"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Cs w:val="21"/>
              </w:rPr>
            </w:pPr>
          </w:p>
        </w:tc>
        <w:tc>
          <w:tcPr>
            <w:tcW w:w="2249" w:type="dxa"/>
            <w:gridSpan w:val="5"/>
            <w:noWrap w:val="0"/>
            <w:vAlign w:val="center"/>
          </w:tcPr>
          <w:p>
            <w:pPr>
              <w:autoSpaceDN w:val="0"/>
              <w:spacing w:line="320" w:lineRule="exact"/>
              <w:jc w:val="center"/>
              <w:textAlignment w:val="center"/>
              <w:rPr>
                <w:rFonts w:hint="eastAsia" w:ascii="仿宋_GB2312" w:hAnsi="仿宋_GB2312" w:eastAsia="仿宋_GB2312" w:cs="仿宋_GB2312"/>
                <w:b/>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Cs w:val="21"/>
              </w:rPr>
            </w:pPr>
          </w:p>
        </w:tc>
        <w:tc>
          <w:tcPr>
            <w:tcW w:w="1417"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社会公众或服务对意度</w:t>
            </w:r>
          </w:p>
        </w:tc>
        <w:tc>
          <w:tcPr>
            <w:tcW w:w="3144" w:type="dxa"/>
            <w:gridSpan w:val="4"/>
            <w:noWrap w:val="0"/>
            <w:vAlign w:val="center"/>
          </w:tcPr>
          <w:p>
            <w:pPr>
              <w:jc w:val="center"/>
              <w:rPr>
                <w:rFonts w:hint="eastAsia" w:ascii="仿宋_GB2312" w:hAnsi="宋体" w:eastAsia="仿宋_GB2312" w:cs="宋体"/>
                <w:szCs w:val="21"/>
              </w:rPr>
            </w:pPr>
            <w:r>
              <w:rPr>
                <w:rFonts w:hint="eastAsia" w:ascii="仿宋_GB2312" w:eastAsia="仿宋_GB2312"/>
                <w:szCs w:val="21"/>
              </w:rPr>
              <w:t>提升公众满意度</w:t>
            </w:r>
          </w:p>
          <w:p>
            <w:pPr>
              <w:autoSpaceDN w:val="0"/>
              <w:spacing w:line="320" w:lineRule="exact"/>
              <w:jc w:val="left"/>
              <w:textAlignment w:val="center"/>
              <w:rPr>
                <w:rFonts w:hint="eastAsia" w:ascii="仿宋_GB2312" w:hAnsi="仿宋_GB2312" w:eastAsia="仿宋_GB2312" w:cs="仿宋_GB2312"/>
                <w:color w:val="000000"/>
                <w:szCs w:val="21"/>
              </w:rPr>
            </w:pPr>
          </w:p>
        </w:tc>
        <w:tc>
          <w:tcPr>
            <w:tcW w:w="2249" w:type="dxa"/>
            <w:gridSpan w:val="5"/>
            <w:noWrap w:val="0"/>
            <w:vAlign w:val="center"/>
          </w:tcPr>
          <w:p>
            <w:pPr>
              <w:autoSpaceDN w:val="0"/>
              <w:spacing w:line="320" w:lineRule="exact"/>
              <w:jc w:val="center"/>
              <w:textAlignment w:val="center"/>
              <w:rPr>
                <w:rFonts w:hint="eastAsia" w:ascii="仿宋_GB2312" w:hAnsi="仿宋_GB2312" w:eastAsia="仿宋_GB2312" w:cs="仿宋_GB2312"/>
                <w:b/>
                <w:color w:val="000000"/>
                <w:szCs w:val="21"/>
              </w:rPr>
            </w:pPr>
            <w:r>
              <w:rPr>
                <w:rFonts w:hint="eastAsia" w:ascii="仿宋_GB2312" w:hAnsi="仿宋_GB2312" w:eastAsia="仿宋_GB2312" w:cs="仿宋_GB2312"/>
                <w:b/>
                <w:color w:val="000000"/>
                <w:szCs w:val="21"/>
              </w:rPr>
              <w:t>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2990"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绩效自评综合得分</w:t>
            </w:r>
          </w:p>
        </w:tc>
        <w:tc>
          <w:tcPr>
            <w:tcW w:w="6810" w:type="dxa"/>
            <w:gridSpan w:val="11"/>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98.9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2990"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评价等次</w:t>
            </w:r>
          </w:p>
        </w:tc>
        <w:tc>
          <w:tcPr>
            <w:tcW w:w="6810" w:type="dxa"/>
            <w:gridSpan w:val="11"/>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9800" w:type="dxa"/>
            <w:gridSpan w:val="1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四、评价人员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姓  名</w:t>
            </w:r>
          </w:p>
        </w:tc>
        <w:tc>
          <w:tcPr>
            <w:tcW w:w="3561"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职务/职称</w:t>
            </w: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单  位</w:t>
            </w:r>
          </w:p>
        </w:tc>
        <w:tc>
          <w:tcPr>
            <w:tcW w:w="3106"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签  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江浩涛</w:t>
            </w:r>
          </w:p>
        </w:tc>
        <w:tc>
          <w:tcPr>
            <w:tcW w:w="3561"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组长/交警支队副支队长</w:t>
            </w: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市公安局</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交通警察支队</w:t>
            </w:r>
          </w:p>
        </w:tc>
        <w:tc>
          <w:tcPr>
            <w:tcW w:w="3106"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万瑛</w:t>
            </w:r>
          </w:p>
        </w:tc>
        <w:tc>
          <w:tcPr>
            <w:tcW w:w="3561"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副组长/交警支队行财科长</w:t>
            </w: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市公安局</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交通警察支队</w:t>
            </w:r>
          </w:p>
        </w:tc>
        <w:tc>
          <w:tcPr>
            <w:tcW w:w="3106"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蔡青青</w:t>
            </w:r>
          </w:p>
        </w:tc>
        <w:tc>
          <w:tcPr>
            <w:tcW w:w="3561"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成员/交警支队行财科会计</w:t>
            </w: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市公安局</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交通警察支队</w:t>
            </w:r>
          </w:p>
        </w:tc>
        <w:tc>
          <w:tcPr>
            <w:tcW w:w="3106"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刘关</w:t>
            </w:r>
          </w:p>
        </w:tc>
        <w:tc>
          <w:tcPr>
            <w:tcW w:w="3561"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成员/交警支队行财科科员</w:t>
            </w: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市公安局</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交通警察支队</w:t>
            </w:r>
          </w:p>
        </w:tc>
        <w:tc>
          <w:tcPr>
            <w:tcW w:w="3106"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259" w:hRule="atLeast"/>
          <w:jc w:val="center"/>
        </w:trPr>
        <w:tc>
          <w:tcPr>
            <w:tcW w:w="9800" w:type="dxa"/>
            <w:gridSpan w:val="16"/>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评价组组长（签字）：</w:t>
            </w: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473" w:hRule="atLeast"/>
          <w:jc w:val="center"/>
        </w:trPr>
        <w:tc>
          <w:tcPr>
            <w:tcW w:w="9800" w:type="dxa"/>
            <w:gridSpan w:val="16"/>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部门（单位）意见：</w:t>
            </w: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部门（单位）负责人（签章）：</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794" w:hRule="atLeast"/>
          <w:jc w:val="center"/>
        </w:trPr>
        <w:tc>
          <w:tcPr>
            <w:tcW w:w="9800" w:type="dxa"/>
            <w:gridSpan w:val="16"/>
            <w:noWrap w:val="0"/>
            <w:vAlign w:val="center"/>
          </w:tcPr>
          <w:p>
            <w:pPr>
              <w:spacing w:line="320" w:lineRule="exact"/>
              <w:rPr>
                <w:rFonts w:hint="eastAsia" w:eastAsia="仿宋_GB2312"/>
                <w:sz w:val="24"/>
              </w:rPr>
            </w:pPr>
            <w:r>
              <w:rPr>
                <w:rFonts w:hint="eastAsia" w:eastAsia="仿宋_GB2312"/>
                <w:sz w:val="24"/>
              </w:rPr>
              <w:t>财政部门归口业务科室意见：</w:t>
            </w:r>
          </w:p>
          <w:p>
            <w:pPr>
              <w:spacing w:line="320" w:lineRule="exact"/>
              <w:rPr>
                <w:rFonts w:hint="eastAsia" w:eastAsia="仿宋_GB2312"/>
                <w:sz w:val="24"/>
              </w:rPr>
            </w:pPr>
          </w:p>
          <w:p>
            <w:pPr>
              <w:spacing w:line="320" w:lineRule="exact"/>
              <w:rPr>
                <w:rFonts w:hint="eastAsia" w:eastAsia="仿宋_GB2312"/>
                <w:sz w:val="24"/>
              </w:rPr>
            </w:pPr>
          </w:p>
          <w:p>
            <w:pPr>
              <w:spacing w:line="320" w:lineRule="exact"/>
              <w:rPr>
                <w:rFonts w:hint="eastAsia" w:eastAsia="仿宋_GB2312"/>
                <w:sz w:val="24"/>
              </w:rPr>
            </w:pPr>
          </w:p>
          <w:p>
            <w:pPr>
              <w:spacing w:line="320" w:lineRule="exact"/>
              <w:rPr>
                <w:rFonts w:hint="eastAsia" w:eastAsia="仿宋_GB2312"/>
                <w:sz w:val="24"/>
              </w:rPr>
            </w:pPr>
          </w:p>
          <w:p>
            <w:pPr>
              <w:spacing w:line="320" w:lineRule="exact"/>
              <w:rPr>
                <w:rFonts w:hint="eastAsia" w:eastAsia="仿宋_GB2312"/>
                <w:sz w:val="24"/>
              </w:rPr>
            </w:pPr>
          </w:p>
          <w:p>
            <w:pPr>
              <w:spacing w:line="320" w:lineRule="exact"/>
              <w:rPr>
                <w:rFonts w:hint="eastAsia" w:eastAsia="仿宋_GB2312"/>
                <w:sz w:val="24"/>
              </w:rPr>
            </w:pPr>
          </w:p>
          <w:p>
            <w:pPr>
              <w:spacing w:line="320" w:lineRule="exact"/>
              <w:rPr>
                <w:rFonts w:hint="eastAsia" w:eastAsia="仿宋_GB2312"/>
                <w:sz w:val="24"/>
              </w:rPr>
            </w:pPr>
            <w:r>
              <w:rPr>
                <w:rFonts w:hint="eastAsia" w:eastAsia="仿宋_GB2312"/>
                <w:sz w:val="24"/>
              </w:rPr>
              <w:t xml:space="preserve">                                  财政部门归口业务科室负责人（签章）：</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eastAsia="仿宋_GB2312"/>
                <w:sz w:val="24"/>
              </w:rPr>
              <w:t xml:space="preserve">                                                                 年    月   日</w:t>
            </w:r>
          </w:p>
        </w:tc>
      </w:tr>
    </w:tbl>
    <w:p>
      <w:pPr>
        <w:rPr>
          <w:rFonts w:hint="eastAsia" w:eastAsia="仿宋_GB2312" w:cs="仿宋_GB2312"/>
          <w:bCs/>
          <w:sz w:val="28"/>
          <w:szCs w:val="28"/>
        </w:rPr>
      </w:pPr>
      <w:r>
        <w:rPr>
          <w:rFonts w:hint="eastAsia" w:eastAsia="仿宋_GB2312" w:cs="仿宋_GB2312"/>
          <w:bCs/>
          <w:sz w:val="28"/>
          <w:szCs w:val="28"/>
        </w:rPr>
        <w:t>填报人（签名）： 刘关                     联系电话：18598901056</w:t>
      </w:r>
    </w:p>
    <w:tbl>
      <w:tblPr>
        <w:tblStyle w:val="8"/>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8" w:hRule="atLeast"/>
          <w:jc w:val="center"/>
        </w:trPr>
        <w:tc>
          <w:tcPr>
            <w:tcW w:w="9558" w:type="dxa"/>
            <w:noWrap w:val="0"/>
            <w:vAlign w:val="top"/>
          </w:tcPr>
          <w:p>
            <w:pPr>
              <w:spacing w:line="240" w:lineRule="auto"/>
              <w:jc w:val="center"/>
              <w:rPr>
                <w:rFonts w:hint="eastAsia" w:ascii="仿宋" w:hAnsi="仿宋" w:eastAsia="仿宋" w:cs="仿宋"/>
                <w:b/>
                <w:bCs/>
                <w:w w:val="96"/>
                <w:sz w:val="44"/>
                <w:szCs w:val="44"/>
              </w:rPr>
            </w:pPr>
            <w:r>
              <w:rPr>
                <w:rFonts w:hint="eastAsia" w:ascii="仿宋" w:hAnsi="仿宋" w:eastAsia="仿宋" w:cs="仿宋"/>
                <w:b/>
                <w:bCs/>
                <w:w w:val="96"/>
                <w:sz w:val="44"/>
                <w:szCs w:val="44"/>
              </w:rPr>
              <w:t>岳阳市公安局交通警察支队</w:t>
            </w:r>
          </w:p>
          <w:p>
            <w:pPr>
              <w:spacing w:line="240" w:lineRule="auto"/>
              <w:jc w:val="center"/>
              <w:rPr>
                <w:rFonts w:hint="eastAsia" w:ascii="仿宋" w:hAnsi="仿宋" w:eastAsia="仿宋" w:cs="仿宋"/>
                <w:b/>
                <w:bCs/>
                <w:w w:val="96"/>
                <w:sz w:val="44"/>
                <w:szCs w:val="44"/>
              </w:rPr>
            </w:pPr>
            <w:r>
              <w:rPr>
                <w:rFonts w:hint="eastAsia" w:ascii="仿宋" w:hAnsi="仿宋" w:eastAsia="仿宋" w:cs="仿宋"/>
                <w:b/>
                <w:bCs/>
                <w:w w:val="96"/>
                <w:sz w:val="44"/>
                <w:szCs w:val="44"/>
              </w:rPr>
              <w:t>20</w:t>
            </w:r>
            <w:r>
              <w:rPr>
                <w:rFonts w:hint="eastAsia" w:ascii="仿宋" w:hAnsi="仿宋" w:eastAsia="仿宋" w:cs="仿宋"/>
                <w:b/>
                <w:bCs/>
                <w:w w:val="96"/>
                <w:sz w:val="44"/>
                <w:szCs w:val="44"/>
                <w:lang w:val="en-US" w:eastAsia="zh-CN"/>
              </w:rPr>
              <w:t>21</w:t>
            </w:r>
            <w:r>
              <w:rPr>
                <w:rFonts w:hint="eastAsia" w:ascii="仿宋" w:hAnsi="仿宋" w:eastAsia="仿宋" w:cs="仿宋"/>
                <w:b/>
                <w:bCs/>
                <w:w w:val="96"/>
                <w:sz w:val="44"/>
                <w:szCs w:val="44"/>
              </w:rPr>
              <w:t>年度部门（单位）整体支出绩效评价报告</w:t>
            </w:r>
          </w:p>
          <w:p>
            <w:pPr>
              <w:spacing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20</w:t>
            </w:r>
            <w:r>
              <w:rPr>
                <w:rFonts w:hint="eastAsia" w:ascii="仿宋" w:hAnsi="仿宋" w:eastAsia="仿宋" w:cs="仿宋"/>
                <w:sz w:val="28"/>
                <w:szCs w:val="28"/>
                <w:lang w:val="en-US" w:eastAsia="zh-CN"/>
              </w:rPr>
              <w:t>21</w:t>
            </w:r>
            <w:r>
              <w:rPr>
                <w:rFonts w:hint="eastAsia" w:ascii="仿宋" w:hAnsi="仿宋" w:eastAsia="仿宋" w:cs="仿宋"/>
                <w:sz w:val="28"/>
                <w:szCs w:val="28"/>
              </w:rPr>
              <w:t>年，交警支队在市委、市政府和市公安局的坚强领导下，紧紧围绕</w:t>
            </w:r>
            <w:r>
              <w:rPr>
                <w:rFonts w:hint="eastAsia" w:ascii="仿宋" w:hAnsi="仿宋" w:eastAsia="仿宋" w:cs="仿宋"/>
                <w:sz w:val="28"/>
                <w:szCs w:val="28"/>
                <w:lang w:val="en-US" w:eastAsia="zh-CN"/>
              </w:rPr>
              <w:t>事故预防“减量控大”和建党100周年大庆这一主线，坚决贯彻执行市委市政府和省总队工作部署和要求，使全市交通安全形势持续平稳</w:t>
            </w:r>
            <w:r>
              <w:rPr>
                <w:rFonts w:hint="eastAsia" w:ascii="仿宋" w:hAnsi="仿宋" w:eastAsia="仿宋" w:cs="仿宋"/>
                <w:sz w:val="28"/>
                <w:szCs w:val="28"/>
              </w:rPr>
              <w:t>。</w:t>
            </w:r>
          </w:p>
          <w:p>
            <w:pPr>
              <w:spacing w:line="240" w:lineRule="auto"/>
              <w:ind w:firstLine="560" w:firstLineChars="200"/>
              <w:rPr>
                <w:rFonts w:hint="eastAsia" w:ascii="仿宋" w:hAnsi="仿宋" w:eastAsia="仿宋" w:cs="仿宋"/>
                <w:b/>
                <w:bCs/>
                <w:sz w:val="28"/>
                <w:szCs w:val="28"/>
              </w:rPr>
            </w:pPr>
            <w:r>
              <w:rPr>
                <w:rFonts w:hint="eastAsia" w:ascii="仿宋" w:hAnsi="仿宋" w:eastAsia="仿宋" w:cs="仿宋"/>
                <w:b/>
                <w:bCs/>
                <w:sz w:val="28"/>
                <w:szCs w:val="28"/>
              </w:rPr>
              <w:t xml:space="preserve"> 一、部门概况</w:t>
            </w:r>
          </w:p>
          <w:p>
            <w:pPr>
              <w:spacing w:line="240" w:lineRule="auto"/>
              <w:rPr>
                <w:rFonts w:hint="eastAsia" w:ascii="仿宋" w:hAnsi="仿宋" w:eastAsia="仿宋" w:cs="仿宋"/>
                <w:b/>
                <w:bCs/>
                <w:sz w:val="28"/>
                <w:szCs w:val="28"/>
              </w:rPr>
            </w:pPr>
            <w:r>
              <w:rPr>
                <w:rFonts w:hint="eastAsia" w:ascii="仿宋" w:hAnsi="仿宋" w:eastAsia="仿宋" w:cs="仿宋"/>
                <w:b/>
                <w:bCs/>
                <w:sz w:val="28"/>
                <w:szCs w:val="28"/>
              </w:rPr>
              <w:t xml:space="preserve">   （一）部门基本情况</w:t>
            </w:r>
          </w:p>
          <w:p>
            <w:pPr>
              <w:widowControl/>
              <w:numPr>
                <w:ilvl w:val="0"/>
                <w:numId w:val="2"/>
              </w:numPr>
              <w:spacing w:line="600" w:lineRule="exact"/>
              <w:rPr>
                <w:rFonts w:hint="eastAsia" w:ascii="仿宋" w:hAnsi="仿宋" w:eastAsia="仿宋" w:cs="仿宋"/>
                <w:sz w:val="28"/>
                <w:szCs w:val="28"/>
                <w:lang w:val="en-US" w:eastAsia="zh-CN"/>
              </w:rPr>
            </w:pPr>
            <w:r>
              <w:rPr>
                <w:rFonts w:hint="eastAsia" w:ascii="仿宋" w:hAnsi="仿宋" w:eastAsia="仿宋" w:cs="仿宋"/>
                <w:sz w:val="28"/>
                <w:szCs w:val="28"/>
              </w:rPr>
              <w:t>机构编制情况。</w:t>
            </w:r>
            <w:r>
              <w:rPr>
                <w:rFonts w:hint="eastAsia" w:ascii="仿宋" w:hAnsi="仿宋" w:eastAsia="仿宋" w:cs="仿宋"/>
                <w:color w:val="000000"/>
                <w:sz w:val="28"/>
                <w:szCs w:val="28"/>
              </w:rPr>
              <w:t>岳阳市公安局交通警察支队为岳阳市公安局直属副处级二级机构，</w:t>
            </w:r>
            <w:r>
              <w:rPr>
                <w:rFonts w:hint="eastAsia" w:ascii="仿宋" w:hAnsi="仿宋" w:eastAsia="仿宋" w:cs="仿宋"/>
                <w:sz w:val="28"/>
                <w:szCs w:val="28"/>
                <w:lang w:val="en-US" w:eastAsia="zh-CN"/>
              </w:rPr>
              <w:t>内设12个科所室、5个业务指导大队、9个勤务大队。岳阳市公安局交通警察支队内设机构包括：指挥调度管理大队、政工科、纪委（监察室）、工会、行政装备科、办公室、交通安全宣传教育科、交通秩序管理科、机动车驾驶人管理所、机动车辆管理所、交通违法处理大队、驾驶人考试中心、法制大队、道路交通设施管理大队、农村道路交通管理指导大队、交通事故预防处理指导大队、驾驶人交通违法教育管理大队、岳阳楼大队、白石岭大队、云溪大队、君山大队、城陵矶大队、南湖大队、新港区大队、公路巡逻警察大队、综合执法大队。</w:t>
            </w:r>
          </w:p>
          <w:p>
            <w:p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2021年度主要工作内容：</w:t>
            </w:r>
          </w:p>
          <w:p>
            <w:p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1、吸取交通事故经验教训，做好事故预防工作。</w:t>
            </w:r>
          </w:p>
          <w:p>
            <w:p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2、交通问题顽瘴痼疾集中整治，做好路面管控。</w:t>
            </w:r>
          </w:p>
          <w:p>
            <w:p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3、智能交通系统持续优化，扩展大数据应用。</w:t>
            </w:r>
          </w:p>
          <w:p>
            <w:p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4、开展交通安全宣传深入人心。</w:t>
            </w:r>
          </w:p>
          <w:p>
            <w:p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5、提高为民服务质量，增强为民服务效率。</w:t>
            </w:r>
          </w:p>
          <w:p>
            <w:p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6、扎实开展“坚持政治建警全面从严治警”，提升队伍党建。</w:t>
            </w:r>
          </w:p>
          <w:p>
            <w:pPr>
              <w:numPr>
                <w:ilvl w:val="0"/>
                <w:numId w:val="6"/>
              </w:numPr>
              <w:spacing w:line="560" w:lineRule="exact"/>
              <w:ind w:left="-560" w:leftChars="0" w:firstLine="560" w:firstLineChars="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部门（单位）整体支出规模、使用方向和主要内容、涉及范围等</w:t>
            </w:r>
          </w:p>
          <w:p>
            <w:pPr>
              <w:autoSpaceDN w:val="0"/>
              <w:spacing w:line="240" w:lineRule="auto"/>
              <w:ind w:firstLine="560" w:firstLineChars="200"/>
              <w:jc w:val="left"/>
              <w:textAlignment w:val="center"/>
              <w:rPr>
                <w:rFonts w:hint="eastAsia" w:ascii="仿宋" w:hAnsi="仿宋" w:eastAsia="仿宋" w:cs="仿宋"/>
                <w:bCs/>
                <w:color w:val="000000"/>
                <w:sz w:val="28"/>
                <w:szCs w:val="28"/>
              </w:rPr>
            </w:pPr>
            <w:r>
              <w:rPr>
                <w:rFonts w:hint="eastAsia" w:ascii="仿宋_GB2312" w:hAnsi="仿宋_GB2312" w:eastAsia="仿宋_GB2312" w:cs="仿宋_GB2312"/>
                <w:bCs/>
                <w:sz w:val="28"/>
                <w:szCs w:val="28"/>
              </w:rPr>
              <w:t>202</w:t>
            </w:r>
            <w:r>
              <w:rPr>
                <w:rFonts w:hint="eastAsia" w:ascii="仿宋_GB2312" w:hAnsi="仿宋_GB2312" w:eastAsia="仿宋_GB2312" w:cs="仿宋_GB2312"/>
                <w:bCs/>
                <w:sz w:val="28"/>
                <w:szCs w:val="28"/>
                <w:lang w:val="en-US" w:eastAsia="zh-CN"/>
              </w:rPr>
              <w:t>1</w:t>
            </w:r>
            <w:r>
              <w:rPr>
                <w:rFonts w:hint="eastAsia" w:ascii="仿宋_GB2312" w:hAnsi="仿宋_GB2312" w:eastAsia="仿宋_GB2312" w:cs="仿宋_GB2312"/>
                <w:bCs/>
                <w:sz w:val="28"/>
                <w:szCs w:val="28"/>
              </w:rPr>
              <w:t>年度我单位总收入共计</w:t>
            </w:r>
            <w:r>
              <w:rPr>
                <w:rFonts w:hint="eastAsia" w:ascii="仿宋_GB2312" w:hAnsi="仿宋_GB2312" w:eastAsia="仿宋_GB2312" w:cs="仿宋_GB2312"/>
                <w:bCs/>
                <w:sz w:val="28"/>
                <w:szCs w:val="28"/>
                <w:lang w:val="en-US" w:eastAsia="zh-CN"/>
              </w:rPr>
              <w:t>19241.43</w:t>
            </w:r>
            <w:r>
              <w:rPr>
                <w:rFonts w:hint="eastAsia" w:ascii="仿宋_GB2312" w:hAnsi="仿宋_GB2312" w:eastAsia="仿宋_GB2312" w:cs="仿宋_GB2312"/>
                <w:bCs/>
                <w:sz w:val="28"/>
                <w:szCs w:val="28"/>
              </w:rPr>
              <w:t>万元。支出共</w:t>
            </w:r>
            <w:r>
              <w:rPr>
                <w:rFonts w:hint="eastAsia" w:ascii="仿宋_GB2312" w:hAnsi="仿宋_GB2312" w:eastAsia="仿宋_GB2312" w:cs="仿宋_GB2312"/>
                <w:bCs/>
                <w:sz w:val="28"/>
                <w:szCs w:val="28"/>
                <w:lang w:val="en-US" w:eastAsia="zh-CN"/>
              </w:rPr>
              <w:t>19241.43</w:t>
            </w:r>
            <w:r>
              <w:rPr>
                <w:rFonts w:hint="eastAsia" w:ascii="仿宋_GB2312" w:hAnsi="仿宋_GB2312" w:eastAsia="仿宋_GB2312" w:cs="仿宋_GB2312"/>
                <w:bCs/>
                <w:sz w:val="28"/>
                <w:szCs w:val="28"/>
              </w:rPr>
              <w:t>万元，其中基本支出</w:t>
            </w:r>
            <w:r>
              <w:rPr>
                <w:rFonts w:hint="eastAsia" w:ascii="仿宋_GB2312" w:hAnsi="仿宋_GB2312" w:eastAsia="仿宋_GB2312" w:cs="仿宋_GB2312"/>
                <w:bCs/>
                <w:sz w:val="28"/>
                <w:szCs w:val="28"/>
                <w:lang w:val="en-US" w:eastAsia="zh-CN"/>
              </w:rPr>
              <w:t>19156.01</w:t>
            </w:r>
            <w:r>
              <w:rPr>
                <w:rFonts w:hint="eastAsia" w:ascii="仿宋_GB2312" w:hAnsi="仿宋_GB2312" w:eastAsia="仿宋_GB2312" w:cs="仿宋_GB2312"/>
                <w:bCs/>
                <w:sz w:val="28"/>
                <w:szCs w:val="28"/>
              </w:rPr>
              <w:t>万元（包括人员支出</w:t>
            </w:r>
            <w:r>
              <w:rPr>
                <w:rFonts w:hint="eastAsia" w:ascii="仿宋_GB2312" w:hAnsi="仿宋_GB2312" w:eastAsia="仿宋_GB2312" w:cs="仿宋_GB2312"/>
                <w:bCs/>
                <w:sz w:val="28"/>
                <w:szCs w:val="28"/>
                <w:lang w:val="en-US" w:eastAsia="zh-CN"/>
              </w:rPr>
              <w:t>10682.5</w:t>
            </w:r>
            <w:r>
              <w:rPr>
                <w:rFonts w:hint="eastAsia" w:ascii="仿宋_GB2312" w:hAnsi="仿宋_GB2312" w:eastAsia="仿宋_GB2312" w:cs="仿宋_GB2312"/>
                <w:bCs/>
                <w:sz w:val="28"/>
                <w:szCs w:val="28"/>
              </w:rPr>
              <w:t>万元、公用支出</w:t>
            </w:r>
            <w:r>
              <w:rPr>
                <w:rFonts w:hint="eastAsia" w:ascii="仿宋_GB2312" w:hAnsi="仿宋_GB2312" w:eastAsia="仿宋_GB2312" w:cs="仿宋_GB2312"/>
                <w:bCs/>
                <w:sz w:val="28"/>
                <w:szCs w:val="28"/>
                <w:lang w:val="en-US" w:eastAsia="zh-CN"/>
              </w:rPr>
              <w:t>8473.51</w:t>
            </w:r>
            <w:r>
              <w:rPr>
                <w:rFonts w:hint="eastAsia" w:ascii="仿宋_GB2312" w:hAnsi="仿宋_GB2312" w:eastAsia="仿宋_GB2312" w:cs="仿宋_GB2312"/>
                <w:bCs/>
                <w:sz w:val="28"/>
                <w:szCs w:val="28"/>
              </w:rPr>
              <w:t>万元），当年结余</w:t>
            </w:r>
            <w:r>
              <w:rPr>
                <w:rFonts w:hint="eastAsia" w:ascii="仿宋_GB2312" w:hAnsi="仿宋_GB2312" w:eastAsia="仿宋_GB2312" w:cs="仿宋_GB2312"/>
                <w:bCs/>
                <w:sz w:val="28"/>
                <w:szCs w:val="28"/>
                <w:lang w:val="en-US" w:eastAsia="zh-CN"/>
              </w:rPr>
              <w:t>85.42</w:t>
            </w:r>
            <w:r>
              <w:rPr>
                <w:rFonts w:hint="eastAsia" w:ascii="仿宋_GB2312" w:hAnsi="仿宋_GB2312" w:eastAsia="仿宋_GB2312" w:cs="仿宋_GB2312"/>
                <w:bCs/>
                <w:sz w:val="28"/>
                <w:szCs w:val="28"/>
              </w:rPr>
              <w:t xml:space="preserve">万元 </w:t>
            </w:r>
            <w:r>
              <w:rPr>
                <w:rFonts w:hint="eastAsia" w:ascii="仿宋_GB2312" w:hAnsi="仿宋_GB2312" w:eastAsia="仿宋_GB2312" w:cs="仿宋_GB2312"/>
                <w:bCs/>
                <w:sz w:val="28"/>
                <w:szCs w:val="28"/>
                <w:lang w:val="en-US" w:eastAsia="zh-CN"/>
              </w:rPr>
              <w:t xml:space="preserve">  </w:t>
            </w:r>
            <w:r>
              <w:rPr>
                <w:rFonts w:hint="eastAsia" w:ascii="楷体_GB2312" w:hAnsi="楷体_GB2312" w:eastAsia="楷体_GB2312" w:cs="楷体_GB2312"/>
                <w:b/>
                <w:sz w:val="28"/>
                <w:szCs w:val="28"/>
              </w:rPr>
              <w:t xml:space="preserve">   </w:t>
            </w:r>
          </w:p>
          <w:p>
            <w:pPr>
              <w:spacing w:line="240" w:lineRule="auto"/>
              <w:ind w:firstLine="560" w:firstLineChars="200"/>
              <w:rPr>
                <w:rFonts w:hint="eastAsia" w:ascii="仿宋" w:hAnsi="仿宋" w:eastAsia="仿宋" w:cs="仿宋"/>
                <w:b/>
                <w:bCs/>
                <w:sz w:val="28"/>
                <w:szCs w:val="28"/>
              </w:rPr>
            </w:pPr>
            <w:r>
              <w:rPr>
                <w:rFonts w:hint="eastAsia" w:ascii="仿宋" w:hAnsi="仿宋" w:eastAsia="仿宋" w:cs="仿宋"/>
                <w:b/>
                <w:bCs/>
                <w:sz w:val="28"/>
                <w:szCs w:val="28"/>
              </w:rPr>
              <w:t>二、部门（单位）整体支出管理及使用情况</w:t>
            </w:r>
          </w:p>
          <w:p>
            <w:pPr>
              <w:spacing w:line="240" w:lineRule="auto"/>
              <w:rPr>
                <w:rFonts w:hint="eastAsia" w:ascii="仿宋" w:hAnsi="仿宋" w:eastAsia="仿宋" w:cs="仿宋"/>
                <w:bCs/>
                <w:sz w:val="28"/>
                <w:szCs w:val="28"/>
              </w:rPr>
            </w:pPr>
            <w:r>
              <w:rPr>
                <w:rFonts w:hint="eastAsia" w:ascii="仿宋" w:hAnsi="仿宋" w:eastAsia="仿宋" w:cs="仿宋"/>
                <w:b/>
                <w:sz w:val="28"/>
                <w:szCs w:val="28"/>
              </w:rPr>
              <w:t xml:space="preserve">   （一）年初预算整体支出的使用范围、方向和内容。</w:t>
            </w:r>
            <w:r>
              <w:rPr>
                <w:rFonts w:hint="eastAsia" w:ascii="仿宋" w:hAnsi="仿宋" w:eastAsia="仿宋" w:cs="仿宋"/>
                <w:bCs/>
                <w:sz w:val="28"/>
                <w:szCs w:val="28"/>
              </w:rPr>
              <w:t>20</w:t>
            </w:r>
            <w:r>
              <w:rPr>
                <w:rFonts w:hint="eastAsia" w:ascii="仿宋" w:hAnsi="仿宋" w:eastAsia="仿宋" w:cs="仿宋"/>
                <w:bCs/>
                <w:sz w:val="28"/>
                <w:szCs w:val="28"/>
                <w:lang w:val="en-US" w:eastAsia="zh-CN"/>
              </w:rPr>
              <w:t>21</w:t>
            </w:r>
            <w:r>
              <w:rPr>
                <w:rFonts w:hint="eastAsia" w:ascii="仿宋" w:hAnsi="仿宋" w:eastAsia="仿宋" w:cs="仿宋"/>
                <w:bCs/>
                <w:sz w:val="28"/>
                <w:szCs w:val="28"/>
              </w:rPr>
              <w:t>年度年初预算支出</w:t>
            </w:r>
            <w:r>
              <w:rPr>
                <w:rFonts w:hint="eastAsia" w:ascii="仿宋" w:hAnsi="仿宋" w:eastAsia="仿宋" w:cs="仿宋"/>
                <w:bCs/>
                <w:sz w:val="28"/>
                <w:szCs w:val="28"/>
                <w:lang w:val="en-US" w:eastAsia="zh-CN"/>
              </w:rPr>
              <w:t>15909.36万元</w:t>
            </w:r>
            <w:r>
              <w:rPr>
                <w:rFonts w:hint="eastAsia" w:ascii="仿宋" w:hAnsi="仿宋" w:eastAsia="仿宋" w:cs="仿宋"/>
                <w:bCs/>
                <w:color w:val="000000"/>
                <w:sz w:val="28"/>
                <w:szCs w:val="28"/>
              </w:rPr>
              <w:t>，基本支出</w:t>
            </w:r>
            <w:r>
              <w:rPr>
                <w:rFonts w:hint="eastAsia" w:ascii="仿宋" w:hAnsi="仿宋" w:eastAsia="仿宋" w:cs="仿宋"/>
                <w:bCs/>
                <w:color w:val="000000"/>
                <w:sz w:val="28"/>
                <w:szCs w:val="28"/>
                <w:lang w:val="en-US" w:eastAsia="zh-CN"/>
              </w:rPr>
              <w:t>15909.36万元</w:t>
            </w:r>
            <w:r>
              <w:rPr>
                <w:rFonts w:hint="eastAsia" w:ascii="仿宋" w:hAnsi="仿宋" w:eastAsia="仿宋" w:cs="仿宋"/>
                <w:bCs/>
                <w:sz w:val="28"/>
                <w:szCs w:val="28"/>
              </w:rPr>
              <w:t>，主要用于人员经费和日常公用经费。</w:t>
            </w:r>
          </w:p>
          <w:p>
            <w:pPr>
              <w:spacing w:line="240" w:lineRule="auto"/>
              <w:ind w:firstLine="411" w:firstLineChars="147"/>
              <w:rPr>
                <w:rFonts w:hint="eastAsia" w:ascii="仿宋" w:hAnsi="仿宋" w:eastAsia="仿宋" w:cs="仿宋"/>
                <w:bCs/>
                <w:sz w:val="28"/>
                <w:szCs w:val="28"/>
              </w:rPr>
            </w:pPr>
            <w:r>
              <w:rPr>
                <w:rFonts w:hint="eastAsia" w:ascii="仿宋" w:hAnsi="仿宋" w:eastAsia="仿宋" w:cs="仿宋"/>
                <w:b/>
                <w:sz w:val="28"/>
                <w:szCs w:val="28"/>
              </w:rPr>
              <w:t>（二）20</w:t>
            </w:r>
            <w:r>
              <w:rPr>
                <w:rFonts w:hint="eastAsia" w:ascii="仿宋" w:hAnsi="仿宋" w:eastAsia="仿宋" w:cs="仿宋"/>
                <w:b/>
                <w:sz w:val="28"/>
                <w:szCs w:val="28"/>
                <w:lang w:val="en-US" w:eastAsia="zh-CN"/>
              </w:rPr>
              <w:t>21</w:t>
            </w:r>
            <w:r>
              <w:rPr>
                <w:rFonts w:hint="eastAsia" w:ascii="仿宋" w:hAnsi="仿宋" w:eastAsia="仿宋" w:cs="仿宋"/>
                <w:b/>
                <w:sz w:val="28"/>
                <w:szCs w:val="28"/>
              </w:rPr>
              <w:t>年</w:t>
            </w:r>
            <w:r>
              <w:rPr>
                <w:rFonts w:hint="eastAsia" w:ascii="仿宋" w:hAnsi="仿宋" w:eastAsia="仿宋" w:cs="仿宋"/>
                <w:b/>
                <w:sz w:val="28"/>
                <w:szCs w:val="28"/>
                <w:lang w:val="en-US" w:eastAsia="zh-CN"/>
              </w:rPr>
              <w:t>整体</w:t>
            </w:r>
            <w:r>
              <w:rPr>
                <w:rFonts w:hint="eastAsia" w:ascii="仿宋" w:hAnsi="仿宋" w:eastAsia="仿宋" w:cs="仿宋"/>
                <w:b/>
                <w:sz w:val="28"/>
                <w:szCs w:val="28"/>
              </w:rPr>
              <w:t>支出具体情况如下：</w:t>
            </w:r>
          </w:p>
          <w:tbl>
            <w:tblPr>
              <w:tblStyle w:val="8"/>
              <w:tblW w:w="0" w:type="auto"/>
              <w:tblInd w:w="6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87"/>
              <w:gridCol w:w="4313"/>
              <w:gridCol w:w="1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87" w:type="dxa"/>
                  <w:noWrap w:val="0"/>
                  <w:vAlign w:val="center"/>
                </w:tcPr>
                <w:p>
                  <w:pPr>
                    <w:spacing w:line="240" w:lineRule="auto"/>
                    <w:ind w:firstLine="560" w:firstLineChars="200"/>
                    <w:jc w:val="center"/>
                    <w:rPr>
                      <w:rFonts w:hint="eastAsia" w:ascii="仿宋" w:hAnsi="仿宋" w:eastAsia="仿宋" w:cs="仿宋"/>
                      <w:b/>
                      <w:sz w:val="28"/>
                      <w:szCs w:val="28"/>
                    </w:rPr>
                  </w:pPr>
                  <w:r>
                    <w:rPr>
                      <w:rFonts w:hint="eastAsia" w:ascii="仿宋" w:hAnsi="仿宋" w:eastAsia="仿宋" w:cs="仿宋"/>
                      <w:b/>
                      <w:sz w:val="28"/>
                      <w:szCs w:val="28"/>
                    </w:rPr>
                    <w:t>支出项目</w:t>
                  </w:r>
                </w:p>
              </w:tc>
              <w:tc>
                <w:tcPr>
                  <w:tcW w:w="4313" w:type="dxa"/>
                  <w:noWrap w:val="0"/>
                  <w:vAlign w:val="center"/>
                </w:tcPr>
                <w:p>
                  <w:pPr>
                    <w:spacing w:line="240" w:lineRule="auto"/>
                    <w:ind w:firstLine="560" w:firstLineChars="200"/>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基本支出（万元）</w:t>
                  </w:r>
                </w:p>
              </w:tc>
              <w:tc>
                <w:tcPr>
                  <w:tcW w:w="1959" w:type="dxa"/>
                  <w:noWrap w:val="0"/>
                  <w:vAlign w:val="center"/>
                </w:tcPr>
                <w:p>
                  <w:pPr>
                    <w:spacing w:line="240" w:lineRule="auto"/>
                    <w:jc w:val="center"/>
                    <w:rPr>
                      <w:rFonts w:hint="eastAsia" w:ascii="仿宋" w:hAnsi="仿宋" w:eastAsia="仿宋" w:cs="仿宋"/>
                      <w:b/>
                      <w:sz w:val="28"/>
                      <w:szCs w:val="28"/>
                    </w:rPr>
                  </w:pPr>
                  <w:r>
                    <w:rPr>
                      <w:rFonts w:hint="eastAsia" w:ascii="仿宋" w:hAnsi="仿宋" w:eastAsia="仿宋" w:cs="仿宋"/>
                      <w:b/>
                      <w:sz w:val="28"/>
                      <w:szCs w:val="2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87" w:type="dxa"/>
                  <w:noWrap w:val="0"/>
                  <w:vAlign w:val="center"/>
                </w:tcPr>
                <w:p>
                  <w:pPr>
                    <w:spacing w:line="240" w:lineRule="auto"/>
                    <w:jc w:val="center"/>
                    <w:rPr>
                      <w:rFonts w:hint="eastAsia" w:ascii="仿宋" w:hAnsi="仿宋" w:eastAsia="仿宋" w:cs="仿宋"/>
                      <w:bCs/>
                      <w:sz w:val="28"/>
                      <w:szCs w:val="28"/>
                    </w:rPr>
                  </w:pPr>
                  <w:r>
                    <w:rPr>
                      <w:rFonts w:hint="eastAsia" w:ascii="仿宋" w:hAnsi="仿宋" w:eastAsia="仿宋" w:cs="仿宋"/>
                      <w:bCs/>
                      <w:sz w:val="28"/>
                      <w:szCs w:val="28"/>
                    </w:rPr>
                    <w:t>工资福利支出</w:t>
                  </w:r>
                </w:p>
              </w:tc>
              <w:tc>
                <w:tcPr>
                  <w:tcW w:w="4313" w:type="dxa"/>
                  <w:noWrap w:val="0"/>
                  <w:vAlign w:val="center"/>
                </w:tcPr>
                <w:p>
                  <w:pPr>
                    <w:spacing w:line="240" w:lineRule="auto"/>
                    <w:ind w:firstLine="560" w:firstLineChars="200"/>
                    <w:jc w:val="center"/>
                    <w:rPr>
                      <w:rFonts w:hint="default" w:ascii="仿宋" w:hAnsi="仿宋" w:eastAsia="仿宋" w:cs="仿宋"/>
                      <w:bCs/>
                      <w:color w:val="FF0000"/>
                      <w:sz w:val="28"/>
                      <w:szCs w:val="28"/>
                      <w:lang w:val="en-US" w:eastAsia="zh-CN"/>
                    </w:rPr>
                  </w:pPr>
                  <w:r>
                    <w:rPr>
                      <w:rFonts w:hint="eastAsia" w:ascii="仿宋" w:hAnsi="仿宋" w:eastAsia="仿宋" w:cs="仿宋"/>
                      <w:bCs/>
                      <w:color w:val="000000"/>
                      <w:sz w:val="28"/>
                      <w:szCs w:val="28"/>
                      <w:lang w:val="en-US" w:eastAsia="zh-CN"/>
                    </w:rPr>
                    <w:t>10092.28</w:t>
                  </w:r>
                </w:p>
              </w:tc>
              <w:tc>
                <w:tcPr>
                  <w:tcW w:w="1959" w:type="dxa"/>
                  <w:noWrap w:val="0"/>
                  <w:vAlign w:val="center"/>
                </w:tcPr>
                <w:p>
                  <w:pPr>
                    <w:spacing w:line="240" w:lineRule="auto"/>
                    <w:ind w:firstLine="560" w:firstLineChars="200"/>
                    <w:jc w:val="center"/>
                    <w:rPr>
                      <w:rFonts w:hint="eastAsia" w:ascii="仿宋" w:hAnsi="仿宋" w:eastAsia="仿宋" w:cs="仿宋"/>
                      <w:bCs/>
                      <w:sz w:val="28"/>
                      <w:szCs w:val="28"/>
                    </w:rPr>
                  </w:pPr>
                  <w:r>
                    <w:rPr>
                      <w:rFonts w:hint="eastAsia" w:ascii="仿宋" w:hAnsi="仿宋" w:eastAsia="仿宋" w:cs="仿宋"/>
                      <w:bCs/>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87" w:type="dxa"/>
                  <w:noWrap w:val="0"/>
                  <w:vAlign w:val="center"/>
                </w:tcPr>
                <w:p>
                  <w:pPr>
                    <w:spacing w:line="240" w:lineRule="auto"/>
                    <w:jc w:val="center"/>
                    <w:rPr>
                      <w:rFonts w:hint="eastAsia" w:ascii="仿宋" w:hAnsi="仿宋" w:eastAsia="仿宋" w:cs="仿宋"/>
                      <w:bCs/>
                      <w:sz w:val="28"/>
                      <w:szCs w:val="28"/>
                    </w:rPr>
                  </w:pPr>
                  <w:r>
                    <w:rPr>
                      <w:rFonts w:hint="eastAsia" w:ascii="仿宋" w:hAnsi="仿宋" w:eastAsia="仿宋" w:cs="仿宋"/>
                      <w:bCs/>
                      <w:sz w:val="28"/>
                      <w:szCs w:val="28"/>
                    </w:rPr>
                    <w:t>商品和服务支出</w:t>
                  </w:r>
                </w:p>
              </w:tc>
              <w:tc>
                <w:tcPr>
                  <w:tcW w:w="4313" w:type="dxa"/>
                  <w:noWrap w:val="0"/>
                  <w:vAlign w:val="center"/>
                </w:tcPr>
                <w:p>
                  <w:pPr>
                    <w:spacing w:line="240" w:lineRule="auto"/>
                    <w:ind w:firstLine="560" w:firstLineChars="200"/>
                    <w:jc w:val="center"/>
                    <w:rPr>
                      <w:rFonts w:hint="default"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7805.06</w:t>
                  </w:r>
                </w:p>
              </w:tc>
              <w:tc>
                <w:tcPr>
                  <w:tcW w:w="1959" w:type="dxa"/>
                  <w:noWrap w:val="0"/>
                  <w:vAlign w:val="center"/>
                </w:tcPr>
                <w:p>
                  <w:pPr>
                    <w:spacing w:line="240" w:lineRule="auto"/>
                    <w:ind w:firstLine="560" w:firstLineChars="200"/>
                    <w:jc w:val="center"/>
                    <w:rPr>
                      <w:rFonts w:hint="eastAsia" w:ascii="仿宋" w:hAnsi="仿宋" w:eastAsia="仿宋" w:cs="仿宋"/>
                      <w:bCs/>
                      <w:sz w:val="28"/>
                      <w:szCs w:val="28"/>
                    </w:rPr>
                  </w:pPr>
                  <w:r>
                    <w:rPr>
                      <w:rFonts w:hint="eastAsia" w:ascii="仿宋" w:hAnsi="仿宋" w:eastAsia="仿宋" w:cs="仿宋"/>
                      <w:bCs/>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87" w:type="dxa"/>
                  <w:noWrap w:val="0"/>
                  <w:vAlign w:val="center"/>
                </w:tcPr>
                <w:p>
                  <w:pPr>
                    <w:spacing w:line="240" w:lineRule="auto"/>
                    <w:jc w:val="center"/>
                    <w:rPr>
                      <w:rFonts w:hint="eastAsia" w:ascii="仿宋" w:hAnsi="仿宋" w:eastAsia="仿宋" w:cs="仿宋"/>
                      <w:bCs/>
                      <w:sz w:val="28"/>
                      <w:szCs w:val="28"/>
                    </w:rPr>
                  </w:pPr>
                  <w:r>
                    <w:rPr>
                      <w:rFonts w:hint="eastAsia" w:ascii="仿宋" w:hAnsi="仿宋" w:eastAsia="仿宋" w:cs="仿宋"/>
                      <w:bCs/>
                      <w:sz w:val="28"/>
                      <w:szCs w:val="28"/>
                    </w:rPr>
                    <w:t>对个人和家庭的补助</w:t>
                  </w:r>
                </w:p>
              </w:tc>
              <w:tc>
                <w:tcPr>
                  <w:tcW w:w="4313" w:type="dxa"/>
                  <w:noWrap w:val="0"/>
                  <w:vAlign w:val="center"/>
                </w:tcPr>
                <w:p>
                  <w:pPr>
                    <w:spacing w:line="240" w:lineRule="auto"/>
                    <w:ind w:firstLine="560" w:firstLineChars="200"/>
                    <w:jc w:val="center"/>
                    <w:rPr>
                      <w:rFonts w:hint="default"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590.22</w:t>
                  </w:r>
                </w:p>
              </w:tc>
              <w:tc>
                <w:tcPr>
                  <w:tcW w:w="1959" w:type="dxa"/>
                  <w:noWrap w:val="0"/>
                  <w:vAlign w:val="center"/>
                </w:tcPr>
                <w:p>
                  <w:pPr>
                    <w:spacing w:line="240" w:lineRule="auto"/>
                    <w:ind w:firstLine="560" w:firstLineChars="200"/>
                    <w:jc w:val="center"/>
                    <w:rPr>
                      <w:rFonts w:hint="eastAsia" w:ascii="仿宋" w:hAnsi="仿宋" w:eastAsia="仿宋" w:cs="仿宋"/>
                      <w:bCs/>
                      <w:sz w:val="28"/>
                      <w:szCs w:val="28"/>
                    </w:rPr>
                  </w:pPr>
                  <w:r>
                    <w:rPr>
                      <w:rFonts w:hint="eastAsia" w:ascii="仿宋" w:hAnsi="仿宋" w:eastAsia="仿宋" w:cs="仿宋"/>
                      <w:bCs/>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87" w:type="dxa"/>
                  <w:noWrap w:val="0"/>
                  <w:vAlign w:val="center"/>
                </w:tcPr>
                <w:p>
                  <w:pPr>
                    <w:spacing w:line="240" w:lineRule="auto"/>
                    <w:jc w:val="center"/>
                    <w:rPr>
                      <w:rFonts w:hint="eastAsia" w:ascii="仿宋" w:hAnsi="仿宋" w:eastAsia="仿宋" w:cs="仿宋"/>
                      <w:bCs/>
                      <w:sz w:val="28"/>
                      <w:szCs w:val="28"/>
                    </w:rPr>
                  </w:pPr>
                  <w:r>
                    <w:rPr>
                      <w:rFonts w:hint="eastAsia" w:ascii="仿宋" w:hAnsi="仿宋" w:eastAsia="仿宋" w:cs="仿宋"/>
                      <w:bCs/>
                      <w:sz w:val="28"/>
                      <w:szCs w:val="28"/>
                    </w:rPr>
                    <w:t>其他资本性支出</w:t>
                  </w:r>
                </w:p>
              </w:tc>
              <w:tc>
                <w:tcPr>
                  <w:tcW w:w="4313" w:type="dxa"/>
                  <w:noWrap w:val="0"/>
                  <w:vAlign w:val="center"/>
                </w:tcPr>
                <w:p>
                  <w:pPr>
                    <w:spacing w:line="240" w:lineRule="auto"/>
                    <w:ind w:firstLine="560" w:firstLineChars="200"/>
                    <w:jc w:val="center"/>
                    <w:rPr>
                      <w:rFonts w:hint="default"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668.45</w:t>
                  </w:r>
                </w:p>
              </w:tc>
              <w:tc>
                <w:tcPr>
                  <w:tcW w:w="1959" w:type="dxa"/>
                  <w:noWrap w:val="0"/>
                  <w:vAlign w:val="center"/>
                </w:tcPr>
                <w:p>
                  <w:pPr>
                    <w:spacing w:line="240" w:lineRule="auto"/>
                    <w:ind w:firstLine="560" w:firstLineChars="200"/>
                    <w:jc w:val="center"/>
                    <w:rPr>
                      <w:rFonts w:hint="eastAsia" w:ascii="仿宋" w:hAnsi="仿宋" w:eastAsia="仿宋" w:cs="仿宋"/>
                      <w:bCs/>
                      <w:sz w:val="28"/>
                      <w:szCs w:val="28"/>
                    </w:rPr>
                  </w:pPr>
                  <w:r>
                    <w:rPr>
                      <w:rFonts w:hint="eastAsia" w:ascii="仿宋" w:hAnsi="仿宋" w:eastAsia="仿宋" w:cs="仿宋"/>
                      <w:bCs/>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87" w:type="dxa"/>
                  <w:tcBorders>
                    <w:bottom w:val="single" w:color="auto" w:sz="4" w:space="0"/>
                  </w:tcBorders>
                  <w:noWrap w:val="0"/>
                  <w:vAlign w:val="center"/>
                </w:tcPr>
                <w:p>
                  <w:pPr>
                    <w:spacing w:line="240" w:lineRule="auto"/>
                    <w:ind w:firstLine="560" w:firstLineChars="200"/>
                    <w:jc w:val="center"/>
                    <w:rPr>
                      <w:rFonts w:hint="eastAsia" w:ascii="仿宋" w:hAnsi="仿宋" w:eastAsia="仿宋" w:cs="仿宋"/>
                      <w:bCs/>
                      <w:sz w:val="28"/>
                      <w:szCs w:val="28"/>
                    </w:rPr>
                  </w:pPr>
                  <w:r>
                    <w:rPr>
                      <w:rFonts w:hint="eastAsia" w:ascii="仿宋" w:hAnsi="仿宋" w:eastAsia="仿宋" w:cs="仿宋"/>
                      <w:bCs/>
                      <w:sz w:val="28"/>
                      <w:szCs w:val="28"/>
                    </w:rPr>
                    <w:t>合计</w:t>
                  </w:r>
                </w:p>
              </w:tc>
              <w:tc>
                <w:tcPr>
                  <w:tcW w:w="4313" w:type="dxa"/>
                  <w:tcBorders>
                    <w:bottom w:val="single" w:color="auto" w:sz="4" w:space="0"/>
                  </w:tcBorders>
                  <w:noWrap w:val="0"/>
                  <w:vAlign w:val="center"/>
                </w:tcPr>
                <w:p>
                  <w:pPr>
                    <w:spacing w:line="240" w:lineRule="auto"/>
                    <w:ind w:firstLine="560" w:firstLineChars="200"/>
                    <w:jc w:val="center"/>
                    <w:rPr>
                      <w:rFonts w:hint="default" w:ascii="仿宋" w:hAnsi="仿宋" w:eastAsia="仿宋" w:cs="仿宋"/>
                      <w:bCs/>
                      <w:color w:val="FF0000"/>
                      <w:sz w:val="28"/>
                      <w:szCs w:val="28"/>
                      <w:lang w:val="en-US" w:eastAsia="zh-CN"/>
                    </w:rPr>
                  </w:pPr>
                  <w:r>
                    <w:rPr>
                      <w:rFonts w:hint="eastAsia" w:ascii="仿宋" w:hAnsi="仿宋" w:eastAsia="仿宋" w:cs="仿宋"/>
                      <w:bCs/>
                      <w:color w:val="000000"/>
                      <w:sz w:val="28"/>
                      <w:szCs w:val="28"/>
                      <w:lang w:val="en-US" w:eastAsia="zh-CN"/>
                    </w:rPr>
                    <w:t>19156.01</w:t>
                  </w:r>
                </w:p>
              </w:tc>
              <w:tc>
                <w:tcPr>
                  <w:tcW w:w="1959" w:type="dxa"/>
                  <w:tcBorders>
                    <w:bottom w:val="single" w:color="auto" w:sz="4" w:space="0"/>
                  </w:tcBorders>
                  <w:noWrap w:val="0"/>
                  <w:vAlign w:val="center"/>
                </w:tcPr>
                <w:p>
                  <w:pPr>
                    <w:spacing w:line="240" w:lineRule="auto"/>
                    <w:ind w:firstLine="560" w:firstLineChars="200"/>
                    <w:jc w:val="center"/>
                    <w:rPr>
                      <w:rFonts w:hint="eastAsia" w:ascii="仿宋" w:hAnsi="仿宋" w:eastAsia="仿宋" w:cs="仿宋"/>
                      <w:bCs/>
                      <w:sz w:val="28"/>
                      <w:szCs w:val="28"/>
                    </w:rPr>
                  </w:pPr>
                  <w:r>
                    <w:rPr>
                      <w:rFonts w:hint="eastAsia" w:ascii="仿宋" w:hAnsi="仿宋" w:eastAsia="仿宋" w:cs="仿宋"/>
                      <w:bCs/>
                      <w:sz w:val="28"/>
                      <w:szCs w:val="28"/>
                    </w:rPr>
                    <w:t>/</w:t>
                  </w:r>
                </w:p>
              </w:tc>
            </w:tr>
          </w:tbl>
          <w:p>
            <w:pPr>
              <w:spacing w:line="240" w:lineRule="auto"/>
              <w:ind w:firstLine="560" w:firstLineChars="200"/>
              <w:rPr>
                <w:rFonts w:hint="eastAsia" w:ascii="仿宋" w:hAnsi="仿宋" w:eastAsia="仿宋" w:cs="仿宋"/>
                <w:b/>
                <w:bCs/>
                <w:sz w:val="28"/>
                <w:szCs w:val="28"/>
              </w:rPr>
            </w:pPr>
          </w:p>
          <w:p>
            <w:pPr>
              <w:spacing w:line="240" w:lineRule="auto"/>
              <w:ind w:firstLine="560" w:firstLineChars="200"/>
              <w:rPr>
                <w:rFonts w:hint="eastAsia" w:ascii="仿宋" w:hAnsi="仿宋" w:eastAsia="仿宋" w:cs="仿宋"/>
                <w:b/>
                <w:bCs/>
                <w:sz w:val="28"/>
                <w:szCs w:val="28"/>
              </w:rPr>
            </w:pPr>
            <w:r>
              <w:rPr>
                <w:rFonts w:hint="eastAsia" w:ascii="仿宋" w:hAnsi="仿宋" w:eastAsia="仿宋" w:cs="仿宋"/>
                <w:b/>
                <w:bCs/>
                <w:sz w:val="28"/>
                <w:szCs w:val="28"/>
              </w:rPr>
              <w:t>（三）三公经费预算执行情况</w:t>
            </w:r>
          </w:p>
          <w:p>
            <w:pPr>
              <w:spacing w:line="240" w:lineRule="auto"/>
              <w:ind w:firstLine="700" w:firstLineChars="250"/>
              <w:rPr>
                <w:rFonts w:hint="eastAsia" w:ascii="仿宋" w:hAnsi="仿宋" w:eastAsia="仿宋" w:cs="仿宋"/>
                <w:bCs/>
                <w:sz w:val="28"/>
                <w:szCs w:val="28"/>
              </w:rPr>
            </w:pPr>
            <w:r>
              <w:rPr>
                <w:rFonts w:hint="eastAsia" w:ascii="仿宋" w:hAnsi="仿宋" w:eastAsia="仿宋" w:cs="仿宋"/>
                <w:bCs/>
                <w:sz w:val="28"/>
                <w:szCs w:val="28"/>
              </w:rPr>
              <w:t>20</w:t>
            </w:r>
            <w:r>
              <w:rPr>
                <w:rFonts w:hint="eastAsia" w:ascii="仿宋" w:hAnsi="仿宋" w:eastAsia="仿宋" w:cs="仿宋"/>
                <w:bCs/>
                <w:sz w:val="28"/>
                <w:szCs w:val="28"/>
                <w:lang w:val="en-US" w:eastAsia="zh-CN"/>
              </w:rPr>
              <w:t>21</w:t>
            </w:r>
            <w:r>
              <w:rPr>
                <w:rFonts w:hint="eastAsia" w:ascii="仿宋" w:hAnsi="仿宋" w:eastAsia="仿宋" w:cs="仿宋"/>
                <w:bCs/>
                <w:sz w:val="28"/>
                <w:szCs w:val="28"/>
              </w:rPr>
              <w:t>年，我支队三公经费执行情况：公务接待费</w:t>
            </w:r>
            <w:r>
              <w:rPr>
                <w:rFonts w:hint="eastAsia" w:ascii="仿宋" w:hAnsi="仿宋" w:eastAsia="仿宋" w:cs="仿宋"/>
                <w:bCs/>
                <w:sz w:val="28"/>
                <w:szCs w:val="28"/>
                <w:lang w:val="en-US" w:eastAsia="zh-CN"/>
              </w:rPr>
              <w:t>0.06</w:t>
            </w:r>
            <w:r>
              <w:rPr>
                <w:rFonts w:hint="eastAsia" w:ascii="仿宋" w:hAnsi="仿宋" w:eastAsia="仿宋" w:cs="仿宋"/>
                <w:bCs/>
                <w:sz w:val="28"/>
                <w:szCs w:val="28"/>
              </w:rPr>
              <w:t>万元，公务用车运行维护费</w:t>
            </w:r>
            <w:r>
              <w:rPr>
                <w:rFonts w:hint="eastAsia" w:ascii="仿宋" w:hAnsi="仿宋" w:eastAsia="仿宋" w:cs="仿宋"/>
                <w:bCs/>
                <w:sz w:val="28"/>
                <w:szCs w:val="28"/>
                <w:lang w:val="en-US" w:eastAsia="zh-CN"/>
              </w:rPr>
              <w:t>277.56</w:t>
            </w:r>
            <w:r>
              <w:rPr>
                <w:rFonts w:hint="eastAsia" w:ascii="仿宋" w:hAnsi="仿宋" w:eastAsia="仿宋" w:cs="仿宋"/>
                <w:bCs/>
                <w:sz w:val="28"/>
                <w:szCs w:val="28"/>
              </w:rPr>
              <w:t>万元，</w:t>
            </w:r>
            <w:r>
              <w:rPr>
                <w:rFonts w:hint="eastAsia" w:ascii="仿宋" w:hAnsi="仿宋" w:eastAsia="仿宋" w:cs="仿宋"/>
                <w:color w:val="000000"/>
                <w:sz w:val="28"/>
                <w:szCs w:val="28"/>
              </w:rPr>
              <w:t>公务用车购置费</w:t>
            </w:r>
            <w:r>
              <w:rPr>
                <w:rFonts w:hint="eastAsia" w:ascii="仿宋" w:hAnsi="仿宋" w:eastAsia="仿宋" w:cs="仿宋"/>
                <w:color w:val="000000"/>
                <w:sz w:val="28"/>
                <w:szCs w:val="28"/>
                <w:lang w:val="en-US" w:eastAsia="zh-CN"/>
              </w:rPr>
              <w:t>24.85</w:t>
            </w:r>
            <w:r>
              <w:rPr>
                <w:rFonts w:hint="eastAsia" w:ascii="仿宋" w:hAnsi="仿宋" w:eastAsia="仿宋" w:cs="仿宋"/>
                <w:color w:val="000000"/>
                <w:sz w:val="28"/>
                <w:szCs w:val="28"/>
              </w:rPr>
              <w:t>万元</w:t>
            </w:r>
            <w:r>
              <w:rPr>
                <w:rFonts w:hint="eastAsia" w:ascii="仿宋" w:hAnsi="仿宋" w:eastAsia="仿宋" w:cs="仿宋"/>
                <w:bCs/>
                <w:sz w:val="28"/>
                <w:szCs w:val="28"/>
              </w:rPr>
              <w:t>。</w:t>
            </w:r>
          </w:p>
          <w:p>
            <w:pPr>
              <w:spacing w:line="240" w:lineRule="auto"/>
              <w:ind w:firstLine="560" w:firstLineChars="200"/>
              <w:rPr>
                <w:rFonts w:hint="eastAsia" w:ascii="仿宋" w:hAnsi="仿宋" w:eastAsia="仿宋" w:cs="仿宋"/>
                <w:b/>
                <w:bCs/>
                <w:sz w:val="28"/>
                <w:szCs w:val="28"/>
              </w:rPr>
            </w:pPr>
            <w:r>
              <w:rPr>
                <w:rFonts w:hint="eastAsia" w:ascii="仿宋" w:hAnsi="仿宋" w:eastAsia="仿宋" w:cs="仿宋"/>
                <w:b/>
                <w:bCs/>
                <w:sz w:val="28"/>
                <w:szCs w:val="28"/>
              </w:rPr>
              <w:t>三、部门（单位）整体支出绩效情况</w:t>
            </w:r>
          </w:p>
          <w:p>
            <w:pPr>
              <w:spacing w:line="240" w:lineRule="auto"/>
              <w:ind w:firstLine="560" w:firstLineChars="200"/>
              <w:rPr>
                <w:rFonts w:hint="eastAsia" w:ascii="仿宋" w:hAnsi="仿宋" w:eastAsia="仿宋" w:cs="仿宋"/>
                <w:bCs/>
                <w:color w:val="000000"/>
                <w:sz w:val="28"/>
                <w:szCs w:val="28"/>
              </w:rPr>
            </w:pPr>
            <w:r>
              <w:rPr>
                <w:rFonts w:hint="eastAsia" w:ascii="仿宋" w:hAnsi="仿宋" w:eastAsia="仿宋" w:cs="仿宋"/>
                <w:bCs/>
                <w:color w:val="000000"/>
                <w:sz w:val="28"/>
                <w:szCs w:val="28"/>
              </w:rPr>
              <w:t>根据《部门整体支出绩效评价指标》平分，我支队得分为9</w:t>
            </w:r>
            <w:r>
              <w:rPr>
                <w:rFonts w:hint="eastAsia" w:ascii="仿宋" w:hAnsi="仿宋" w:eastAsia="仿宋" w:cs="仿宋"/>
                <w:bCs/>
                <w:color w:val="000000"/>
                <w:sz w:val="28"/>
                <w:szCs w:val="28"/>
                <w:lang w:val="en-US" w:eastAsia="zh-CN"/>
              </w:rPr>
              <w:t>8.9</w:t>
            </w:r>
            <w:r>
              <w:rPr>
                <w:rFonts w:hint="eastAsia" w:ascii="仿宋" w:hAnsi="仿宋" w:eastAsia="仿宋" w:cs="仿宋"/>
                <w:bCs/>
                <w:color w:val="000000"/>
                <w:sz w:val="28"/>
                <w:szCs w:val="28"/>
              </w:rPr>
              <w:t>分，绩效评价等级为优，主要工作如下。</w:t>
            </w:r>
          </w:p>
          <w:p>
            <w:pPr>
              <w:numPr>
                <w:ilvl w:val="0"/>
                <w:numId w:val="7"/>
              </w:numPr>
              <w:spacing w:line="240" w:lineRule="auto"/>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b/>
                <w:bCs/>
                <w:color w:val="000000"/>
                <w:sz w:val="28"/>
                <w:szCs w:val="28"/>
                <w:lang w:val="en-US" w:eastAsia="zh-CN"/>
              </w:rPr>
              <w:t>队伍党建提升档升级</w:t>
            </w:r>
            <w:r>
              <w:rPr>
                <w:rFonts w:hint="eastAsia" w:ascii="仿宋" w:hAnsi="仿宋" w:eastAsia="仿宋" w:cs="仿宋"/>
                <w:color w:val="000000"/>
                <w:sz w:val="28"/>
                <w:szCs w:val="28"/>
              </w:rPr>
              <w:t>。</w:t>
            </w:r>
            <w:r>
              <w:rPr>
                <w:rFonts w:hint="eastAsia" w:ascii="仿宋" w:hAnsi="仿宋" w:eastAsia="仿宋" w:cs="仿宋"/>
                <w:color w:val="000000"/>
                <w:sz w:val="28"/>
                <w:szCs w:val="28"/>
                <w:lang w:val="en-US" w:eastAsia="zh-CN"/>
              </w:rPr>
              <w:t>强化政治建警。扎实开展“坚持政治建警全面从严治警”教育整顿和队伍顽瘴痼疾政治，组织民（辅）警参加党建活动、警示教育、英模教育116场次。对县市区驾驶人考场下发限期整改通知书。推进教育升级。一年来，依托交警网校办班1084次，“县域山区道路交通事故预防‘减量控大’平江模式”被省厅县域警务专刊推介，并纳入2021年度全省县域警务创新项目。</w:t>
            </w:r>
          </w:p>
          <w:p>
            <w:pPr>
              <w:numPr>
                <w:ilvl w:val="0"/>
                <w:numId w:val="0"/>
              </w:numPr>
              <w:spacing w:line="240" w:lineRule="auto"/>
              <w:ind w:firstLine="560" w:firstLineChars="200"/>
              <w:rPr>
                <w:rFonts w:hint="eastAsia" w:ascii="仿宋" w:hAnsi="仿宋" w:eastAsia="仿宋" w:cs="仿宋"/>
                <w:sz w:val="28"/>
                <w:szCs w:val="28"/>
                <w:lang w:val="en-US" w:eastAsia="zh-CN"/>
              </w:rPr>
            </w:pPr>
            <w:r>
              <w:rPr>
                <w:rFonts w:hint="eastAsia" w:ascii="仿宋" w:hAnsi="仿宋" w:eastAsia="仿宋" w:cs="仿宋"/>
                <w:b/>
                <w:bCs/>
                <w:color w:val="000000"/>
                <w:sz w:val="28"/>
                <w:szCs w:val="28"/>
              </w:rPr>
              <w:t>（二）</w:t>
            </w:r>
            <w:r>
              <w:rPr>
                <w:rFonts w:hint="eastAsia" w:ascii="仿宋" w:hAnsi="仿宋" w:eastAsia="仿宋" w:cs="仿宋"/>
                <w:b/>
                <w:bCs/>
                <w:color w:val="000000"/>
                <w:sz w:val="28"/>
                <w:szCs w:val="28"/>
                <w:lang w:val="en-US" w:eastAsia="zh-CN"/>
              </w:rPr>
              <w:t>大数据应用亮点纷呈</w:t>
            </w:r>
            <w:r>
              <w:rPr>
                <w:rFonts w:hint="eastAsia" w:ascii="仿宋" w:hAnsi="仿宋" w:eastAsia="仿宋" w:cs="仿宋"/>
                <w:b/>
                <w:bCs/>
                <w:color w:val="000000"/>
                <w:sz w:val="28"/>
                <w:szCs w:val="28"/>
              </w:rPr>
              <w:t>。</w:t>
            </w:r>
            <w:r>
              <w:rPr>
                <w:rFonts w:hint="eastAsia" w:ascii="仿宋" w:hAnsi="仿宋" w:eastAsia="仿宋" w:cs="仿宋"/>
                <w:sz w:val="28"/>
                <w:szCs w:val="28"/>
                <w:lang w:val="en-US" w:eastAsia="zh-CN"/>
              </w:rPr>
              <w:t>聘请专业技术团队对智能交通系统持续优化，持续扩展用用。目前，完成37个重点部门的交通组织“微改造”，对94个路口细化配时方案685个，进行配时调整1850余次，所有路口均设置高峰、平峰、低峰、夜间四个时段方案。4个路口实现借道左转，16个交叉路口正在优化后实现借道左转。利用缉查布控系统，精准打击涉牌涉证违法行为，为基层办案提供技术支持，并提供大量数据给市政府相关部门，用于交通规划、交通评估和交管措施论证。</w:t>
            </w:r>
          </w:p>
          <w:p>
            <w:pPr>
              <w:spacing w:line="240" w:lineRule="auto"/>
              <w:rPr>
                <w:rFonts w:hint="eastAsia" w:ascii="仿宋" w:hAnsi="仿宋" w:eastAsia="仿宋" w:cs="仿宋"/>
                <w:color w:val="000000"/>
                <w:kern w:val="0"/>
                <w:sz w:val="28"/>
                <w:szCs w:val="28"/>
                <w:lang w:val="en-US" w:eastAsia="zh-CN"/>
              </w:rPr>
            </w:pPr>
            <w:r>
              <w:rPr>
                <w:rFonts w:hint="eastAsia" w:ascii="仿宋" w:hAnsi="仿宋" w:eastAsia="仿宋" w:cs="仿宋"/>
                <w:b/>
                <w:bCs/>
                <w:color w:val="000000"/>
                <w:sz w:val="28"/>
                <w:szCs w:val="28"/>
              </w:rPr>
              <w:t xml:space="preserve">   （三）</w:t>
            </w:r>
            <w:r>
              <w:rPr>
                <w:rFonts w:hint="eastAsia" w:ascii="仿宋" w:hAnsi="仿宋" w:eastAsia="仿宋" w:cs="仿宋"/>
                <w:b/>
                <w:bCs/>
                <w:color w:val="000000"/>
                <w:sz w:val="28"/>
                <w:szCs w:val="28"/>
                <w:lang w:val="en-US" w:eastAsia="zh-CN"/>
              </w:rPr>
              <w:t>路面管控稳步前行</w:t>
            </w:r>
            <w:r>
              <w:rPr>
                <w:rFonts w:hint="eastAsia" w:ascii="仿宋" w:hAnsi="仿宋" w:eastAsia="仿宋" w:cs="仿宋"/>
                <w:color w:val="000000"/>
                <w:sz w:val="28"/>
                <w:szCs w:val="28"/>
              </w:rPr>
              <w:t>。</w:t>
            </w:r>
            <w:r>
              <w:rPr>
                <w:rFonts w:hint="eastAsia" w:ascii="仿宋" w:hAnsi="仿宋" w:eastAsia="仿宋" w:cs="仿宋"/>
                <w:sz w:val="28"/>
                <w:szCs w:val="28"/>
                <w:lang w:val="en-US" w:eastAsia="zh-CN"/>
              </w:rPr>
              <w:t>结合事故预防“减量控大”和交通问题顽瘴痼疾集中整治，全年开展各类专项整治行动400余次，查纠各类交通违法124.9万余起。持续开展“一盔一带”安全守护行动，全市摩托车、电动车头盔佩戴率由年初52%提升至90%。落实机关支援基层，100名机关民警在9个路口常态化执勤。高标准完成“建党100周年”、省市党代会、春运等重要节点交通安保，</w:t>
            </w:r>
          </w:p>
          <w:p>
            <w:pPr>
              <w:spacing w:line="240" w:lineRule="auto"/>
              <w:ind w:firstLine="560" w:firstLineChars="200"/>
              <w:rPr>
                <w:rFonts w:hint="eastAsia" w:ascii="仿宋" w:hAnsi="仿宋" w:eastAsia="仿宋" w:cs="仿宋"/>
                <w:bCs/>
                <w:color w:val="000000"/>
                <w:sz w:val="28"/>
                <w:szCs w:val="28"/>
                <w:lang w:val="en-US" w:eastAsia="zh-CN"/>
              </w:rPr>
            </w:pPr>
            <w:r>
              <w:rPr>
                <w:rFonts w:hint="eastAsia" w:ascii="仿宋" w:hAnsi="仿宋" w:eastAsia="仿宋" w:cs="仿宋"/>
                <w:b/>
                <w:bCs/>
                <w:color w:val="000000"/>
                <w:sz w:val="28"/>
                <w:szCs w:val="28"/>
              </w:rPr>
              <w:t>（四）</w:t>
            </w:r>
            <w:r>
              <w:rPr>
                <w:rFonts w:hint="eastAsia" w:ascii="仿宋" w:hAnsi="仿宋" w:eastAsia="仿宋" w:cs="仿宋"/>
                <w:b/>
                <w:bCs/>
                <w:color w:val="000000"/>
                <w:sz w:val="28"/>
                <w:szCs w:val="28"/>
                <w:lang w:val="en-US" w:eastAsia="zh-CN"/>
              </w:rPr>
              <w:t>宣传教育深入人心</w:t>
            </w:r>
            <w:r>
              <w:rPr>
                <w:rFonts w:hint="eastAsia" w:ascii="仿宋" w:hAnsi="仿宋" w:eastAsia="仿宋" w:cs="仿宋"/>
                <w:color w:val="000000"/>
                <w:sz w:val="28"/>
                <w:szCs w:val="28"/>
              </w:rPr>
              <w:t>。</w:t>
            </w:r>
            <w:r>
              <w:rPr>
                <w:rFonts w:hint="eastAsia" w:ascii="仿宋" w:hAnsi="仿宋" w:eastAsia="仿宋" w:cs="仿宋"/>
                <w:bCs/>
                <w:color w:val="000000"/>
                <w:sz w:val="28"/>
                <w:szCs w:val="28"/>
                <w:lang w:val="en-US" w:eastAsia="zh-CN"/>
              </w:rPr>
              <w:t>开展“美丽乡村行”交通安全巡回宣讲148场次、“七进”宣传活动2048场次，开设宣传阵地635个，发放宣传单12万余份。利用双微平台发布典型案例108条、违法大曝光86次，开展直播6次，在线累积观看人数50万余人次。定期举办“警营开放日”活动12场次，统筹策划开展全媒体宣传活动160场次。</w:t>
            </w:r>
          </w:p>
          <w:p>
            <w:pPr>
              <w:spacing w:line="240" w:lineRule="auto"/>
              <w:ind w:firstLine="560" w:firstLineChars="200"/>
              <w:rPr>
                <w:rFonts w:hint="eastAsia" w:ascii="仿宋" w:hAnsi="仿宋" w:eastAsia="仿宋" w:cs="仿宋"/>
                <w:b/>
                <w:bCs w:val="0"/>
                <w:color w:val="000000"/>
                <w:sz w:val="28"/>
                <w:szCs w:val="28"/>
                <w:lang w:val="en-US" w:eastAsia="zh-CN"/>
              </w:rPr>
            </w:pPr>
            <w:r>
              <w:rPr>
                <w:rFonts w:hint="eastAsia" w:ascii="仿宋" w:hAnsi="仿宋" w:eastAsia="仿宋" w:cs="仿宋"/>
                <w:b/>
                <w:bCs w:val="0"/>
                <w:color w:val="000000"/>
                <w:sz w:val="28"/>
                <w:szCs w:val="28"/>
              </w:rPr>
              <w:t>四、存在的主要问题</w:t>
            </w:r>
            <w:r>
              <w:rPr>
                <w:rFonts w:hint="eastAsia" w:ascii="仿宋" w:hAnsi="仿宋" w:eastAsia="仿宋" w:cs="仿宋"/>
                <w:b/>
                <w:bCs w:val="0"/>
                <w:color w:val="000000"/>
                <w:sz w:val="28"/>
                <w:szCs w:val="28"/>
                <w:lang w:val="en-US" w:eastAsia="zh-CN"/>
              </w:rPr>
              <w:t>和建议</w:t>
            </w:r>
          </w:p>
          <w:p>
            <w:pPr>
              <w:spacing w:line="240" w:lineRule="auto"/>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一方面，我市事故总量、死亡人数呈递增趋势，“减量”与“控大”的任务还很艰巨。一方面，“人车路”风险隐患量大面广，重点车辆特别是电动车、摩托车已成易发恶性事故移动“风险源”。农村低等级道路基础条件较差，标志标线缺失、平交路口安防不足等隐患突出。另外，在思想认识上，“靠前一步、主动作为”的警务理念有待进一步提升。在工作方法上，分析研判指导力不足，存在新科技手段应用、中队数字化警务室建设等不足。</w:t>
            </w:r>
          </w:p>
          <w:p>
            <w:pPr>
              <w:spacing w:line="24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为全面准确把握交通管理工作新的职责定位和历史使命，正视困难、直面问题、迎接挑战，支队需财政增加预算，以持续推动全市公安交管工作高质量发展</w:t>
            </w:r>
            <w:r>
              <w:rPr>
                <w:rFonts w:hint="eastAsia" w:ascii="仿宋" w:hAnsi="仿宋" w:eastAsia="仿宋" w:cs="仿宋"/>
                <w:color w:val="000000"/>
                <w:sz w:val="28"/>
                <w:szCs w:val="28"/>
              </w:rPr>
              <w:t>。</w:t>
            </w:r>
          </w:p>
          <w:p>
            <w:pPr>
              <w:spacing w:line="240" w:lineRule="auto"/>
              <w:rPr>
                <w:rFonts w:hint="eastAsia" w:ascii="仿宋" w:hAnsi="仿宋" w:eastAsia="仿宋" w:cs="仿宋"/>
                <w:color w:val="000000"/>
                <w:sz w:val="28"/>
                <w:szCs w:val="28"/>
              </w:rPr>
            </w:pPr>
          </w:p>
          <w:p>
            <w:pPr>
              <w:spacing w:line="240" w:lineRule="auto"/>
              <w:rPr>
                <w:rFonts w:hint="eastAsia" w:ascii="仿宋" w:hAnsi="仿宋" w:eastAsia="仿宋" w:cs="仿宋"/>
                <w:color w:val="000000"/>
                <w:sz w:val="28"/>
                <w:szCs w:val="28"/>
              </w:rPr>
            </w:pPr>
          </w:p>
          <w:p>
            <w:pPr>
              <w:spacing w:line="240" w:lineRule="auto"/>
              <w:ind w:right="560" w:firstLine="4900" w:firstLineChars="1750"/>
              <w:rPr>
                <w:rFonts w:hint="eastAsia" w:ascii="仿宋" w:hAnsi="仿宋" w:eastAsia="仿宋" w:cs="仿宋"/>
                <w:color w:val="000000"/>
                <w:sz w:val="28"/>
                <w:szCs w:val="28"/>
              </w:rPr>
            </w:pPr>
            <w:r>
              <w:rPr>
                <w:rFonts w:hint="eastAsia" w:ascii="仿宋" w:hAnsi="仿宋" w:eastAsia="仿宋" w:cs="仿宋"/>
                <w:color w:val="000000"/>
                <w:sz w:val="28"/>
                <w:szCs w:val="28"/>
              </w:rPr>
              <w:t>岳阳市公安局交通警察支队</w:t>
            </w:r>
          </w:p>
          <w:p>
            <w:pPr>
              <w:spacing w:line="240" w:lineRule="auto"/>
              <w:jc w:val="center"/>
              <w:rPr>
                <w:rFonts w:hint="eastAsia" w:ascii="仿宋" w:hAnsi="仿宋" w:eastAsia="仿宋" w:cs="仿宋"/>
                <w:color w:val="000000"/>
                <w:sz w:val="32"/>
                <w:szCs w:val="32"/>
              </w:rPr>
            </w:pPr>
            <w:r>
              <w:rPr>
                <w:rFonts w:hint="eastAsia" w:ascii="仿宋" w:hAnsi="仿宋" w:eastAsia="仿宋" w:cs="仿宋"/>
                <w:color w:val="000000"/>
                <w:sz w:val="28"/>
                <w:szCs w:val="28"/>
              </w:rPr>
              <w:t xml:space="preserve">                            202</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年</w:t>
            </w:r>
            <w:r>
              <w:rPr>
                <w:rFonts w:hint="eastAsia" w:ascii="仿宋" w:hAnsi="仿宋" w:eastAsia="仿宋" w:cs="仿宋"/>
                <w:color w:val="000000"/>
                <w:sz w:val="28"/>
                <w:szCs w:val="28"/>
                <w:lang w:val="en-US" w:eastAsia="zh-CN"/>
              </w:rPr>
              <w:t>9</w:t>
            </w:r>
            <w:r>
              <w:rPr>
                <w:rFonts w:hint="eastAsia" w:ascii="仿宋" w:hAnsi="仿宋" w:eastAsia="仿宋" w:cs="仿宋"/>
                <w:color w:val="000000"/>
                <w:sz w:val="28"/>
                <w:szCs w:val="28"/>
              </w:rPr>
              <w:t>月</w:t>
            </w:r>
            <w:r>
              <w:rPr>
                <w:rFonts w:hint="eastAsia" w:ascii="仿宋" w:hAnsi="仿宋" w:eastAsia="仿宋" w:cs="仿宋"/>
                <w:color w:val="000000"/>
                <w:sz w:val="28"/>
                <w:szCs w:val="28"/>
                <w:lang w:val="en-US" w:eastAsia="zh-CN"/>
              </w:rPr>
              <w:t>28</w:t>
            </w:r>
            <w:r>
              <w:rPr>
                <w:rFonts w:hint="eastAsia" w:ascii="仿宋" w:hAnsi="仿宋" w:eastAsia="仿宋" w:cs="仿宋"/>
                <w:color w:val="000000"/>
                <w:sz w:val="28"/>
                <w:szCs w:val="28"/>
              </w:rPr>
              <w:t>日</w:t>
            </w:r>
          </w:p>
          <w:p>
            <w:pPr>
              <w:ind w:firstLine="560" w:firstLineChars="200"/>
              <w:rPr>
                <w:rFonts w:eastAsia="楷体_GB2312"/>
                <w:bCs/>
                <w:sz w:val="28"/>
                <w:szCs w:val="28"/>
              </w:rPr>
            </w:pPr>
          </w:p>
        </w:tc>
      </w:tr>
    </w:tbl>
    <w:p>
      <w:pPr>
        <w:spacing w:before="312" w:beforeLines="100" w:after="312" w:afterLines="100"/>
        <w:jc w:val="center"/>
        <w:rPr>
          <w:rFonts w:hint="eastAsia" w:ascii="方正小标宋简体" w:eastAsia="方正小标宋简体"/>
          <w:sz w:val="38"/>
          <w:szCs w:val="38"/>
        </w:rPr>
      </w:pPr>
      <w:r>
        <w:rPr>
          <w:rFonts w:hint="eastAsia" w:ascii="方正小标宋简体" w:eastAsia="方正小标宋简体"/>
          <w:sz w:val="38"/>
          <w:szCs w:val="38"/>
        </w:rPr>
        <w:t>部门整体支出绩效评价评分表（参考样表）</w:t>
      </w:r>
    </w:p>
    <w:tbl>
      <w:tblPr>
        <w:tblStyle w:val="8"/>
        <w:tblW w:w="0" w:type="auto"/>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tblPrEx>
          <w:tblCellMar>
            <w:top w:w="0" w:type="dxa"/>
            <w:left w:w="108" w:type="dxa"/>
            <w:bottom w:w="0" w:type="dxa"/>
            <w:right w:w="108" w:type="dxa"/>
          </w:tblCellMar>
        </w:tblPrEx>
        <w:trPr>
          <w:trHeight w:val="525"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b/>
                <w:bCs/>
                <w:spacing w:val="-10"/>
                <w:kern w:val="0"/>
                <w:sz w:val="18"/>
                <w:szCs w:val="18"/>
              </w:rPr>
            </w:pPr>
            <w:r>
              <w:rPr>
                <w:rFonts w:hint="eastAsia" w:ascii="仿宋_GB2312" w:hAnsi="宋体" w:eastAsia="仿宋_GB2312" w:cs="宋体"/>
                <w:b/>
                <w:bCs/>
                <w:spacing w:val="-10"/>
                <w:kern w:val="0"/>
                <w:sz w:val="18"/>
                <w:szCs w:val="18"/>
              </w:rPr>
              <w:t>扣分原因和其他说明</w:t>
            </w:r>
          </w:p>
        </w:tc>
      </w:tr>
      <w:tr>
        <w:tblPrEx>
          <w:tblCellMar>
            <w:top w:w="0" w:type="dxa"/>
            <w:left w:w="108" w:type="dxa"/>
            <w:bottom w:w="0" w:type="dxa"/>
            <w:right w:w="108" w:type="dxa"/>
          </w:tblCellMar>
        </w:tblPrEx>
        <w:trPr>
          <w:trHeight w:val="559" w:hRule="atLeast"/>
          <w:jc w:val="center"/>
        </w:trPr>
        <w:tc>
          <w:tcPr>
            <w:tcW w:w="97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投  入</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939"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预算配置</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财政供养人员</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以100%为标准。在职人员控制率</w:t>
            </w:r>
            <w:r>
              <w:rPr>
                <w:rFonts w:hint="eastAsia" w:ascii="宋体" w:hAnsi="宋体" w:cs="宋体"/>
                <w:kern w:val="0"/>
                <w:sz w:val="18"/>
                <w:szCs w:val="18"/>
              </w:rPr>
              <w:t>≦</w:t>
            </w:r>
            <w:r>
              <w:rPr>
                <w:rFonts w:hint="eastAsia" w:ascii="仿宋_GB2312" w:hAnsi="宋体" w:eastAsia="仿宋_GB2312" w:cs="宋体"/>
                <w:kern w:val="0"/>
                <w:sz w:val="18"/>
                <w:szCs w:val="18"/>
              </w:rPr>
              <w:t>100%，计5分；每超过一个百分点扣0.5分，扣完为止。</w:t>
            </w:r>
          </w:p>
        </w:tc>
        <w:tc>
          <w:tcPr>
            <w:tcW w:w="61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780" w:hRule="atLeast"/>
          <w:jc w:val="center"/>
        </w:trPr>
        <w:tc>
          <w:tcPr>
            <w:tcW w:w="97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“三公经费”</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变动率</w:t>
            </w:r>
          </w:p>
        </w:tc>
        <w:tc>
          <w:tcPr>
            <w:tcW w:w="4171" w:type="dxa"/>
            <w:tcBorders>
              <w:top w:val="nil"/>
              <w:left w:val="nil"/>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“三公经费”变动率</w:t>
            </w:r>
            <w:r>
              <w:rPr>
                <w:rFonts w:hint="eastAsia" w:ascii="宋体" w:hAnsi="宋体" w:cs="宋体"/>
                <w:kern w:val="0"/>
                <w:sz w:val="18"/>
                <w:szCs w:val="18"/>
              </w:rPr>
              <w:t>≦</w:t>
            </w:r>
            <w:r>
              <w:rPr>
                <w:rFonts w:hint="eastAsia" w:ascii="仿宋_GB2312" w:hAnsi="宋体" w:eastAsia="仿宋_GB2312" w:cs="宋体"/>
                <w:kern w:val="0"/>
                <w:sz w:val="18"/>
                <w:szCs w:val="18"/>
              </w:rPr>
              <w:t>0,计5分；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“三公经费”＞0，每超过一个百分点扣0.5分，扣完为止。</w:t>
            </w:r>
          </w:p>
        </w:tc>
        <w:tc>
          <w:tcPr>
            <w:tcW w:w="61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737" w:hRule="atLeast"/>
          <w:jc w:val="center"/>
        </w:trPr>
        <w:tc>
          <w:tcPr>
            <w:tcW w:w="97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重点支出</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安排率</w:t>
            </w:r>
          </w:p>
        </w:tc>
        <w:tc>
          <w:tcPr>
            <w:tcW w:w="4171" w:type="dxa"/>
            <w:tcBorders>
              <w:top w:val="nil"/>
              <w:left w:val="nil"/>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重点支出安排率≥90%，计5分；80%（含）-90%，计4分；70%（含）-80%，计3分；60%（含）-70%，计2分；低于60%不得分。</w:t>
            </w:r>
          </w:p>
        </w:tc>
        <w:tc>
          <w:tcPr>
            <w:tcW w:w="61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5</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776" w:hRule="atLeast"/>
          <w:jc w:val="center"/>
        </w:trPr>
        <w:tc>
          <w:tcPr>
            <w:tcW w:w="97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过  程</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（40分）</w:t>
            </w:r>
          </w:p>
        </w:tc>
        <w:tc>
          <w:tcPr>
            <w:tcW w:w="939"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预算执行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w:t>
            </w:r>
          </w:p>
        </w:tc>
        <w:tc>
          <w:tcPr>
            <w:tcW w:w="4171" w:type="dxa"/>
            <w:tcBorders>
              <w:top w:val="nil"/>
              <w:left w:val="nil"/>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预算调整率=0，计3分；0-10%（含），计2分；10-20%（含），计1分；20-30%（含），计0.5分；大于30%不得分。</w:t>
            </w:r>
          </w:p>
        </w:tc>
        <w:tc>
          <w:tcPr>
            <w:tcW w:w="61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 w:val="18"/>
                <w:szCs w:val="18"/>
                <w:lang w:eastAsia="zh-CN"/>
              </w:rPr>
            </w:pPr>
            <w:r>
              <w:rPr>
                <w:rFonts w:hint="eastAsia" w:ascii="仿宋_GB2312" w:hAnsi="宋体" w:eastAsia="仿宋_GB2312" w:cs="宋体"/>
                <w:color w:val="000000"/>
                <w:kern w:val="0"/>
                <w:sz w:val="18"/>
                <w:szCs w:val="18"/>
                <w:lang w:val="en-US" w:eastAsia="zh-CN"/>
              </w:rPr>
              <w:t>3</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1039" w:hRule="atLeast"/>
          <w:jc w:val="center"/>
        </w:trPr>
        <w:tc>
          <w:tcPr>
            <w:tcW w:w="97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支付进度</w:t>
            </w:r>
          </w:p>
        </w:tc>
        <w:tc>
          <w:tcPr>
            <w:tcW w:w="4171" w:type="dxa"/>
            <w:tcBorders>
              <w:top w:val="nil"/>
              <w:left w:val="nil"/>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春节前下达全部专项资金的50%；6月底前所有专项资金指标全部下达完。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每出现一个专项未按进度完成资金下达扣0.5分，扣完为止。</w:t>
            </w:r>
          </w:p>
        </w:tc>
        <w:tc>
          <w:tcPr>
            <w:tcW w:w="61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619" w:hRule="atLeast"/>
          <w:jc w:val="center"/>
        </w:trPr>
        <w:tc>
          <w:tcPr>
            <w:tcW w:w="97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资金结余</w:t>
            </w:r>
          </w:p>
        </w:tc>
        <w:tc>
          <w:tcPr>
            <w:tcW w:w="4171" w:type="dxa"/>
            <w:tcBorders>
              <w:top w:val="nil"/>
              <w:left w:val="nil"/>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无结余，3分；有结余，但不超过上年结转，2分；结余超过上年结转，不得分。</w:t>
            </w:r>
          </w:p>
        </w:tc>
        <w:tc>
          <w:tcPr>
            <w:tcW w:w="61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 w:val="18"/>
                <w:szCs w:val="18"/>
                <w:lang w:eastAsia="zh-CN"/>
              </w:rPr>
            </w:pPr>
            <w:r>
              <w:rPr>
                <w:rFonts w:hint="eastAsia" w:ascii="仿宋_GB2312" w:hAnsi="宋体" w:eastAsia="仿宋_GB2312" w:cs="宋体"/>
                <w:color w:val="000000"/>
                <w:kern w:val="0"/>
                <w:sz w:val="18"/>
                <w:szCs w:val="18"/>
                <w:lang w:val="en-US" w:eastAsia="zh-CN"/>
              </w:rPr>
              <w:t>3</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95" w:hRule="atLeast"/>
          <w:jc w:val="center"/>
        </w:trPr>
        <w:tc>
          <w:tcPr>
            <w:tcW w:w="97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“三公经费”</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以100%为标准。三公经费控制率</w:t>
            </w:r>
            <w:r>
              <w:rPr>
                <w:rFonts w:hint="eastAsia" w:ascii="宋体" w:hAnsi="宋体" w:cs="宋体"/>
                <w:kern w:val="0"/>
                <w:sz w:val="18"/>
                <w:szCs w:val="18"/>
              </w:rPr>
              <w:t>≦</w:t>
            </w:r>
            <w:r>
              <w:rPr>
                <w:rFonts w:hint="eastAsia" w:ascii="仿宋_GB2312" w:hAnsi="宋体" w:eastAsia="仿宋_GB2312" w:cs="宋体"/>
                <w:kern w:val="0"/>
                <w:sz w:val="18"/>
                <w:szCs w:val="18"/>
              </w:rPr>
              <w:t>100%，计6分；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每超过一个百分点扣1分，扣完为止。</w:t>
            </w:r>
          </w:p>
        </w:tc>
        <w:tc>
          <w:tcPr>
            <w:tcW w:w="61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6</w:t>
            </w:r>
          </w:p>
        </w:tc>
        <w:tc>
          <w:tcPr>
            <w:tcW w:w="72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915" w:hRule="atLeast"/>
          <w:jc w:val="center"/>
        </w:trPr>
        <w:tc>
          <w:tcPr>
            <w:tcW w:w="97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管理制度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①已制定或具有预算资金管理办法，内部财务管理制度、会计核算制度等管理制度，1分；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②相关管理制度合法、合规、完整，1分；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③相关管理制度得到有效执行，1分。</w:t>
            </w:r>
          </w:p>
        </w:tc>
        <w:tc>
          <w:tcPr>
            <w:tcW w:w="61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1802" w:hRule="atLeast"/>
          <w:jc w:val="center"/>
        </w:trPr>
        <w:tc>
          <w:tcPr>
            <w:tcW w:w="97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资金使用</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合规性</w:t>
            </w:r>
          </w:p>
        </w:tc>
        <w:tc>
          <w:tcPr>
            <w:tcW w:w="4171" w:type="dxa"/>
            <w:tcBorders>
              <w:top w:val="nil"/>
              <w:left w:val="nil"/>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①支出符合国家财经法规和财务管理制度规定以及有关专项资金管理办法的规定；</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②资金拨付有完整的审批程序和手续；</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③项目支出按规定经过评估论证；</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④支出符合部门预算批复的用途；</w:t>
            </w:r>
            <w:r>
              <w:rPr>
                <w:rFonts w:hint="eastAsia" w:ascii="仿宋_GB2312" w:hAnsi="宋体" w:eastAsia="仿宋_GB2312" w:cs="宋体"/>
                <w:kern w:val="0"/>
                <w:sz w:val="18"/>
                <w:szCs w:val="18"/>
              </w:rPr>
              <w:br w:type="textWrapping"/>
            </w:r>
            <w:r>
              <w:rPr>
                <w:rFonts w:hint="eastAsia" w:ascii="仿宋_GB2312" w:hAnsi="宋体" w:eastAsia="仿宋_GB2312" w:cs="宋体"/>
                <w:spacing w:val="-6"/>
                <w:kern w:val="0"/>
                <w:sz w:val="18"/>
                <w:szCs w:val="18"/>
              </w:rPr>
              <w:t>⑤资金使用无截留、挤占、挪用、虚列支出等情况。</w:t>
            </w:r>
            <w:r>
              <w:rPr>
                <w:rFonts w:hint="eastAsia" w:ascii="仿宋_GB2312" w:hAnsi="宋体" w:eastAsia="仿宋_GB2312" w:cs="宋体"/>
                <w:spacing w:val="-6"/>
                <w:kern w:val="0"/>
                <w:sz w:val="18"/>
                <w:szCs w:val="18"/>
              </w:rPr>
              <w:br w:type="textWrapping"/>
            </w:r>
            <w:r>
              <w:rPr>
                <w:rFonts w:hint="eastAsia" w:ascii="仿宋_GB2312" w:hAnsi="宋体" w:eastAsia="仿宋_GB2312" w:cs="宋体"/>
                <w:spacing w:val="-6"/>
                <w:kern w:val="0"/>
                <w:sz w:val="18"/>
                <w:szCs w:val="18"/>
              </w:rPr>
              <w:t>以上情况每出现一例不符合要求的扣1分，扣完为止。</w:t>
            </w:r>
          </w:p>
        </w:tc>
        <w:tc>
          <w:tcPr>
            <w:tcW w:w="61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5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预决算信息公开性和完善性</w:t>
            </w:r>
          </w:p>
        </w:tc>
        <w:tc>
          <w:tcPr>
            <w:tcW w:w="4171"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①按规定内容公开预决算信息，1分；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②按规定时限公开预决算信息，0.5分；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③基础数据信息和会计信息资料真实，0.5分；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④基础数据信息和会计信息资料完整，0.5分；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⑤基础数据信息和汇集信息资料准确，0.5分。                                            </w:t>
            </w:r>
          </w:p>
        </w:tc>
        <w:tc>
          <w:tcPr>
            <w:tcW w:w="61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7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政府采购</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执行率</w:t>
            </w:r>
          </w:p>
        </w:tc>
        <w:tc>
          <w:tcPr>
            <w:tcW w:w="4171"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政府采购执行率等于100%的，得3分；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每减少一个百分点，扣0.2分，扣完为止。</w:t>
            </w:r>
          </w:p>
        </w:tc>
        <w:tc>
          <w:tcPr>
            <w:tcW w:w="61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3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公务卡刷卡率</w:t>
            </w:r>
          </w:p>
        </w:tc>
        <w:tc>
          <w:tcPr>
            <w:tcW w:w="4171"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公务卡刷卡率达50％以上的，得3分。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每减少一个百分点，扣0.2分，扣完为止。                                            </w:t>
            </w:r>
          </w:p>
        </w:tc>
        <w:tc>
          <w:tcPr>
            <w:tcW w:w="61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55"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（10分）</w:t>
            </w: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管理制度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①已制定或具有资产管理制度，且相关资产管理制度合法、合规、完整，2分；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②相关资产管理制度得到有效执行，1分。                                           </w:t>
            </w:r>
          </w:p>
        </w:tc>
        <w:tc>
          <w:tcPr>
            <w:tcW w:w="61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bl>
    <w:p/>
    <w:tbl>
      <w:tblPr>
        <w:tblStyle w:val="8"/>
        <w:tblW w:w="9894" w:type="dxa"/>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tblPrEx>
          <w:tblCellMar>
            <w:top w:w="0" w:type="dxa"/>
            <w:left w:w="108" w:type="dxa"/>
            <w:bottom w:w="0" w:type="dxa"/>
            <w:right w:w="108" w:type="dxa"/>
          </w:tblCellMar>
        </w:tblPrEx>
        <w:trPr>
          <w:trHeight w:val="609"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b/>
                <w:bCs/>
                <w:spacing w:val="-12"/>
                <w:kern w:val="0"/>
                <w:sz w:val="18"/>
                <w:szCs w:val="18"/>
              </w:rPr>
            </w:pPr>
            <w:r>
              <w:rPr>
                <w:rFonts w:hint="eastAsia" w:ascii="仿宋_GB2312" w:hAnsi="宋体" w:eastAsia="仿宋_GB2312" w:cs="宋体"/>
                <w:b/>
                <w:bCs/>
                <w:spacing w:val="-12"/>
                <w:kern w:val="0"/>
                <w:sz w:val="18"/>
                <w:szCs w:val="18"/>
              </w:rPr>
              <w:t>扣分原因和其他说明</w:t>
            </w:r>
          </w:p>
        </w:tc>
      </w:tr>
      <w:tr>
        <w:tblPrEx>
          <w:tblCellMar>
            <w:top w:w="0" w:type="dxa"/>
            <w:left w:w="108" w:type="dxa"/>
            <w:bottom w:w="0" w:type="dxa"/>
            <w:right w:w="108" w:type="dxa"/>
          </w:tblCellMar>
        </w:tblPrEx>
        <w:trPr>
          <w:trHeight w:val="2011" w:hRule="atLeast"/>
          <w:jc w:val="center"/>
        </w:trPr>
        <w:tc>
          <w:tcPr>
            <w:tcW w:w="976"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过  程</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（40分）</w:t>
            </w:r>
          </w:p>
        </w:tc>
        <w:tc>
          <w:tcPr>
            <w:tcW w:w="939"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（10分）</w:t>
            </w:r>
          </w:p>
        </w:tc>
        <w:tc>
          <w:tcPr>
            <w:tcW w:w="1389"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安全性</w:t>
            </w:r>
          </w:p>
        </w:tc>
        <w:tc>
          <w:tcPr>
            <w:tcW w:w="4171"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①资产保存完整；</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②资产配置合理；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③资产处置规范； </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④资产账务管理合规，帐实相符；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⑤资产有偿使用及处置收入及时足额上缴；</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以上情况每出现一例不符合有关要求的扣1分，扣完为止。</w:t>
            </w:r>
          </w:p>
        </w:tc>
        <w:tc>
          <w:tcPr>
            <w:tcW w:w="619"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720"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1080"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774"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固定资产</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利用率</w:t>
            </w:r>
          </w:p>
        </w:tc>
        <w:tc>
          <w:tcPr>
            <w:tcW w:w="4171"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每低于100%一个百分点扣0.1分，扣完为止。</w:t>
            </w:r>
          </w:p>
        </w:tc>
        <w:tc>
          <w:tcPr>
            <w:tcW w:w="61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default"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2.9</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要继续加强利用率</w:t>
            </w:r>
          </w:p>
        </w:tc>
      </w:tr>
      <w:tr>
        <w:tblPrEx>
          <w:tblCellMar>
            <w:top w:w="0" w:type="dxa"/>
            <w:left w:w="108" w:type="dxa"/>
            <w:bottom w:w="0" w:type="dxa"/>
            <w:right w:w="108" w:type="dxa"/>
          </w:tblCellMar>
        </w:tblPrEx>
        <w:trPr>
          <w:trHeight w:val="900"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产  出（25分）</w:t>
            </w:r>
          </w:p>
        </w:tc>
        <w:tc>
          <w:tcPr>
            <w:tcW w:w="939"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职责履行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（25分）</w:t>
            </w: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推进全面小康建设指标任务完成情况</w:t>
            </w:r>
          </w:p>
        </w:tc>
        <w:tc>
          <w:tcPr>
            <w:tcW w:w="417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eastAsia="仿宋_GB2312"/>
                <w:snapToGrid w:val="0"/>
                <w:sz w:val="18"/>
                <w:szCs w:val="18"/>
              </w:rPr>
            </w:pPr>
            <w:r>
              <w:rPr>
                <w:rFonts w:hint="eastAsia" w:ascii="仿宋_GB2312" w:eastAsia="仿宋_GB2312"/>
                <w:snapToGrid w:val="0"/>
                <w:sz w:val="18"/>
                <w:szCs w:val="18"/>
              </w:rPr>
              <w:t>维护城乡交通秩序，处理交通事故；预防控制和打击涉车、涉路的违法犯罪，提升了管理水平，交通秩序进一步向好。</w:t>
            </w:r>
          </w:p>
        </w:tc>
        <w:tc>
          <w:tcPr>
            <w:tcW w:w="61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4.9</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继续加强交通安全管理</w:t>
            </w: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建设湖南新增极目标任务完成情况</w:t>
            </w:r>
          </w:p>
        </w:tc>
        <w:tc>
          <w:tcPr>
            <w:tcW w:w="417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以路畅人安为目标，加大执行力度，提升管理水平，努力服务群众，创造良好道路交通安全环境。</w:t>
            </w:r>
          </w:p>
        </w:tc>
        <w:tc>
          <w:tcPr>
            <w:tcW w:w="61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7</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7</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《政府工作报告》目标任务完成情况</w:t>
            </w:r>
          </w:p>
        </w:tc>
        <w:tc>
          <w:tcPr>
            <w:tcW w:w="417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保障了道路交通秩序的畅通，交通文明城市创建再度推进。</w:t>
            </w:r>
          </w:p>
        </w:tc>
        <w:tc>
          <w:tcPr>
            <w:tcW w:w="61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8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省市重点民生实事完成情况</w:t>
            </w:r>
          </w:p>
        </w:tc>
        <w:tc>
          <w:tcPr>
            <w:tcW w:w="417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积极争取推进交通安全基础设施建设，加快道路微循环工程建设，落实文明交通行动计划推进新闻宣传阵地建设。</w:t>
            </w:r>
          </w:p>
        </w:tc>
        <w:tc>
          <w:tcPr>
            <w:tcW w:w="61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省市重点工程和重大项目建设完成情况</w:t>
            </w:r>
          </w:p>
        </w:tc>
        <w:tc>
          <w:tcPr>
            <w:tcW w:w="417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推进执法服务站建设，卡口建设，重点车辆管控平台建设，公路视频监控系统建设，交通执法取证系统建设</w:t>
            </w:r>
          </w:p>
        </w:tc>
        <w:tc>
          <w:tcPr>
            <w:tcW w:w="61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1.9</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加强项目建设及优化</w:t>
            </w:r>
          </w:p>
        </w:tc>
      </w:tr>
      <w:tr>
        <w:tblPrEx>
          <w:tblCellMar>
            <w:top w:w="0" w:type="dxa"/>
            <w:left w:w="108" w:type="dxa"/>
            <w:bottom w:w="0" w:type="dxa"/>
            <w:right w:w="108" w:type="dxa"/>
          </w:tblCellMar>
        </w:tblPrEx>
        <w:trPr>
          <w:trHeight w:val="8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其他工作实绩指标完成情况</w:t>
            </w:r>
          </w:p>
        </w:tc>
        <w:tc>
          <w:tcPr>
            <w:tcW w:w="417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扎实开展春运、涉牌涉证、危化品交通运输管理、交通违法行为集中整治。</w:t>
            </w:r>
          </w:p>
        </w:tc>
        <w:tc>
          <w:tcPr>
            <w:tcW w:w="61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效  果</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（20分）</w:t>
            </w:r>
          </w:p>
        </w:tc>
        <w:tc>
          <w:tcPr>
            <w:tcW w:w="939"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履职效益</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（20分）</w:t>
            </w: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经济效益</w:t>
            </w:r>
          </w:p>
        </w:tc>
        <w:tc>
          <w:tcPr>
            <w:tcW w:w="4171"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为全市经济保驾护航，交通秩序进一步向好</w:t>
            </w:r>
          </w:p>
        </w:tc>
        <w:tc>
          <w:tcPr>
            <w:tcW w:w="6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4.</w:t>
            </w:r>
            <w:r>
              <w:rPr>
                <w:rFonts w:hint="eastAsia" w:ascii="仿宋_GB2312" w:hAnsi="宋体" w:eastAsia="仿宋_GB2312" w:cs="宋体"/>
                <w:kern w:val="0"/>
                <w:sz w:val="18"/>
                <w:szCs w:val="18"/>
                <w:lang w:val="en-US" w:eastAsia="zh-CN"/>
              </w:rPr>
              <w:t>8</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有所提升</w:t>
            </w:r>
          </w:p>
        </w:tc>
      </w:tr>
      <w:tr>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社会效益</w:t>
            </w:r>
          </w:p>
        </w:tc>
        <w:tc>
          <w:tcPr>
            <w:tcW w:w="417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spacing w:line="400" w:lineRule="exact"/>
              <w:jc w:val="left"/>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文明交通进一步加强，交通安全基础进一步加强，</w:t>
            </w:r>
          </w:p>
          <w:p>
            <w:pPr>
              <w:spacing w:line="240" w:lineRule="exact"/>
              <w:jc w:val="left"/>
              <w:rPr>
                <w:rFonts w:ascii="仿宋_GB2312" w:hAnsi="宋体" w:eastAsia="仿宋_GB2312" w:cs="宋体"/>
                <w:kern w:val="0"/>
                <w:sz w:val="18"/>
                <w:szCs w:val="18"/>
              </w:rPr>
            </w:pPr>
            <w:r>
              <w:rPr>
                <w:rFonts w:hint="eastAsia" w:ascii="仿宋_GB2312" w:hAnsi="仿宋_GB2312" w:eastAsia="仿宋_GB2312" w:cs="仿宋_GB2312"/>
                <w:color w:val="000000"/>
                <w:sz w:val="18"/>
                <w:szCs w:val="18"/>
              </w:rPr>
              <w:t>交通秩序明显加强</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9.</w:t>
            </w:r>
            <w:r>
              <w:rPr>
                <w:rFonts w:hint="eastAsia" w:ascii="仿宋_GB2312" w:hAnsi="宋体" w:eastAsia="仿宋_GB2312" w:cs="宋体"/>
                <w:kern w:val="0"/>
                <w:sz w:val="18"/>
                <w:szCs w:val="18"/>
                <w:lang w:val="en-US" w:eastAsia="zh-CN"/>
              </w:rPr>
              <w:t>4</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黑体" w:eastAsia="仿宋_GB2312" w:cs="黑体"/>
                <w:szCs w:val="21"/>
                <w:lang w:val="en-US" w:eastAsia="zh-CN"/>
              </w:rPr>
              <w:t>交通安全形势持续平稳</w:t>
            </w:r>
          </w:p>
        </w:tc>
      </w:tr>
      <w:tr>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社会公众或服务对象满意度</w:t>
            </w:r>
          </w:p>
        </w:tc>
        <w:tc>
          <w:tcPr>
            <w:tcW w:w="4171"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95%（含）以上计5分；</w:t>
            </w:r>
          </w:p>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85%（含）-95%，计3分；</w:t>
            </w:r>
          </w:p>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75%（含）-85%，计1分；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低于75%计0分。</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b/>
                <w:kern w:val="0"/>
                <w:sz w:val="18"/>
                <w:szCs w:val="18"/>
              </w:rPr>
            </w:pPr>
          </w:p>
        </w:tc>
      </w:tr>
      <w:tr>
        <w:tblPrEx>
          <w:tblCellMar>
            <w:top w:w="0" w:type="dxa"/>
            <w:left w:w="108" w:type="dxa"/>
            <w:bottom w:w="0" w:type="dxa"/>
            <w:right w:w="108" w:type="dxa"/>
          </w:tblCellMar>
        </w:tblPrEx>
        <w:trPr>
          <w:trHeight w:val="670" w:hRule="atLeast"/>
          <w:jc w:val="center"/>
        </w:trPr>
        <w:tc>
          <w:tcPr>
            <w:tcW w:w="97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总 分</w:t>
            </w:r>
          </w:p>
        </w:tc>
        <w:tc>
          <w:tcPr>
            <w:tcW w:w="93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kern w:val="0"/>
                <w:sz w:val="18"/>
                <w:szCs w:val="18"/>
              </w:rPr>
            </w:pPr>
          </w:p>
        </w:tc>
        <w:tc>
          <w:tcPr>
            <w:tcW w:w="138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kern w:val="0"/>
                <w:sz w:val="18"/>
                <w:szCs w:val="18"/>
              </w:rPr>
            </w:pPr>
          </w:p>
        </w:tc>
        <w:tc>
          <w:tcPr>
            <w:tcW w:w="4171"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kern w:val="0"/>
                <w:sz w:val="18"/>
                <w:szCs w:val="18"/>
              </w:rPr>
            </w:pPr>
          </w:p>
        </w:tc>
        <w:tc>
          <w:tcPr>
            <w:tcW w:w="61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spacing w:val="-8"/>
                <w:kern w:val="0"/>
                <w:sz w:val="18"/>
                <w:szCs w:val="18"/>
              </w:rPr>
            </w:pPr>
            <w:r>
              <w:rPr>
                <w:rFonts w:hint="eastAsia" w:ascii="仿宋_GB2312" w:hAnsi="宋体" w:eastAsia="仿宋_GB2312" w:cs="宋体"/>
                <w:b/>
                <w:bCs/>
                <w:spacing w:val="-8"/>
                <w:kern w:val="0"/>
                <w:sz w:val="18"/>
                <w:szCs w:val="18"/>
              </w:rPr>
              <w:t>100</w:t>
            </w:r>
          </w:p>
        </w:tc>
        <w:tc>
          <w:tcPr>
            <w:tcW w:w="72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b/>
                <w:bCs/>
                <w:kern w:val="0"/>
                <w:sz w:val="18"/>
                <w:szCs w:val="18"/>
                <w:lang w:val="en-US" w:eastAsia="zh-CN"/>
              </w:rPr>
            </w:pPr>
            <w:r>
              <w:rPr>
                <w:rFonts w:hint="eastAsia" w:ascii="仿宋_GB2312" w:hAnsi="宋体" w:eastAsia="仿宋_GB2312" w:cs="宋体"/>
                <w:b/>
                <w:bCs/>
                <w:kern w:val="0"/>
                <w:sz w:val="18"/>
                <w:szCs w:val="18"/>
                <w:lang w:val="en-US" w:eastAsia="zh-CN"/>
              </w:rPr>
              <w:t>98.9</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kern w:val="0"/>
                <w:sz w:val="18"/>
                <w:szCs w:val="18"/>
              </w:rPr>
            </w:pPr>
          </w:p>
        </w:tc>
      </w:tr>
      <w:bookmarkEnd w:id="0"/>
    </w:tbl>
    <w:p>
      <w:pPr>
        <w:spacing w:before="312" w:beforeLines="100" w:after="312" w:afterLines="100"/>
        <w:rPr>
          <w:rFonts w:hint="eastAsia" w:ascii="方正小标宋简体" w:eastAsia="方正小标宋简体"/>
          <w:sz w:val="38"/>
          <w:szCs w:val="38"/>
        </w:rPr>
      </w:pPr>
    </w:p>
    <w:bookmarkEnd w:id="1"/>
    <w:p>
      <w:pPr>
        <w:spacing w:before="312" w:beforeLines="100" w:after="312" w:afterLines="100"/>
        <w:jc w:val="center"/>
        <w:rPr>
          <w:rFonts w:hint="eastAsia" w:ascii="方正小标宋简体" w:eastAsia="方正小标宋简体"/>
          <w:sz w:val="38"/>
          <w:szCs w:val="38"/>
        </w:rPr>
      </w:pP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hint="eastAsia"/>
        <w:lang w:eastAsia="zh-CN"/>
      </w:rPr>
    </w:pPr>
    <w:r>
      <w:fldChar w:fldCharType="begin"/>
    </w:r>
    <w:r>
      <w:instrText xml:space="preserve"> PAGE   \* MERGEFORMAT </w:instrText>
    </w:r>
    <w:r>
      <w:rPr>
        <w:rFonts w:hint="eastAsia"/>
      </w:rPr>
      <w:fldChar w:fldCharType="separate"/>
    </w:r>
    <w:r>
      <w:rPr>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outside" w:y="1"/>
    </w:pPr>
    <w:r>
      <w:fldChar w:fldCharType="begin"/>
    </w:r>
    <w:r>
      <w:instrText xml:space="preserve">PAGE  </w:instrText>
    </w:r>
    <w:r>
      <w:fldChar w:fldCharType="separate"/>
    </w:r>
    <w:r>
      <w:t>- 15 -</w:t>
    </w:r>
    <w:r>
      <w:fldChar w:fldCharType="end"/>
    </w:r>
  </w:p>
  <w:p>
    <w:pPr>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6A298D"/>
    <w:multiLevelType w:val="singleLevel"/>
    <w:tmpl w:val="B16A298D"/>
    <w:lvl w:ilvl="0" w:tentative="0">
      <w:start w:val="9"/>
      <w:numFmt w:val="chineseCounting"/>
      <w:suff w:val="nothing"/>
      <w:lvlText w:val="%1、"/>
      <w:lvlJc w:val="left"/>
      <w:rPr>
        <w:rFonts w:hint="eastAsia"/>
      </w:rPr>
    </w:lvl>
  </w:abstractNum>
  <w:abstractNum w:abstractNumId="1">
    <w:nsid w:val="B3F95C44"/>
    <w:multiLevelType w:val="singleLevel"/>
    <w:tmpl w:val="B3F95C44"/>
    <w:lvl w:ilvl="0" w:tentative="0">
      <w:start w:val="1"/>
      <w:numFmt w:val="chineseCounting"/>
      <w:suff w:val="nothing"/>
      <w:lvlText w:val="（%1）"/>
      <w:lvlJc w:val="left"/>
      <w:rPr>
        <w:rFonts w:hint="eastAsia"/>
      </w:rPr>
    </w:lvl>
  </w:abstractNum>
  <w:abstractNum w:abstractNumId="2">
    <w:nsid w:val="B4847EED"/>
    <w:multiLevelType w:val="singleLevel"/>
    <w:tmpl w:val="B4847EED"/>
    <w:lvl w:ilvl="0" w:tentative="0">
      <w:start w:val="1"/>
      <w:numFmt w:val="chineseCounting"/>
      <w:suff w:val="nothing"/>
      <w:lvlText w:val="（%1）"/>
      <w:lvlJc w:val="left"/>
      <w:rPr>
        <w:rFonts w:hint="eastAsia"/>
      </w:rPr>
    </w:lvl>
  </w:abstractNum>
  <w:abstractNum w:abstractNumId="3">
    <w:nsid w:val="FC5F40D2"/>
    <w:multiLevelType w:val="singleLevel"/>
    <w:tmpl w:val="FC5F40D2"/>
    <w:lvl w:ilvl="0" w:tentative="0">
      <w:start w:val="2"/>
      <w:numFmt w:val="chineseCounting"/>
      <w:suff w:val="nothing"/>
      <w:lvlText w:val="（%1）"/>
      <w:lvlJc w:val="left"/>
      <w:rPr>
        <w:rFonts w:hint="eastAsia"/>
      </w:rPr>
    </w:lvl>
  </w:abstractNum>
  <w:abstractNum w:abstractNumId="4">
    <w:nsid w:val="00000000"/>
    <w:multiLevelType w:val="singleLevel"/>
    <w:tmpl w:val="00000000"/>
    <w:lvl w:ilvl="0" w:tentative="0">
      <w:start w:val="2"/>
      <w:numFmt w:val="chineseCounting"/>
      <w:suff w:val="nothing"/>
      <w:lvlText w:val="（%1）"/>
      <w:lvlJc w:val="left"/>
      <w:pPr>
        <w:ind w:left="-560"/>
      </w:pPr>
      <w:rPr>
        <w:rFonts w:hint="eastAsia"/>
      </w:rPr>
    </w:lvl>
  </w:abstractNum>
  <w:abstractNum w:abstractNumId="5">
    <w:nsid w:val="304585AB"/>
    <w:multiLevelType w:val="singleLevel"/>
    <w:tmpl w:val="304585AB"/>
    <w:lvl w:ilvl="0" w:tentative="0">
      <w:start w:val="3"/>
      <w:numFmt w:val="decimal"/>
      <w:suff w:val="nothing"/>
      <w:lvlText w:val="%1、"/>
      <w:lvlJc w:val="left"/>
    </w:lvl>
  </w:abstractNum>
  <w:abstractNum w:abstractNumId="6">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2"/>
  </w:num>
  <w:num w:numId="3">
    <w:abstractNumId w:val="3"/>
  </w:num>
  <w:num w:numId="4">
    <w:abstractNumId w:val="5"/>
  </w:num>
  <w:num w:numId="5">
    <w:abstractNumId w:val="0"/>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95076"/>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54C63"/>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1121033"/>
    <w:rsid w:val="044821EF"/>
    <w:rsid w:val="05161EAB"/>
    <w:rsid w:val="05633A58"/>
    <w:rsid w:val="06B411F0"/>
    <w:rsid w:val="07A42C97"/>
    <w:rsid w:val="087403E0"/>
    <w:rsid w:val="09212060"/>
    <w:rsid w:val="09820212"/>
    <w:rsid w:val="0986025E"/>
    <w:rsid w:val="0A8141F9"/>
    <w:rsid w:val="0B23006F"/>
    <w:rsid w:val="0BE56081"/>
    <w:rsid w:val="0CED0265"/>
    <w:rsid w:val="0CF5184F"/>
    <w:rsid w:val="0DC64D33"/>
    <w:rsid w:val="0E064F10"/>
    <w:rsid w:val="121F784D"/>
    <w:rsid w:val="13970192"/>
    <w:rsid w:val="13A46444"/>
    <w:rsid w:val="13BE003E"/>
    <w:rsid w:val="16557946"/>
    <w:rsid w:val="16917EF0"/>
    <w:rsid w:val="17A87124"/>
    <w:rsid w:val="198859EE"/>
    <w:rsid w:val="1B0D5B11"/>
    <w:rsid w:val="1DB42DBD"/>
    <w:rsid w:val="1EEA2362"/>
    <w:rsid w:val="216C1A4C"/>
    <w:rsid w:val="25841444"/>
    <w:rsid w:val="27A82C11"/>
    <w:rsid w:val="27DB542D"/>
    <w:rsid w:val="28C642D6"/>
    <w:rsid w:val="2A2A739D"/>
    <w:rsid w:val="2B444708"/>
    <w:rsid w:val="2C832E96"/>
    <w:rsid w:val="2DEC08B1"/>
    <w:rsid w:val="2F66527D"/>
    <w:rsid w:val="35A4398E"/>
    <w:rsid w:val="3617121E"/>
    <w:rsid w:val="366364DD"/>
    <w:rsid w:val="370B66D6"/>
    <w:rsid w:val="370B6762"/>
    <w:rsid w:val="37457B63"/>
    <w:rsid w:val="38B0585F"/>
    <w:rsid w:val="38C61141"/>
    <w:rsid w:val="3AB64AF2"/>
    <w:rsid w:val="3B1827B1"/>
    <w:rsid w:val="3C8E6ACE"/>
    <w:rsid w:val="3CDB7FEB"/>
    <w:rsid w:val="3EEF736F"/>
    <w:rsid w:val="3F712B75"/>
    <w:rsid w:val="412C00F9"/>
    <w:rsid w:val="419D07B6"/>
    <w:rsid w:val="422F6E93"/>
    <w:rsid w:val="43744B39"/>
    <w:rsid w:val="437525BA"/>
    <w:rsid w:val="439D6BD6"/>
    <w:rsid w:val="45CC22FD"/>
    <w:rsid w:val="45F9639D"/>
    <w:rsid w:val="462D62EE"/>
    <w:rsid w:val="464E04C3"/>
    <w:rsid w:val="46E77740"/>
    <w:rsid w:val="47064A15"/>
    <w:rsid w:val="475A05B3"/>
    <w:rsid w:val="486F1D86"/>
    <w:rsid w:val="48ED43E7"/>
    <w:rsid w:val="4B2217C3"/>
    <w:rsid w:val="4B7E1694"/>
    <w:rsid w:val="514F4C03"/>
    <w:rsid w:val="51606F4D"/>
    <w:rsid w:val="52D576F4"/>
    <w:rsid w:val="53CB006C"/>
    <w:rsid w:val="53F14E6D"/>
    <w:rsid w:val="544A4B2F"/>
    <w:rsid w:val="545455E7"/>
    <w:rsid w:val="54D64229"/>
    <w:rsid w:val="55A01A3D"/>
    <w:rsid w:val="56F414F7"/>
    <w:rsid w:val="59065CF6"/>
    <w:rsid w:val="5D227FA5"/>
    <w:rsid w:val="5D71680C"/>
    <w:rsid w:val="5DDC2735"/>
    <w:rsid w:val="5E6F29A3"/>
    <w:rsid w:val="5E727998"/>
    <w:rsid w:val="5E7B3720"/>
    <w:rsid w:val="60A907EA"/>
    <w:rsid w:val="6145544E"/>
    <w:rsid w:val="65765864"/>
    <w:rsid w:val="65B71FEF"/>
    <w:rsid w:val="662A6333"/>
    <w:rsid w:val="6703088E"/>
    <w:rsid w:val="67562897"/>
    <w:rsid w:val="68811EFE"/>
    <w:rsid w:val="6A677AB8"/>
    <w:rsid w:val="6BB32D2E"/>
    <w:rsid w:val="6C5C6D4D"/>
    <w:rsid w:val="6CC97342"/>
    <w:rsid w:val="6DB66A5E"/>
    <w:rsid w:val="6EA66996"/>
    <w:rsid w:val="6FD46267"/>
    <w:rsid w:val="6FF61580"/>
    <w:rsid w:val="701B1D7B"/>
    <w:rsid w:val="717627DA"/>
    <w:rsid w:val="72540698"/>
    <w:rsid w:val="728C5FE8"/>
    <w:rsid w:val="74623A23"/>
    <w:rsid w:val="74E86F57"/>
    <w:rsid w:val="76602884"/>
    <w:rsid w:val="76E75C21"/>
    <w:rsid w:val="7895384F"/>
    <w:rsid w:val="795C6BE6"/>
    <w:rsid w:val="7A4F799F"/>
    <w:rsid w:val="7D3F1AE1"/>
    <w:rsid w:val="7D567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720" w:firstLineChars="257"/>
    </w:pPr>
    <w:rPr>
      <w:kern w:val="0"/>
      <w:sz w:val="20"/>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1452</Words>
  <Characters>8281</Characters>
  <Lines>69</Lines>
  <Paragraphs>19</Paragraphs>
  <TotalTime>0</TotalTime>
  <ScaleCrop>false</ScaleCrop>
  <LinksUpToDate>false</LinksUpToDate>
  <CharactersWithSpaces>9714</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lenovo</cp:lastModifiedBy>
  <cp:lastPrinted>2022-07-27T12:55:00Z</cp:lastPrinted>
  <dcterms:modified xsi:type="dcterms:W3CDTF">2023-09-21T09:14:06Z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C02081F76A1C414C807C3137DC2EA958</vt:lpwstr>
  </property>
</Properties>
</file>