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_GBK" w:hAnsi="宋体" w:eastAsia="方正小标宋_GBK" w:cs="宋体"/>
                <w:color w:val="000000"/>
                <w:kern w:val="0"/>
                <w:sz w:val="40"/>
                <w:szCs w:val="40"/>
              </w:rPr>
              <w:t>岳阳市美术馆2022年度单位预算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36"/>
              </w:rPr>
              <w:t>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23、一般支出预算基本支出表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2" w:hRule="atLeast"/>
        </w:trPr>
        <w:tc>
          <w:tcPr>
            <w:tcW w:w="5000" w:type="pct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第一部分  2022年单位预算说明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一、单位基本概况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（一）职能职责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创作研究艺术、促进艺术繁荣。开展书法、美术、摄影创作、展览、教育以及艺术品收藏研究。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（二）机构设置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岳阳市美术馆内设机构包括七部一室：展览策划部、学术研究部、典藏部、宣传推广部、公共教育部、信息技术部、办公室。馆内1-3层为展厅，并设置公共教育室、会议室、体验室、临摹室、图书资料室、休闲区等多种配套服务设施。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二、单位预算单位购成</w:t>
            </w:r>
          </w:p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本单位预算仅含本级预算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三、单位收支总体情况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（一）收入预算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包括一般公共预算、政府性基金、国有资本经营预算等财政拨款收入，以及经营收入、事业收入等单位资金。2022年本单位收入预算151.49万元，其中，一般公共预算拨款151.49万元，政府性基金预算拨款0万元，所以公开的附件15-17（政府性基金预算）为空,国有资本经营预算拨款0万元，所以公开的附表18（国有资本经营预算）为空,财政专户管理资金0万元，所以公开的附表19表（财政专户管理资金预算）为空，上级补助收入0万元，事业单位经营收入0万元，上年结转结余0万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收入较去年增加57.87万元，主要是因为当年有新增人员，并且多了工会经费补助，物业服务补贴，综合绩效奖和平安岳阳建设奖和伙食补助。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（二）支出预算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ind w:firstLine="560"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ascii="仿宋_GB2312" w:hAnsi="仿宋_GB2312" w:eastAsia="宋体" w:cs="宋体"/>
                <w:kern w:val="0"/>
                <w:sz w:val="28"/>
                <w:szCs w:val="28"/>
              </w:rPr>
              <w:t>2022年本单位支出预算151.49万元，其中，文化旅游体育与传媒支出151.49万元，占比100.00%。</w:t>
            </w: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支出较去年增加57.87万元，其中基本支出增加20.28万元，项目支出增加37.59万元。其中基本支出较上年增加主要是因为当年有新增人员，增加了部分人员经费，项目支出增加主要是因为工会经费补助，物业服务补贴，综合绩效奖和平安岳阳建设奖和伙食补助</w:t>
            </w: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  <w:lang w:eastAsia="zh-CN"/>
              </w:rPr>
              <w:t>。</w:t>
            </w:r>
          </w:p>
          <w:p>
            <w:pPr>
              <w:widowControl/>
              <w:ind w:firstLine="560"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2022年预算公开文档第三大点（对应表3）、第四大点（对应表7）中的金额和百分比，由于预算编制时金额明细到了“分”，而公开表格显示和公开文档取数只到“百元”，可能导致0.01的尾数差异。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四、一般公共预算拨款支出预算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2022年本单位一般公共预算拨款支出预算151.49万元，其中，文化旅游体育与传媒支出151.49万元，占比100.00%。具体安排情况如下：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（一）基本支出：2022年基本支出年初预算数为117.83万元（数据来源见表7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FF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FF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仿宋_GB2312" w:hAnsi="仿宋_GB2312" w:eastAsia="宋体" w:cs="宋体"/>
                <w:color w:val="auto"/>
                <w:kern w:val="0"/>
                <w:sz w:val="28"/>
                <w:szCs w:val="28"/>
              </w:rPr>
              <w:t>（二）项目支出：2022年项目支出年初预算数为33.66万元（数据来源见表20），是指单位为完成特定行政工作任务或事业发展目标而发生的支出，包括有关业务工作经费、运行维护经费等。其中：</w:t>
            </w:r>
            <w:r>
              <w:rPr>
                <w:rFonts w:hint="eastAsia" w:ascii="仿宋_GB2312" w:hAnsi="仿宋_GB2312" w:eastAsia="宋体" w:cs="宋体"/>
                <w:color w:val="auto"/>
                <w:kern w:val="0"/>
                <w:sz w:val="28"/>
                <w:szCs w:val="28"/>
                <w:lang w:val="en-US" w:eastAsia="zh-CN"/>
              </w:rPr>
              <w:t>按项目管理的工资福利支出26.4万元，主要用于伙食补助4.4万元及预安排综合绩效奖和平安岳阳建设奖22万元；按项目管理的商品和服务支出7.26万元，主要用于工会经费补助3.3万元及物业服务补贴3.96万元等方面。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五、政府性基金预算支出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2022年度本单位无政府性基金安排的支出，所以公开的附件15-17（政府性基金预算）为空。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六、其他重要事项的情况说明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（一）机关运行经费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本单位2022年机关运行经费当年一般公共预算拨款10.64万元，比上一年增加2.5万元，增加30.71%。主要原因是有新增人员，对应的运行经费增加一点。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（二）“三公”经费预算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本单位2022年“三公”经费预算数0万元，其中，公务接待费0万元，因公出国（境）费0万元，公务用车购置及运行费0万元，其中公务用车购置费0万元，公务用车运行费0万元。跟上一年持平，主要原因是厉行节约，不增加三公经费开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（三）一般性支出情况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本单位2022年会议费预算0万元，拟召开0次会议，人数0人，内容为无；培训费预算0万元，2022年度本单位未计划安排会议，未计划举办节庆、晚会、论坛、赛事活动。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（四）政府采购情况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2022年度本单位未安排政府采购预算。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（五）国有资产占有使用及新增资产配置情况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截至上一年12月底，本单位共有车辆0辆，其中领导干部用车0辆，一般公务用车0辆，其他用车0辆。单位价值50万元以上通用设备0台，单位价值100万元以上专用设备0台。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2022年拟报废处置公务用车0辆，拟新增配置车辆0辆，其中领导干部用车0辆，一般公务用车0辆，其他用车0辆。</w:t>
            </w:r>
          </w:p>
          <w:p>
            <w:pPr>
              <w:widowControl/>
              <w:jc w:val="left"/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2022年拟新增配备单位价值50万元以上通用设备0台，单位价值100万元以上专用设备0台。</w:t>
            </w:r>
          </w:p>
          <w:p>
            <w:pPr>
              <w:widowControl/>
              <w:jc w:val="left"/>
              <w:rPr>
                <w:rFonts w:ascii="仿宋_GB2312" w:hAnsi="仿宋_GB2312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kern w:val="0"/>
                <w:sz w:val="28"/>
                <w:szCs w:val="28"/>
              </w:rPr>
              <w:t>2022年度本单位未计划处置或新增车辆、设备等。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（六）预算绩效目标说明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本单位所有支出实行绩效目标管理。纳入2022年部门整体支出绩效目标的金额为151.49万元，其中，基本支出117.83万元，项目支出33.66万元，详见文尾附表中单位预算公开表格的表21-22。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七、名词解释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、机关运行经费：是指各部门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 xml:space="preserve">  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6"/>
                <w:szCs w:val="36"/>
              </w:rPr>
              <w:t>第二部分  2022年单位预算公开表格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0" w:hRule="atLeast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收支总表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2、收入总表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3、支出总表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4、支出预算分类汇总表（按政府预算经济分类）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5、支出预算分类汇总表（按部门预算经济分类）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6、财政拨款收支总表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7、一般公共预算支出表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8、一般公共预算基本支出表-人员经费（工资福利支出）（按政府预算经济分类）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9、一般公共预算基本支出表-人员经费（工资福利支出）（按部门预算经济分类）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10、一般公共预算基本支出表-人员经费（对个人和家庭的补助）（按政府预算经济分类）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11、一般公共预算基本支出表-人员经费（对个人和家庭的补助）（按部门预算经济分类）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12、一般公共预算基本支出表-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经费（商品和服务支出）（按政府预算经济分类）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13、一般公共预算基本支出表-</w:t>
            </w: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公用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经费（商品和服务支出）（按部门预算经济分类）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14、一般公共预算“三公”经费支出表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15、政府性基金预算支出表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16、政府性基金预算支出分类汇总表（按政府预算经济分类）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17、政府性基金预算支出分类汇总表（按部门预算经济分类）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18、国有资本经营预算支出表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19、财政专户管理资金预算支出表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20、专项资金预算汇总表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21、项目支出绩效目标表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22、整体支出绩效目标表</w:t>
            </w:r>
          </w:p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23、一般支出预算基本支出表</w:t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仿宋_GB2312" w:hAnsi="仿宋_GB2312" w:eastAsia="宋体" w:cs="宋体"/>
                <w:color w:val="000000"/>
                <w:kern w:val="0"/>
                <w:sz w:val="28"/>
                <w:szCs w:val="28"/>
              </w:rPr>
              <w:t>注：以上单位预算公开报表中，空表表示本单位无相关收支情况。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63B25"/>
    <w:multiLevelType w:val="singleLevel"/>
    <w:tmpl w:val="A3263B2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BDEE0FA"/>
    <w:multiLevelType w:val="singleLevel"/>
    <w:tmpl w:val="FBDEE0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mQzMzY3MWU0ZjkwNjE0ZTcwMzYzOGVmOWE5YTYifQ=="/>
  </w:docVars>
  <w:rsids>
    <w:rsidRoot w:val="00B82069"/>
    <w:rsid w:val="0023252A"/>
    <w:rsid w:val="00B82069"/>
    <w:rsid w:val="122052E5"/>
    <w:rsid w:val="23C81026"/>
    <w:rsid w:val="63E40CCE"/>
    <w:rsid w:val="68F23F7B"/>
    <w:rsid w:val="6BDC15C4"/>
    <w:rsid w:val="73BD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2993</Words>
  <Characters>3211</Characters>
  <Lines>23</Lines>
  <Paragraphs>6</Paragraphs>
  <TotalTime>0</TotalTime>
  <ScaleCrop>false</ScaleCrop>
  <LinksUpToDate>false</LinksUpToDate>
  <CharactersWithSpaces>3263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2023-06-04T07:25:00Z</dcterms:created>
  <dc:creator>PC</dc:creator>
  <cp:lastModifiedBy>彬彬华圣酒店海外购</cp:lastModifiedBy>
  <dcterms:modified xsi:type="dcterms:W3CDTF">2023-09-23T07:23:11Z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31AB2BAF0CCE464C990CDBC098C1B2C0_12</vt:lpwstr>
  </property>
</Properties>
</file>