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岳阳市文化艺术会展中心2022年度单位预算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23：一般公共预算基本支出表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一、单位基本概况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（一）职能职责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中心主要承担着高雅艺术演出、进行中外文化交流、举行重要会议、培育文化艺术消费市场等社会公益职能。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（二）机构设置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岳阳市文化艺术会展中心为全拨款事业单位，在编9人，无离退休人员，隶属于文旅广局二级机构。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二、单位预算单位构成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本单位预算仅含本级预算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三、单位收支总体情况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包括一般公共预算、政府性基金、国有资本经营预算等财政拨款收入，以及经营收入、事业收入等单位资金。2022年本单位收入预算379.62万元，其中，一般公共预算拨款379.62万元，政府性基金预算拨款0万元，所以公开的附件15-17（政府性基金预算）为空,国有资本经营预算拨款0万元，所以公开的附表18（国有资本经营预算）为空,财政专户管理资金0万元，所以公开的附表19表（财政专户管理资金预算）为空，上级补助收入0万元，事业单位经营收入0万元，上年结转结余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收入较去年增加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万元，主要是因为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人员经费增加。</w:t>
            </w:r>
          </w:p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说明：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2022年预算公开文档第三大点（对应表3）、第四大点（对应表7）中的金额和百分比、由于预算编制时金额明细到了“分”，而公开表格显示和公开文档取数只到“百元”，可能导致0.01的尾数差异。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本单位支出预算379.62万元，其中，文化旅游体育与传媒支出357.84万元，占比94.26%，社会保障和就业支出9.62万元，占比2.53%，卫生健康支出4.95万元，占比1.30%，住房保障支出7.22万元，占比1.90%。支出较去年增加/减少0万元，其中基本支出增加/减少0万元，项目支出增加/减少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本单位一般公共预算拨款支出预算379.62万元，其中，文化旅游体育与传媒支出357.84万元，占比94.26%，社会保障和就业支出9.62万元，占比2.53%，卫生健康支出4.95万元，占比1.30%，住房保障支出7.22万元，占比1.90%。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（一）基本支出：2022年基本支出年初预算数为91.91万元（数据来源见表7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二）项目支出：2022年项目支出年初预算数为287.71万元（数据来源见表20），是指单位为完成特定行政工作任务或事业发展目标而发生的支出，包括有关业务工作经费、运行维护经费等。其中：定额补助255.55万元，主要用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水、电、物业管理费、维修等日常开支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方面，工会经费补助2.7万元，主要用于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工会日常开支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方面，伙食补助3.6万元，主要用于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食堂开支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方面，绩效与平安建设奖18万元，主要用于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绩效工资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方面，物业服务补贴3.24万元，主要用于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物业补贴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方面，非税收入征收成本4.62万元，主要用于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日常维修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方面。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五、政府性基金预算支出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2022年度本单位无政府性基金安排的支出，所以公开的附件15-17（政府性基金预算）为空。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2022年本单位的机关运行经费9.08万元（数据来源见表12），比上一年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基本持平。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本单位2022年“三公”经费预算数0万元，其中，公务接待费0万元，因公出国（境）费0万元，公务用车购置及运行费0万元。比2021年增加/减少0万元，增加/降低0%。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本单位2022年度预算未计划安排会议、培训、未计划举办节庆、晚会、论坛、赛事活动。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本单位2022年度本单位未安排政府采购预算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截至上一年12月底，本单位共有车辆0辆，其中领导干部用车0辆，一般公务用车0辆，其他用车0辆。单位价值50万元以上通用设备0台，单位价值100万元以上专用设备0台。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2022年拟报废处置公务用车0辆，拟新增配置车辆0辆，其中领导干部用车0辆，一般公务用车0辆，其他用车0辆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2022年拟新增配备领导干部用车0辆，一般公务用车0辆，其他用车0辆，新增配备单位价值50万元以上通用设备0台，单位价值100万元以上专用设备0台。2022年度本单位预算未计划处置或新增车辆、设备。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本单位所有支出实行绩效目标管理。纳入2022年部门整体支出绩效目标的金额为379.62万元，其中，基本支出91.91万元，项目支出287.71万元，详见文尾附表中单位预算公开表格的表21-22。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七、名词解释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公用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081D2D"/>
    <w:multiLevelType w:val="singleLevel"/>
    <w:tmpl w:val="75081D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3D"/>
    <w:rsid w:val="000C65FF"/>
    <w:rsid w:val="003D3591"/>
    <w:rsid w:val="00576F3D"/>
    <w:rsid w:val="23B36B4C"/>
    <w:rsid w:val="33AE7080"/>
    <w:rsid w:val="36B9012D"/>
    <w:rsid w:val="541F7CBF"/>
    <w:rsid w:val="5DF338F2"/>
    <w:rsid w:val="7CC56470"/>
    <w:rsid w:val="7DCB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496</Words>
  <Characters>2833</Characters>
  <Lines>23</Lines>
  <Paragraphs>6</Paragraphs>
  <TotalTime>38</TotalTime>
  <ScaleCrop>false</ScaleCrop>
  <LinksUpToDate>false</LinksUpToDate>
  <CharactersWithSpaces>3323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2023-06-04T07:11:00Z</dcterms:created>
  <dc:creator>PC</dc:creator>
  <cp:lastModifiedBy>Administrator</cp:lastModifiedBy>
  <dcterms:modified xsi:type="dcterms:W3CDTF">2023-09-22T08:40:40Z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CB0C8F77D50D4B51A9F611917C600D3D</vt:lpwstr>
  </property>
</Properties>
</file>