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岳阳市人民政府办公室2022年度部门预算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jc w:val="left"/>
              <w:rPr>
                <w:rFonts w:ascii="仿宋_GB2312" w:hAnsi="宋体" w:eastAsia="仿宋_GB2312" w:cs="宋体"/>
                <w:color w:val="000000"/>
                <w:kern w:val="0"/>
                <w:sz w:val="28"/>
                <w:szCs w:val="28"/>
              </w:rPr>
            </w:pPr>
            <w:r>
              <w:rPr>
                <w:rFonts w:ascii="仿宋_GB2312" w:hAnsi="Times New Roman" w:eastAsia="仿宋_GB2312" w:cs="仿宋_GB2312"/>
                <w:kern w:val="0"/>
                <w:sz w:val="32"/>
                <w:szCs w:val="32"/>
                <w:lang w:val="zh-CN"/>
              </w:rPr>
              <w:t>23</w:t>
            </w:r>
            <w:r>
              <w:rPr>
                <w:rFonts w:hint="eastAsia" w:ascii="仿宋_GB2312" w:hAnsi="Times New Roman" w:eastAsia="仿宋_GB2312" w:cs="仿宋_GB2312"/>
                <w:kern w:val="0"/>
                <w:sz w:val="32"/>
                <w:szCs w:val="32"/>
                <w:lang w:val="zh-CN"/>
              </w:rPr>
              <w:t>、一般公共预算基本支出表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一、部门基本概况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（1）协助市政府领导同志审核或组织起草以市政府、市政府办公室名义发布的公文。</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（2）研究市政府各部门和各县市区人民政府请示市政府的事项，提出审核意见，报市政府领导同志审批。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（3）负责市政府会议的组织和服务工作，协助实施会议决定事项。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（4）根据市政府领导同志的指示或工作需要，对有关问题进行协调，提出处理意见，报市政府领导同志决定。</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（5）办理中央、省政府和市政府领导同志的批示，并督促落实。督促检查市政府各部门和各县市区政府对市政府决定事项的执行落实情况，及时向市政府报告。</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（6）组织开展人大代表建议、政协提案办理工作。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（7）负责向省政府和市政府领导同志报告重要信息和情况；负责市政府值班工作。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（8）指导、协调、推进全市行政审批制度改革、优化营商环境、政务公开（政府信息公开、办事公开）、电子政务工作。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（9）负责市政府机关大院的行政事务、综合治理和安全保卫工作。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（10）承办市委和市政府交办的其他事项。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根据市委编办核定:市政府办内设科室19个，所属事业单位1个，下属管理单位5个。</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所属事业单位是机关事务管理中心。</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下属管理单位中，有正处级单位2个，为市政府驻北京联络处、市政府驻上海联络处；副处级单位2个，为市政府驻长沙联络处、市政府12345热线服务中心；正科级单位1个，市政府驻广州深圳联络办公室。</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本年度我单位预算编制在职人数为147人，退休171人，离休1人。</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二、部门预算单位构成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本部门预算为汇总预算，纳入编制范围的预算单位仅为岳阳市人民政府办公室本级，无独立核算的二级机构。</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4560.79万元，其中，一般公共预算拨款4560.79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收入较去年增加598.05万元，主要是因为新增工会经费等运转类专项。</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ind w:firstLine="55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部门支出预算4560.79万元，其中，一般公共服务支出4147.28万元，占比90.93%，社会保障和就业支出179.76万元，占比3.94%，卫生健康支出110.38万元，占比2.42%，住房保障支出123.38万元，占比2.71%。支出较去年增加598.05万元，主要是因为新增工会福利等运转类支出。</w:t>
            </w:r>
          </w:p>
          <w:p>
            <w:pPr>
              <w:widowControl/>
              <w:ind w:firstLine="555"/>
              <w:jc w:val="left"/>
              <w:rPr>
                <w:rFonts w:ascii="仿宋_GB2312" w:hAnsi="宋体" w:eastAsia="仿宋_GB2312" w:cs="宋体"/>
                <w:kern w:val="0"/>
                <w:sz w:val="28"/>
                <w:szCs w:val="28"/>
              </w:rPr>
            </w:pPr>
            <w:r>
              <w:rPr>
                <w:rFonts w:ascii="仿宋_GB2312" w:hAnsi="Times New Roman" w:eastAsia="仿宋_GB2312" w:cs="仿宋_GB2312"/>
                <w:kern w:val="0"/>
                <w:sz w:val="32"/>
                <w:szCs w:val="32"/>
                <w:lang w:val="zh-CN"/>
              </w:rPr>
              <w:t>2022</w:t>
            </w:r>
            <w:r>
              <w:rPr>
                <w:rFonts w:hint="eastAsia" w:ascii="仿宋_GB2312" w:hAnsi="Times New Roman" w:eastAsia="仿宋_GB2312" w:cs="仿宋_GB2312"/>
                <w:kern w:val="0"/>
                <w:sz w:val="32"/>
                <w:szCs w:val="32"/>
                <w:lang w:val="zh-CN"/>
              </w:rPr>
              <w:t>年预算公开文档第三大点（对应表</w:t>
            </w:r>
            <w:r>
              <w:rPr>
                <w:rFonts w:ascii="仿宋_GB2312" w:hAnsi="Times New Roman" w:eastAsia="仿宋_GB2312" w:cs="仿宋_GB2312"/>
                <w:kern w:val="0"/>
                <w:sz w:val="32"/>
                <w:szCs w:val="32"/>
                <w:lang w:val="zh-CN"/>
              </w:rPr>
              <w:t>3</w:t>
            </w:r>
            <w:r>
              <w:rPr>
                <w:rFonts w:hint="eastAsia" w:ascii="仿宋_GB2312" w:hAnsi="Times New Roman" w:eastAsia="仿宋_GB2312" w:cs="仿宋_GB2312"/>
                <w:kern w:val="0"/>
                <w:sz w:val="32"/>
                <w:szCs w:val="32"/>
                <w:lang w:val="zh-CN"/>
              </w:rPr>
              <w:t>）、第四大点（对应表</w:t>
            </w:r>
            <w:r>
              <w:rPr>
                <w:rFonts w:ascii="仿宋_GB2312" w:hAnsi="Times New Roman" w:eastAsia="仿宋_GB2312" w:cs="仿宋_GB2312"/>
                <w:kern w:val="0"/>
                <w:sz w:val="32"/>
                <w:szCs w:val="32"/>
                <w:lang w:val="zh-CN"/>
              </w:rPr>
              <w:t>7</w:t>
            </w:r>
            <w:r>
              <w:rPr>
                <w:rFonts w:hint="eastAsia" w:ascii="仿宋_GB2312" w:hAnsi="Times New Roman" w:eastAsia="仿宋_GB2312" w:cs="仿宋_GB2312"/>
                <w:kern w:val="0"/>
                <w:sz w:val="32"/>
                <w:szCs w:val="32"/>
                <w:lang w:val="zh-CN"/>
              </w:rPr>
              <w:t>）中的金额和百分比，由于预算编制时金额明细到了</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分</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，而公开表格显示和公开文档取数只到</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百元</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，可能导致</w:t>
            </w:r>
            <w:r>
              <w:rPr>
                <w:rFonts w:ascii="仿宋_GB2312" w:hAnsi="Times New Roman" w:eastAsia="仿宋_GB2312" w:cs="仿宋_GB2312"/>
                <w:kern w:val="0"/>
                <w:sz w:val="32"/>
                <w:szCs w:val="32"/>
                <w:lang w:val="zh-CN"/>
              </w:rPr>
              <w:t>0.01</w:t>
            </w:r>
            <w:r>
              <w:rPr>
                <w:rFonts w:hint="eastAsia" w:ascii="仿宋_GB2312" w:hAnsi="Times New Roman" w:eastAsia="仿宋_GB2312" w:cs="仿宋_GB2312"/>
                <w:kern w:val="0"/>
                <w:sz w:val="32"/>
                <w:szCs w:val="32"/>
                <w:lang w:val="zh-CN"/>
              </w:rPr>
              <w:t>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4560.79万元，其中，一般公共服务支出4147.28万元，占比90.93%，社会保障和就业支出179.76万元，占比3.94%，卫生健康支出110.38万元，占比2.42%，住房保障支出123.38万元，占比2.71%。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1966.24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2594.55万元，是指单位为完成特定行政工作任务或事业发展目标而发生的支出，包括有关业务工作经费、运行维护经费等。其中：政府办(含归口管理单位)工作经费专项支出519.60万元，主要用于督察督办、应急管理、维稳、派驻机构工作等；机关运行经费专项支出678.60万元，主要用于机关运行服务等；12345水电及网格工作经费专项支出22.80万元，主要用于热线服务中心工作专项；湖南日报社岳阳记者站工作经费专项支出13.50万元，主要用于湖南日报社驻岳阳记者站工作专项；非税执收专项支出393.09万元，主要用于派驻机构工作专项等；工会经费专项支出94.80万元，主要用于职工工会经费开支；伙食补助专项支出126.40万元，主要用于职工伙食补助开支；物业补贴专项支出113.76万元，主要用于职工物业补贴开支；预安排绩效考核奖及平安建设奖专项支出632.00万元，主要是用于职工绩效考核奖励及平安建设奖励开支。</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2022年本部门岳阳市人民政府办公室机关本级共1家行政事业单位的机关运行经费503.71万元，比上一年增加40.53万元，增加8.75%。主要原因是公务交通补贴预算安排比例提高。</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2022年本部门机关本级合计1家行政事业单位“三公”经费预算数385.16万元，其中，公务接待费142.28万元，因公出国（境）费16.20万元，公务用车购置及运行费226.68万元（其中，公务用车购置费17.98万元，公务用车运行费208.70万元）。2022年三公经费预算较上年减少2.02万元，主要原因是本年度按照要求，厉行节约。</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22022年本部门会议费预算15万元，拟召开40次会议，人数2400人，内容为市政府办公会、优化营商环境会议等；培训费预算5.00万元，拟开展6次培训，人数300人，内容为公文知识及写作技巧、禁毒知识等相关培训；计划举办节庆、晚会、论坛、赛事活动0万元，2022年度本部门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2022年本部门政府采购预算总额1805.00万元，其中工程类40.00万元，货物类400.00万元，服务类1365.00万元。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截至上年底，本部门共有车辆27辆，其中领导干部用车1辆，一般公务用车25辆，其他用车1辆。单位价值50万元以上通用设备11台，单位价值100万元以上专用设备0台。</w:t>
            </w:r>
          </w:p>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2022年拟报废处置公务用车1辆，拟新增配置车辆1辆，其中领导干部用车0辆，一般公务用车1辆，其他用车0辆，主要用于机要通信，资金来源为财政拨款。</w:t>
            </w:r>
          </w:p>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2022年拟新增配备领导干部用车0辆，一般公务用车1辆，其他用车0辆，新增配备单位价值50万元以上通用设备0台，单位价值100万元以上专用设备0台。</w:t>
            </w:r>
          </w:p>
          <w:p>
            <w:pPr>
              <w:widowControl/>
              <w:ind w:firstLine="280" w:firstLineChars="100"/>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本部门所有支出实行绩效目标管理。纳入2022年部门整体支出绩效目标的金额为4560.79万元，其中，基本支出1966.24万元，项目支出2594.55万元，详见文尾附表中部门预算公开表格的表21-22。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bookmarkStart w:id="0" w:name="_GoBack"/>
            <w:bookmarkEnd w:id="0"/>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numId w:val="0"/>
              </w:numPr>
              <w:jc w:val="left"/>
              <w:rPr>
                <w:rFonts w:ascii="仿宋_GB2312" w:hAnsi="宋体" w:eastAsia="仿宋_GB2312" w:cs="宋体"/>
                <w:color w:val="000000"/>
                <w:kern w:val="0"/>
                <w:sz w:val="28"/>
                <w:szCs w:val="28"/>
              </w:rPr>
            </w:pPr>
            <w:r>
              <w:rPr>
                <w:rFonts w:ascii="仿宋_GB2312" w:hAnsi="Times New Roman" w:eastAsia="仿宋_GB2312" w:cs="仿宋_GB2312"/>
                <w:kern w:val="0"/>
                <w:sz w:val="32"/>
                <w:szCs w:val="32"/>
                <w:lang w:val="zh-CN"/>
              </w:rPr>
              <w:t>23</w:t>
            </w:r>
            <w:r>
              <w:rPr>
                <w:rFonts w:hint="eastAsia" w:ascii="仿宋_GB2312" w:hAnsi="Times New Roman" w:eastAsia="仿宋_GB2312" w:cs="仿宋_GB2312"/>
                <w:kern w:val="0"/>
                <w:sz w:val="32"/>
                <w:szCs w:val="32"/>
                <w:lang w:val="zh-CN"/>
              </w:rPr>
              <w:t>、一般公共预算基本支出表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6F479"/>
    <w:multiLevelType w:val="singleLevel"/>
    <w:tmpl w:val="E9A6F4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ExYTk2ODNkM2JjMjhmOGQ1OTBkMDcxNmY3M2Y0OWUifQ=="/>
  </w:docVars>
  <w:rsids>
    <w:rsidRoot w:val="00D8290C"/>
    <w:rsid w:val="00395E29"/>
    <w:rsid w:val="003B3987"/>
    <w:rsid w:val="00404BAE"/>
    <w:rsid w:val="007D1570"/>
    <w:rsid w:val="008A341D"/>
    <w:rsid w:val="008D3E6D"/>
    <w:rsid w:val="00B91836"/>
    <w:rsid w:val="00B926BF"/>
    <w:rsid w:val="00D8290C"/>
    <w:rsid w:val="00EE4AA2"/>
    <w:rsid w:val="00F5133C"/>
    <w:rsid w:val="1EA272EA"/>
    <w:rsid w:val="3C5B3D59"/>
    <w:rsid w:val="4ECB6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3850</Words>
  <Characters>4238</Characters>
  <Lines>31</Lines>
  <Paragraphs>8</Paragraphs>
  <TotalTime>1</TotalTime>
  <ScaleCrop>false</ScaleCrop>
  <LinksUpToDate>false</LinksUpToDate>
  <CharactersWithSpaces>4282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2023-09-05T03:22:00Z</dcterms:created>
  <dc:creator>微软用户</dc:creator>
  <cp:lastModifiedBy>zyh</cp:lastModifiedBy>
  <dcterms:modified xsi:type="dcterms:W3CDTF">2023-09-24T10:31:11Z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FD148F7A28D94F94BE663974252DADA6</vt:lpwstr>
  </property>
</Properties>
</file>