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72"/>
          <w:szCs w:val="72"/>
        </w:rPr>
      </w:pPr>
      <w:r>
        <w:rPr>
          <w:rFonts w:hint="eastAsia"/>
          <w:sz w:val="72"/>
          <w:szCs w:val="72"/>
        </w:rPr>
        <w:t>2021年度</w:t>
      </w:r>
    </w:p>
    <w:p>
      <w:pPr>
        <w:pStyle w:val="12"/>
        <w:ind w:left="-315" w:leftChars="-150" w:right="-315" w:rightChars="-150"/>
        <w:jc w:val="center"/>
        <w:rPr>
          <w:sz w:val="84"/>
          <w:szCs w:val="84"/>
        </w:rPr>
      </w:pPr>
      <w:r>
        <w:rPr>
          <w:rFonts w:hint="eastAsia"/>
          <w:sz w:val="72"/>
          <w:szCs w:val="72"/>
        </w:rPr>
        <w:t>中共岳阳市委宣传部部门决算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40" w:lineRule="exact"/>
        <w:jc w:val="center"/>
        <w:rPr>
          <w:sz w:val="56"/>
          <w:szCs w:val="56"/>
        </w:rPr>
      </w:pPr>
    </w:p>
    <w:p>
      <w:pPr>
        <w:pStyle w:val="12"/>
        <w:spacing w:line="540" w:lineRule="exact"/>
        <w:jc w:val="center"/>
        <w:rPr>
          <w:sz w:val="56"/>
          <w:szCs w:val="56"/>
        </w:rPr>
      </w:pPr>
    </w:p>
    <w:p>
      <w:pPr>
        <w:pStyle w:val="12"/>
        <w:spacing w:line="540" w:lineRule="exact"/>
        <w:jc w:val="center"/>
        <w:rPr>
          <w:sz w:val="56"/>
          <w:szCs w:val="56"/>
        </w:rPr>
      </w:pPr>
    </w:p>
    <w:p>
      <w:pPr>
        <w:pStyle w:val="12"/>
        <w:spacing w:line="500" w:lineRule="exact"/>
        <w:jc w:val="center"/>
        <w:rPr>
          <w:b/>
          <w:sz w:val="36"/>
          <w:szCs w:val="28"/>
        </w:rPr>
      </w:pPr>
    </w:p>
    <w:p>
      <w:pPr>
        <w:pStyle w:val="12"/>
        <w:pageBreakBefore/>
        <w:spacing w:line="500" w:lineRule="exact"/>
        <w:jc w:val="center"/>
        <w:rPr>
          <w:b/>
          <w:sz w:val="36"/>
          <w:szCs w:val="28"/>
        </w:rPr>
      </w:pPr>
    </w:p>
    <w:p>
      <w:pPr>
        <w:pStyle w:val="12"/>
        <w:spacing w:line="480" w:lineRule="exact"/>
        <w:jc w:val="center"/>
        <w:rPr>
          <w:b/>
          <w:sz w:val="36"/>
          <w:szCs w:val="28"/>
        </w:rPr>
      </w:pPr>
      <w:r>
        <w:rPr>
          <w:rFonts w:hint="eastAsia"/>
          <w:b/>
          <w:sz w:val="36"/>
          <w:szCs w:val="28"/>
        </w:rPr>
        <w:t>目录</w:t>
      </w:r>
    </w:p>
    <w:p>
      <w:pPr>
        <w:pStyle w:val="12"/>
        <w:spacing w:line="480" w:lineRule="exact"/>
        <w:rPr>
          <w:rFonts w:ascii="仿宋_GB2312" w:hAnsi="仿宋_GB2312" w:cs="仿宋_GB2312"/>
          <w:b/>
          <w:sz w:val="28"/>
          <w:szCs w:val="28"/>
        </w:rPr>
      </w:pPr>
      <w:r>
        <w:rPr>
          <w:rFonts w:hint="eastAsia"/>
          <w:b/>
          <w:sz w:val="28"/>
          <w:szCs w:val="28"/>
        </w:rPr>
        <w:t>第一部分宣传部单位概况</w:t>
      </w:r>
    </w:p>
    <w:p>
      <w:pPr>
        <w:pStyle w:val="12"/>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一、部门职责</w:t>
      </w:r>
    </w:p>
    <w:p>
      <w:pPr>
        <w:pStyle w:val="12"/>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二、机构设置</w:t>
      </w:r>
      <w:r>
        <w:rPr>
          <w:rFonts w:hint="eastAsia" w:ascii="宋体" w:hAnsi="宋体" w:eastAsia="宋体" w:cs="仿宋_GB2312"/>
          <w:sz w:val="28"/>
          <w:szCs w:val="28"/>
        </w:rPr>
        <w:t>及决算单位构成</w:t>
      </w:r>
    </w:p>
    <w:p>
      <w:pPr>
        <w:pStyle w:val="12"/>
        <w:spacing w:line="48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w:t>
      </w:r>
      <w:r>
        <w:rPr>
          <w:rFonts w:hAnsi="仿宋_GB2312"/>
          <w:b/>
          <w:sz w:val="28"/>
          <w:szCs w:val="28"/>
        </w:rPr>
        <w:t>1</w:t>
      </w:r>
      <w:r>
        <w:rPr>
          <w:rFonts w:hint="eastAsia" w:hAnsi="仿宋_GB2312"/>
          <w:b/>
          <w:sz w:val="28"/>
          <w:szCs w:val="28"/>
        </w:rPr>
        <w:t>年度部门决算表</w:t>
      </w:r>
    </w:p>
    <w:p>
      <w:pPr>
        <w:pStyle w:val="12"/>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一、收入支出决算总表</w:t>
      </w:r>
    </w:p>
    <w:p>
      <w:pPr>
        <w:pStyle w:val="12"/>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二、收入决算表</w:t>
      </w:r>
    </w:p>
    <w:p>
      <w:pPr>
        <w:pStyle w:val="12"/>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三、支出决算表</w:t>
      </w:r>
    </w:p>
    <w:p>
      <w:pPr>
        <w:pStyle w:val="12"/>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四、财政拨款收入支出决算总表</w:t>
      </w:r>
    </w:p>
    <w:p>
      <w:pPr>
        <w:pStyle w:val="12"/>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五、一般公共预算财政拨款支出决算表</w:t>
      </w:r>
    </w:p>
    <w:p>
      <w:pPr>
        <w:pStyle w:val="12"/>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六、一般公共预算财政拨款</w:t>
      </w:r>
      <w:bookmarkStart w:id="0" w:name="_GoBack"/>
      <w:bookmarkEnd w:id="0"/>
      <w:r>
        <w:rPr>
          <w:rFonts w:ascii="宋体" w:hAnsi="宋体" w:eastAsia="宋体" w:cs="仿宋_GB2312"/>
          <w:sz w:val="28"/>
          <w:szCs w:val="28"/>
        </w:rPr>
        <w:t>基本支出决算表</w:t>
      </w:r>
    </w:p>
    <w:p>
      <w:pPr>
        <w:pStyle w:val="12"/>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七、一般公共预算财政拨款“三公”经费支出决算表</w:t>
      </w:r>
    </w:p>
    <w:p>
      <w:pPr>
        <w:pStyle w:val="12"/>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八、政府性基金预算财政拨款收入支出决算表</w:t>
      </w:r>
    </w:p>
    <w:p>
      <w:pPr>
        <w:pStyle w:val="12"/>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12"/>
        <w:spacing w:line="48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w:t>
      </w:r>
      <w:r>
        <w:rPr>
          <w:rFonts w:hAnsi="仿宋_GB2312"/>
          <w:b/>
          <w:sz w:val="28"/>
          <w:szCs w:val="28"/>
        </w:rPr>
        <w:t>1</w:t>
      </w:r>
      <w:r>
        <w:rPr>
          <w:rFonts w:hint="eastAsia" w:hAnsi="仿宋_GB2312"/>
          <w:b/>
          <w:sz w:val="28"/>
          <w:szCs w:val="28"/>
        </w:rPr>
        <w:t>年度部门决算情况说明</w:t>
      </w:r>
    </w:p>
    <w:p>
      <w:pPr>
        <w:pStyle w:val="12"/>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一、收入支出决算总体情况说明</w:t>
      </w:r>
    </w:p>
    <w:p>
      <w:pPr>
        <w:spacing w:line="48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48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48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48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48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48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48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十四、关于2021年度预算绩效情况的说明</w:t>
      </w:r>
    </w:p>
    <w:p>
      <w:pPr>
        <w:autoSpaceDE w:val="0"/>
        <w:autoSpaceDN w:val="0"/>
        <w:adjustRightInd w:val="0"/>
        <w:spacing w:line="48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48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pageBreakBefore/>
        <w:jc w:val="center"/>
        <w:rPr>
          <w:sz w:val="72"/>
          <w:szCs w:val="72"/>
        </w:rPr>
        <w:sectPr>
          <w:headerReference r:id="rId3" w:type="default"/>
          <w:pgSz w:w="11906" w:h="16838"/>
          <w:pgMar w:top="1701" w:right="1417" w:bottom="1417" w:left="1417" w:header="851" w:footer="992" w:gutter="0"/>
          <w:cols w:space="425" w:num="1"/>
          <w:docGrid w:type="lines" w:linePitch="312" w:charSpace="0"/>
        </w:sectPr>
      </w:pPr>
    </w:p>
    <w:p>
      <w:pPr>
        <w:pageBreakBefore/>
        <w:jc w:val="center"/>
        <w:rPr>
          <w:sz w:val="72"/>
          <w:szCs w:val="72"/>
        </w:rPr>
      </w:pPr>
    </w:p>
    <w:p>
      <w:pPr>
        <w:rPr>
          <w:sz w:val="72"/>
          <w:szCs w:val="72"/>
        </w:rPr>
      </w:pPr>
    </w:p>
    <w:p>
      <w:pPr>
        <w:pStyle w:val="12"/>
        <w:jc w:val="center"/>
        <w:rPr>
          <w:sz w:val="72"/>
          <w:szCs w:val="72"/>
        </w:rPr>
      </w:pPr>
      <w:r>
        <w:rPr>
          <w:rFonts w:hint="eastAsia"/>
          <w:sz w:val="72"/>
          <w:szCs w:val="72"/>
        </w:rPr>
        <w:t>第一部分</w:t>
      </w:r>
    </w:p>
    <w:p>
      <w:pPr>
        <w:pStyle w:val="12"/>
        <w:jc w:val="center"/>
        <w:rPr>
          <w:sz w:val="72"/>
          <w:szCs w:val="72"/>
        </w:rPr>
      </w:pPr>
    </w:p>
    <w:p>
      <w:pPr>
        <w:pStyle w:val="12"/>
        <w:jc w:val="center"/>
        <w:rPr>
          <w:sz w:val="72"/>
          <w:szCs w:val="72"/>
        </w:rPr>
      </w:pPr>
      <w:r>
        <w:rPr>
          <w:rFonts w:hint="eastAsia"/>
          <w:sz w:val="72"/>
          <w:szCs w:val="72"/>
        </w:rPr>
        <w:t>中共岳阳市委宣传部概况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firstLine="0" w:firstLineChars="0"/>
        <w:jc w:val="left"/>
        <w:rPr>
          <w:rFonts w:ascii="黑体" w:hAnsi="黑体" w:eastAsia="黑体"/>
          <w:sz w:val="32"/>
          <w:szCs w:val="32"/>
        </w:rPr>
      </w:pPr>
    </w:p>
    <w:p>
      <w:pPr>
        <w:pStyle w:val="13"/>
        <w:numPr>
          <w:ilvl w:val="0"/>
          <w:numId w:val="1"/>
        </w:numPr>
        <w:spacing w:line="500" w:lineRule="exact"/>
        <w:ind w:left="0" w:firstLine="560"/>
        <w:rPr>
          <w:rFonts w:ascii="黑体" w:hAnsi="黑体" w:eastAsia="黑体"/>
          <w:sz w:val="28"/>
          <w:szCs w:val="28"/>
        </w:rPr>
      </w:pPr>
      <w:r>
        <w:rPr>
          <w:rFonts w:ascii="黑体" w:hAnsi="黑体" w:eastAsia="黑体"/>
          <w:sz w:val="28"/>
          <w:szCs w:val="28"/>
        </w:rPr>
        <w:t>部门职责</w:t>
      </w:r>
    </w:p>
    <w:p>
      <w:pPr>
        <w:pStyle w:val="6"/>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中共岳阳市委宣传部（以下简称市委宣传部）是市委主管意识形态方面工作的职能部门,加挂市新闻出版局（市版权局）、市精神文明建设指导委员会办公室、市政府新闻办公室牌子。</w:t>
      </w:r>
    </w:p>
    <w:p>
      <w:pPr>
        <w:spacing w:line="500" w:lineRule="exact"/>
        <w:ind w:firstLine="560" w:firstLineChars="200"/>
        <w:rPr>
          <w:rFonts w:ascii="黑体" w:hAnsi="黑体" w:eastAsia="黑体"/>
          <w:bCs/>
          <w:kern w:val="0"/>
          <w:sz w:val="28"/>
          <w:szCs w:val="28"/>
        </w:rPr>
      </w:pPr>
      <w:r>
        <w:rPr>
          <w:rFonts w:hint="eastAsia" w:ascii="黑体" w:hAnsi="黑体" w:eastAsia="黑体"/>
          <w:bCs/>
          <w:kern w:val="0"/>
          <w:sz w:val="28"/>
          <w:szCs w:val="28"/>
        </w:rPr>
        <w:t>二、机构设置及决算单位构成</w:t>
      </w:r>
    </w:p>
    <w:p>
      <w:pPr>
        <w:pStyle w:val="6"/>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（一）内设机构设置</w:t>
      </w:r>
    </w:p>
    <w:p>
      <w:pPr>
        <w:pStyle w:val="6"/>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根据编委核定，市委宣传部由18个内设科室，1个正科级事业单位构成。内设科室分别是办公室、理论科、新闻科、文艺电影科、文明一科、文明二科、宣传教育科、政策法规和舆情信息科、文改办、推广发布科、政工科、版权科、出版传媒印刷发行科、意识形态科、离退休干部科、机关党委、机关工会、机关纪委，正科级事业单位是新时代文明实践服务中心。</w:t>
      </w:r>
    </w:p>
    <w:p>
      <w:pPr>
        <w:pStyle w:val="6"/>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（二）决算单位构成</w:t>
      </w:r>
    </w:p>
    <w:p>
      <w:pPr>
        <w:pStyle w:val="6"/>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本单位只有本级，没有其</w:t>
      </w:r>
      <w:r>
        <w:rPr>
          <w:rFonts w:hint="eastAsia" w:ascii="瀹嬩綋" w:eastAsia="瀹嬩綋"/>
          <w:color w:val="000000"/>
        </w:rPr>
        <w:t>他</w:t>
      </w:r>
      <w:r>
        <w:rPr>
          <w:rFonts w:hint="eastAsia" w:ascii="瀹嬩綋" w:eastAsia="瀹嬩綋"/>
          <w:color w:val="000000"/>
          <w:sz w:val="28"/>
          <w:szCs w:val="28"/>
        </w:rPr>
        <w:t>二级预算单位。</w:t>
      </w:r>
    </w:p>
    <w:p>
      <w:pPr>
        <w:jc w:val="left"/>
        <w:rPr>
          <w:rFonts w:ascii="仿宋_GB2312" w:hAnsi="宋体" w:eastAsia="仿宋_GB2312"/>
          <w:sz w:val="28"/>
          <w:szCs w:val="32"/>
        </w:rPr>
      </w:pP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jc w:val="center"/>
        <w:rPr>
          <w:rFonts w:ascii="黑体" w:hAnsi="黑体" w:eastAsia="黑体" w:cs="黑体"/>
          <w:sz w:val="72"/>
          <w:szCs w:val="72"/>
        </w:rPr>
      </w:pPr>
      <w:r>
        <w:rPr>
          <w:rFonts w:hint="eastAsia" w:ascii="黑体" w:hAnsi="黑体" w:eastAsia="黑体" w:cs="黑体"/>
          <w:sz w:val="72"/>
          <w:szCs w:val="72"/>
        </w:rPr>
        <w:t>第二部分</w:t>
      </w:r>
    </w:p>
    <w:p>
      <w:pPr>
        <w:jc w:val="center"/>
        <w:rPr>
          <w:rFonts w:ascii="黑体" w:hAnsi="黑体" w:eastAsia="黑体" w:cs="黑体"/>
          <w:sz w:val="72"/>
          <w:szCs w:val="72"/>
        </w:rPr>
      </w:pPr>
      <w:r>
        <w:rPr>
          <w:rFonts w:hint="eastAsia" w:ascii="黑体" w:hAnsi="黑体" w:eastAsia="黑体" w:cs="黑体"/>
          <w:sz w:val="72"/>
          <w:szCs w:val="72"/>
        </w:rPr>
        <w:t>部门决算表</w:t>
      </w:r>
    </w:p>
    <w:p>
      <w:pPr>
        <w:jc w:val="center"/>
        <w:rPr>
          <w:rFonts w:ascii="黑体" w:hAnsi="黑体" w:eastAsia="黑体" w:cs="黑体"/>
          <w:sz w:val="72"/>
          <w:szCs w:val="72"/>
        </w:rPr>
      </w:pPr>
      <w:r>
        <w:rPr>
          <w:rFonts w:hint="eastAsia" w:ascii="黑体" w:hAnsi="黑体" w:eastAsia="黑体" w:cs="黑体"/>
          <w:sz w:val="72"/>
          <w:szCs w:val="72"/>
        </w:rPr>
        <w:t>（见附件）</w:t>
      </w:r>
    </w:p>
    <w:p>
      <w:pPr>
        <w:jc w:val="center"/>
        <w:rPr>
          <w:sz w:val="72"/>
          <w:szCs w:val="72"/>
        </w:rPr>
      </w:pPr>
    </w:p>
    <w:p>
      <w:pPr>
        <w:pStyle w:val="12"/>
        <w:tabs>
          <w:tab w:val="left" w:pos="1323"/>
        </w:tabs>
        <w:rPr>
          <w:sz w:val="72"/>
          <w:szCs w:val="72"/>
        </w:rPr>
        <w:sectPr>
          <w:footerReference r:id="rId4" w:type="default"/>
          <w:pgSz w:w="16838" w:h="11906" w:orient="landscape"/>
          <w:pgMar w:top="1417" w:right="1134" w:bottom="1134" w:left="1134" w:header="851" w:footer="992" w:gutter="0"/>
          <w:cols w:space="425" w:num="1"/>
          <w:docGrid w:type="lines" w:linePitch="312" w:charSpace="0"/>
        </w:sectPr>
      </w:pPr>
    </w:p>
    <w:p>
      <w:pPr>
        <w:pStyle w:val="12"/>
        <w:jc w:val="both"/>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2"/>
          <w:szCs w:val="72"/>
        </w:rPr>
      </w:pPr>
    </w:p>
    <w:p>
      <w:pPr>
        <w:pStyle w:val="12"/>
        <w:jc w:val="center"/>
        <w:rPr>
          <w:sz w:val="72"/>
          <w:szCs w:val="72"/>
        </w:rPr>
      </w:pPr>
      <w:r>
        <w:rPr>
          <w:sz w:val="72"/>
          <w:szCs w:val="72"/>
        </w:rPr>
        <w:t>20</w:t>
      </w:r>
      <w:r>
        <w:rPr>
          <w:rFonts w:hint="eastAsia"/>
          <w:sz w:val="72"/>
          <w:szCs w:val="72"/>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spacing w:line="520" w:lineRule="exact"/>
        <w:ind w:firstLine="560" w:firstLineChars="200"/>
        <w:jc w:val="both"/>
        <w:rPr>
          <w:rFonts w:hAnsi="黑体"/>
          <w:b/>
          <w:sz w:val="28"/>
          <w:szCs w:val="28"/>
        </w:rPr>
      </w:pPr>
      <w:r>
        <w:rPr>
          <w:rFonts w:hint="eastAsia" w:hAnsi="黑体"/>
          <w:b/>
          <w:sz w:val="28"/>
          <w:szCs w:val="28"/>
        </w:rPr>
        <w:t>一、收入支出决算总体情况说明</w:t>
      </w:r>
    </w:p>
    <w:p>
      <w:pPr>
        <w:pStyle w:val="6"/>
        <w:widowControl w:val="0"/>
        <w:shd w:val="clear" w:color="auto" w:fill="FFFFFF"/>
        <w:spacing w:before="0" w:beforeAutospacing="0" w:after="0" w:afterAutospacing="0" w:line="520" w:lineRule="exact"/>
        <w:ind w:firstLine="560" w:firstLineChars="200"/>
        <w:jc w:val="both"/>
        <w:rPr>
          <w:sz w:val="28"/>
          <w:szCs w:val="28"/>
        </w:rPr>
      </w:pPr>
      <w:r>
        <w:rPr>
          <w:rFonts w:hint="eastAsia"/>
          <w:sz w:val="28"/>
          <w:szCs w:val="28"/>
        </w:rPr>
        <w:t>2021年度收、支总计2007.27万元。与上年相比，增加18.71万元，增加0.94%，主要是项目支出增加。</w:t>
      </w:r>
    </w:p>
    <w:p>
      <w:pPr>
        <w:pStyle w:val="12"/>
        <w:spacing w:line="520" w:lineRule="exact"/>
        <w:ind w:firstLine="560" w:firstLineChars="200"/>
        <w:jc w:val="both"/>
        <w:rPr>
          <w:rFonts w:hAnsi="黑体"/>
          <w:b/>
          <w:sz w:val="28"/>
          <w:szCs w:val="28"/>
        </w:rPr>
      </w:pPr>
      <w:r>
        <w:rPr>
          <w:rFonts w:hint="eastAsia" w:hAnsi="黑体"/>
          <w:b/>
          <w:sz w:val="28"/>
          <w:szCs w:val="28"/>
        </w:rPr>
        <w:t>二、收入决算情况说明</w:t>
      </w:r>
    </w:p>
    <w:p>
      <w:pPr>
        <w:pStyle w:val="12"/>
        <w:spacing w:line="520" w:lineRule="exact"/>
        <w:ind w:firstLine="560" w:firstLineChars="200"/>
        <w:jc w:val="both"/>
        <w:rPr>
          <w:rFonts w:ascii="宋体" w:hAnsi="宋体" w:eastAsia="宋体"/>
          <w:sz w:val="28"/>
          <w:szCs w:val="28"/>
        </w:rPr>
      </w:pPr>
      <w:r>
        <w:rPr>
          <w:rFonts w:hint="eastAsia" w:ascii="宋体" w:hAnsi="宋体" w:eastAsia="宋体"/>
          <w:sz w:val="28"/>
          <w:szCs w:val="28"/>
        </w:rPr>
        <w:t>本年收入合计1801.71万元，其中：财政拨款收入1536.1万元，占85.26%；上级补助收入</w:t>
      </w:r>
      <w:r>
        <w:rPr>
          <w:rFonts w:ascii="宋体" w:hAnsi="宋体" w:eastAsia="宋体"/>
          <w:sz w:val="28"/>
          <w:szCs w:val="28"/>
        </w:rPr>
        <w:t>0</w:t>
      </w:r>
      <w:r>
        <w:rPr>
          <w:rFonts w:hint="eastAsia" w:ascii="宋体" w:hAnsi="宋体" w:eastAsia="宋体"/>
          <w:sz w:val="28"/>
          <w:szCs w:val="28"/>
        </w:rPr>
        <w:t>万元，占0%；事业收入</w:t>
      </w:r>
      <w:r>
        <w:rPr>
          <w:rFonts w:ascii="宋体" w:hAnsi="宋体" w:eastAsia="宋体"/>
          <w:sz w:val="28"/>
          <w:szCs w:val="28"/>
        </w:rPr>
        <w:t>0</w:t>
      </w:r>
      <w:r>
        <w:rPr>
          <w:rFonts w:hint="eastAsia" w:ascii="宋体" w:hAnsi="宋体" w:eastAsia="宋体"/>
          <w:sz w:val="28"/>
          <w:szCs w:val="28"/>
        </w:rPr>
        <w:t>万元，占</w:t>
      </w:r>
      <w:r>
        <w:rPr>
          <w:rFonts w:ascii="宋体" w:hAnsi="宋体" w:eastAsia="宋体"/>
          <w:sz w:val="28"/>
          <w:szCs w:val="28"/>
        </w:rPr>
        <w:t>0</w:t>
      </w:r>
      <w:r>
        <w:rPr>
          <w:rFonts w:hint="eastAsia" w:ascii="宋体" w:hAnsi="宋体" w:eastAsia="宋体"/>
          <w:sz w:val="28"/>
          <w:szCs w:val="28"/>
        </w:rPr>
        <w:t>%；经营收入</w:t>
      </w:r>
      <w:r>
        <w:rPr>
          <w:rFonts w:ascii="宋体" w:hAnsi="宋体" w:eastAsia="宋体"/>
          <w:sz w:val="28"/>
          <w:szCs w:val="28"/>
        </w:rPr>
        <w:t>0</w:t>
      </w:r>
      <w:r>
        <w:rPr>
          <w:rFonts w:hint="eastAsia" w:ascii="宋体" w:hAnsi="宋体" w:eastAsia="宋体"/>
          <w:sz w:val="28"/>
          <w:szCs w:val="28"/>
        </w:rPr>
        <w:t>万元，占</w:t>
      </w:r>
      <w:r>
        <w:rPr>
          <w:rFonts w:ascii="宋体" w:hAnsi="宋体" w:eastAsia="宋体"/>
          <w:sz w:val="28"/>
          <w:szCs w:val="28"/>
        </w:rPr>
        <w:t>0</w:t>
      </w:r>
      <w:r>
        <w:rPr>
          <w:rFonts w:hint="eastAsia" w:ascii="宋体" w:hAnsi="宋体" w:eastAsia="宋体"/>
          <w:sz w:val="28"/>
          <w:szCs w:val="28"/>
        </w:rPr>
        <w:t>%；附属单位上缴收入</w:t>
      </w:r>
      <w:r>
        <w:rPr>
          <w:rFonts w:ascii="宋体" w:hAnsi="宋体" w:eastAsia="宋体"/>
          <w:sz w:val="28"/>
          <w:szCs w:val="28"/>
        </w:rPr>
        <w:t>0</w:t>
      </w:r>
      <w:r>
        <w:rPr>
          <w:rFonts w:hint="eastAsia" w:ascii="宋体" w:hAnsi="宋体" w:eastAsia="宋体"/>
          <w:sz w:val="28"/>
          <w:szCs w:val="28"/>
        </w:rPr>
        <w:t>万元，占</w:t>
      </w:r>
      <w:r>
        <w:rPr>
          <w:rFonts w:ascii="宋体" w:hAnsi="宋体" w:eastAsia="宋体"/>
          <w:sz w:val="28"/>
          <w:szCs w:val="28"/>
        </w:rPr>
        <w:t>0</w:t>
      </w:r>
      <w:r>
        <w:rPr>
          <w:rFonts w:hint="eastAsia" w:ascii="宋体" w:hAnsi="宋体" w:eastAsia="宋体"/>
          <w:sz w:val="28"/>
          <w:szCs w:val="28"/>
        </w:rPr>
        <w:t>%；其他收入265.61万元，占14.74%。</w:t>
      </w:r>
    </w:p>
    <w:p>
      <w:pPr>
        <w:pStyle w:val="12"/>
        <w:spacing w:line="520" w:lineRule="exact"/>
        <w:ind w:firstLine="560" w:firstLineChars="200"/>
        <w:jc w:val="both"/>
        <w:rPr>
          <w:rFonts w:hAnsi="黑体"/>
          <w:b/>
          <w:sz w:val="28"/>
          <w:szCs w:val="28"/>
        </w:rPr>
      </w:pPr>
      <w:r>
        <w:rPr>
          <w:rFonts w:hint="eastAsia" w:hAnsi="黑体"/>
          <w:b/>
          <w:sz w:val="28"/>
          <w:szCs w:val="28"/>
        </w:rPr>
        <w:t>三、支出决算情况说明</w:t>
      </w:r>
      <w:r>
        <w:rPr>
          <w:rFonts w:hint="eastAsia" w:hAnsi="黑体"/>
          <w:b/>
          <w:sz w:val="28"/>
          <w:szCs w:val="28"/>
        </w:rPr>
        <w:tab/>
      </w:r>
    </w:p>
    <w:p>
      <w:pPr>
        <w:pStyle w:val="12"/>
        <w:spacing w:line="520" w:lineRule="exact"/>
        <w:ind w:firstLine="560" w:firstLineChars="200"/>
        <w:jc w:val="both"/>
        <w:rPr>
          <w:rFonts w:ascii="宋体" w:hAnsi="宋体" w:eastAsia="宋体"/>
          <w:sz w:val="28"/>
          <w:szCs w:val="28"/>
        </w:rPr>
      </w:pPr>
      <w:r>
        <w:rPr>
          <w:rFonts w:hint="eastAsia" w:ascii="宋体" w:hAnsi="宋体" w:eastAsia="宋体"/>
          <w:sz w:val="28"/>
          <w:szCs w:val="28"/>
        </w:rPr>
        <w:t>本年支出合计1851.64万元，其中：基本支出1033.07万元，占</w:t>
      </w:r>
      <w:r>
        <w:rPr>
          <w:rFonts w:ascii="宋体" w:hAnsi="宋体" w:eastAsia="宋体"/>
          <w:sz w:val="28"/>
          <w:szCs w:val="28"/>
        </w:rPr>
        <w:t>55</w:t>
      </w:r>
      <w:r>
        <w:rPr>
          <w:rFonts w:hint="eastAsia" w:ascii="宋体" w:hAnsi="宋体" w:eastAsia="宋体"/>
          <w:sz w:val="28"/>
          <w:szCs w:val="28"/>
        </w:rPr>
        <w:t>.80%；项目支出818.57万元，占</w:t>
      </w:r>
      <w:r>
        <w:rPr>
          <w:rFonts w:ascii="宋体" w:hAnsi="宋体" w:eastAsia="宋体"/>
          <w:sz w:val="28"/>
          <w:szCs w:val="28"/>
        </w:rPr>
        <w:t>44</w:t>
      </w: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%；上缴上级支出</w:t>
      </w:r>
      <w:r>
        <w:rPr>
          <w:rFonts w:ascii="宋体" w:hAnsi="宋体" w:eastAsia="宋体"/>
          <w:sz w:val="28"/>
          <w:szCs w:val="28"/>
        </w:rPr>
        <w:t>0</w:t>
      </w:r>
      <w:r>
        <w:rPr>
          <w:rFonts w:hint="eastAsia" w:ascii="宋体" w:hAnsi="宋体" w:eastAsia="宋体"/>
          <w:sz w:val="28"/>
          <w:szCs w:val="28"/>
        </w:rPr>
        <w:t>万元，占</w:t>
      </w:r>
      <w:r>
        <w:rPr>
          <w:rFonts w:ascii="宋体" w:hAnsi="宋体" w:eastAsia="宋体"/>
          <w:sz w:val="28"/>
          <w:szCs w:val="28"/>
        </w:rPr>
        <w:t>0</w:t>
      </w:r>
      <w:r>
        <w:rPr>
          <w:rFonts w:hint="eastAsia" w:ascii="宋体" w:hAnsi="宋体" w:eastAsia="宋体"/>
          <w:sz w:val="28"/>
          <w:szCs w:val="28"/>
        </w:rPr>
        <w:t>%；经营支出</w:t>
      </w:r>
      <w:r>
        <w:rPr>
          <w:rFonts w:ascii="宋体" w:hAnsi="宋体" w:eastAsia="宋体"/>
          <w:sz w:val="28"/>
          <w:szCs w:val="28"/>
        </w:rPr>
        <w:t>0</w:t>
      </w:r>
      <w:r>
        <w:rPr>
          <w:rFonts w:hint="eastAsia" w:ascii="宋体" w:hAnsi="宋体" w:eastAsia="宋体"/>
          <w:sz w:val="28"/>
          <w:szCs w:val="28"/>
        </w:rPr>
        <w:t>万元，占</w:t>
      </w:r>
      <w:r>
        <w:rPr>
          <w:rFonts w:ascii="宋体" w:hAnsi="宋体" w:eastAsia="宋体"/>
          <w:sz w:val="28"/>
          <w:szCs w:val="28"/>
        </w:rPr>
        <w:t>0</w:t>
      </w:r>
      <w:r>
        <w:rPr>
          <w:rFonts w:hint="eastAsia" w:ascii="宋体" w:hAnsi="宋体" w:eastAsia="宋体"/>
          <w:sz w:val="28"/>
          <w:szCs w:val="28"/>
        </w:rPr>
        <w:t>%；对附属单位补助支出</w:t>
      </w:r>
      <w:r>
        <w:rPr>
          <w:rFonts w:ascii="宋体" w:hAnsi="宋体" w:eastAsia="宋体"/>
          <w:sz w:val="28"/>
          <w:szCs w:val="28"/>
        </w:rPr>
        <w:t>0</w:t>
      </w:r>
      <w:r>
        <w:rPr>
          <w:rFonts w:hint="eastAsia" w:ascii="宋体" w:hAnsi="宋体" w:eastAsia="宋体"/>
          <w:sz w:val="28"/>
          <w:szCs w:val="28"/>
        </w:rPr>
        <w:t>万元，占</w:t>
      </w:r>
      <w:r>
        <w:rPr>
          <w:rFonts w:ascii="宋体" w:hAnsi="宋体" w:eastAsia="宋体"/>
          <w:sz w:val="28"/>
          <w:szCs w:val="28"/>
        </w:rPr>
        <w:t>0</w:t>
      </w:r>
      <w:r>
        <w:rPr>
          <w:rFonts w:hint="eastAsia" w:ascii="宋体" w:hAnsi="宋体" w:eastAsia="宋体"/>
          <w:sz w:val="28"/>
          <w:szCs w:val="28"/>
        </w:rPr>
        <w:t>%。</w:t>
      </w:r>
    </w:p>
    <w:p>
      <w:pPr>
        <w:pStyle w:val="12"/>
        <w:spacing w:line="520" w:lineRule="exact"/>
        <w:ind w:firstLine="560" w:firstLineChars="200"/>
        <w:jc w:val="both"/>
        <w:rPr>
          <w:rFonts w:hAnsi="黑体"/>
          <w:b/>
          <w:sz w:val="28"/>
          <w:szCs w:val="28"/>
        </w:rPr>
      </w:pPr>
      <w:r>
        <w:rPr>
          <w:rFonts w:hint="eastAsia" w:hAnsi="黑体"/>
          <w:b/>
          <w:sz w:val="28"/>
          <w:szCs w:val="28"/>
        </w:rPr>
        <w:t>四、财政拨款收入支出决算总体情况说明</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sz w:val="28"/>
          <w:szCs w:val="28"/>
        </w:rPr>
        <w:t>2021年度财政拨款收、支总计1,550.08万元，与上年相比，减少</w:t>
      </w:r>
      <w:r>
        <w:rPr>
          <w:rFonts w:ascii="宋体" w:hAnsi="宋体" w:eastAsia="宋体"/>
          <w:sz w:val="28"/>
          <w:szCs w:val="28"/>
        </w:rPr>
        <w:t>85.38</w:t>
      </w:r>
      <w:r>
        <w:rPr>
          <w:rFonts w:hint="eastAsia" w:ascii="宋体" w:hAnsi="宋体" w:eastAsia="宋体"/>
          <w:sz w:val="28"/>
          <w:szCs w:val="28"/>
        </w:rPr>
        <w:t>万元,减少</w:t>
      </w:r>
      <w:r>
        <w:rPr>
          <w:rFonts w:ascii="宋体" w:hAnsi="宋体" w:eastAsia="宋体"/>
          <w:sz w:val="28"/>
          <w:szCs w:val="28"/>
        </w:rPr>
        <w:t>5.22</w:t>
      </w:r>
      <w:r>
        <w:rPr>
          <w:rFonts w:hint="eastAsia" w:ascii="宋体" w:hAnsi="宋体" w:eastAsia="宋体"/>
          <w:sz w:val="28"/>
          <w:szCs w:val="28"/>
        </w:rPr>
        <w:t>%，主要是因</w:t>
      </w:r>
      <w:r>
        <w:rPr>
          <w:rFonts w:hint="eastAsia" w:ascii="宋体" w:hAnsi="宋体" w:eastAsia="宋体"/>
          <w:color w:val="auto"/>
          <w:sz w:val="28"/>
          <w:szCs w:val="28"/>
        </w:rPr>
        <w:t>为财政预算执行一体化规则变化。</w:t>
      </w:r>
    </w:p>
    <w:p>
      <w:pPr>
        <w:pStyle w:val="12"/>
        <w:spacing w:line="520" w:lineRule="exact"/>
        <w:ind w:firstLine="560" w:firstLineChars="200"/>
        <w:jc w:val="both"/>
        <w:rPr>
          <w:rFonts w:hAnsi="黑体"/>
          <w:b/>
          <w:color w:val="auto"/>
          <w:sz w:val="28"/>
          <w:szCs w:val="28"/>
        </w:rPr>
      </w:pPr>
      <w:r>
        <w:rPr>
          <w:rFonts w:hint="eastAsia" w:hAnsi="黑体"/>
          <w:b/>
          <w:color w:val="auto"/>
          <w:sz w:val="28"/>
          <w:szCs w:val="28"/>
        </w:rPr>
        <w:t>五、一般公共预算财政拨款支出决算情况说明</w:t>
      </w:r>
    </w:p>
    <w:p>
      <w:pPr>
        <w:pStyle w:val="12"/>
        <w:spacing w:line="520" w:lineRule="exact"/>
        <w:ind w:firstLine="560" w:firstLineChars="200"/>
        <w:jc w:val="both"/>
        <w:rPr>
          <w:rFonts w:ascii="宋体" w:hAnsi="宋体" w:eastAsia="宋体"/>
          <w:b/>
          <w:sz w:val="28"/>
          <w:szCs w:val="28"/>
        </w:rPr>
      </w:pPr>
      <w:r>
        <w:rPr>
          <w:rFonts w:hint="eastAsia" w:ascii="宋体" w:hAnsi="宋体" w:eastAsia="宋体"/>
          <w:b/>
          <w:sz w:val="28"/>
          <w:szCs w:val="28"/>
        </w:rPr>
        <w:t>（一）财政拨款支出决算总体情况</w:t>
      </w:r>
    </w:p>
    <w:p>
      <w:pPr>
        <w:pStyle w:val="12"/>
        <w:spacing w:line="520" w:lineRule="exact"/>
        <w:ind w:firstLine="560" w:firstLineChars="200"/>
        <w:jc w:val="both"/>
        <w:rPr>
          <w:rFonts w:ascii="宋体" w:hAnsi="宋体" w:eastAsia="宋体"/>
          <w:b/>
          <w:sz w:val="28"/>
          <w:szCs w:val="28"/>
        </w:rPr>
      </w:pPr>
      <w:r>
        <w:rPr>
          <w:rFonts w:hint="eastAsia" w:ascii="宋体" w:hAnsi="宋体" w:eastAsia="宋体"/>
          <w:sz w:val="28"/>
          <w:szCs w:val="28"/>
        </w:rPr>
        <w:t>2021年度财政拨款支出1550.08万元，占本年支出合计的83.71%，与上年相比，财政拨款支出减少</w:t>
      </w:r>
      <w:r>
        <w:rPr>
          <w:rFonts w:ascii="宋体" w:hAnsi="宋体" w:eastAsia="宋体"/>
          <w:sz w:val="28"/>
          <w:szCs w:val="28"/>
        </w:rPr>
        <w:t>85.38</w:t>
      </w:r>
      <w:r>
        <w:rPr>
          <w:rFonts w:hint="eastAsia" w:ascii="宋体" w:hAnsi="宋体" w:eastAsia="宋体"/>
          <w:sz w:val="28"/>
          <w:szCs w:val="28"/>
        </w:rPr>
        <w:t>万元，减少5.22%，主要是因为</w:t>
      </w:r>
      <w:r>
        <w:rPr>
          <w:rFonts w:hint="eastAsia" w:ascii="宋体" w:hAnsi="宋体" w:eastAsia="宋体"/>
          <w:color w:val="auto"/>
          <w:sz w:val="28"/>
          <w:szCs w:val="28"/>
        </w:rPr>
        <w:t>财政预算执行一体化规则变化。</w:t>
      </w:r>
    </w:p>
    <w:p>
      <w:pPr>
        <w:pStyle w:val="12"/>
        <w:spacing w:line="520" w:lineRule="exact"/>
        <w:ind w:firstLine="560" w:firstLineChars="200"/>
        <w:jc w:val="both"/>
        <w:rPr>
          <w:rFonts w:ascii="宋体" w:hAnsi="宋体" w:eastAsia="宋体"/>
          <w:b/>
          <w:sz w:val="28"/>
          <w:szCs w:val="28"/>
        </w:rPr>
      </w:pPr>
      <w:r>
        <w:rPr>
          <w:rFonts w:hint="eastAsia" w:ascii="宋体" w:hAnsi="宋体" w:eastAsia="宋体"/>
          <w:b/>
          <w:sz w:val="28"/>
          <w:szCs w:val="28"/>
        </w:rPr>
        <w:t>（二）财政拨款支出决算结构情况</w:t>
      </w:r>
    </w:p>
    <w:p>
      <w:pPr>
        <w:pStyle w:val="12"/>
        <w:spacing w:line="520" w:lineRule="exact"/>
        <w:ind w:firstLine="560" w:firstLineChars="200"/>
        <w:jc w:val="both"/>
        <w:rPr>
          <w:rFonts w:ascii="宋体" w:hAnsi="宋体" w:eastAsia="宋体"/>
          <w:sz w:val="28"/>
          <w:szCs w:val="28"/>
        </w:rPr>
      </w:pPr>
      <w:r>
        <w:rPr>
          <w:rFonts w:hint="eastAsia" w:ascii="宋体" w:hAnsi="宋体" w:eastAsia="宋体"/>
          <w:sz w:val="28"/>
          <w:szCs w:val="28"/>
        </w:rPr>
        <w:t>2021年度财政拨款支出1550.08万元，主要用于以下方面：一般公共服务（类）支出1067.09万元，占68.84%；文化旅游体育与传媒支出（类）支出403.82万元，占26.05%;社会保障和就业支出（类）55.78万元，占3.60%；卫生健康支出（类）23.39万元，占1.51%</w:t>
      </w:r>
    </w:p>
    <w:p>
      <w:pPr>
        <w:pStyle w:val="12"/>
        <w:spacing w:line="520" w:lineRule="exact"/>
        <w:ind w:firstLine="560" w:firstLineChars="200"/>
        <w:jc w:val="both"/>
        <w:rPr>
          <w:rFonts w:ascii="宋体" w:hAnsi="宋体" w:eastAsia="宋体"/>
          <w:b/>
          <w:sz w:val="28"/>
          <w:szCs w:val="28"/>
        </w:rPr>
      </w:pPr>
      <w:r>
        <w:rPr>
          <w:rFonts w:hint="eastAsia" w:ascii="宋体" w:hAnsi="宋体" w:eastAsia="宋体"/>
          <w:b/>
          <w:sz w:val="28"/>
          <w:szCs w:val="28"/>
        </w:rPr>
        <w:t>（三）财政拨款支出决算具体情况</w:t>
      </w:r>
    </w:p>
    <w:p>
      <w:pPr>
        <w:pStyle w:val="12"/>
        <w:spacing w:line="520" w:lineRule="exact"/>
        <w:ind w:firstLine="560" w:firstLineChars="200"/>
        <w:jc w:val="both"/>
        <w:rPr>
          <w:rFonts w:ascii="宋体" w:hAnsi="宋体" w:eastAsia="宋体"/>
          <w:sz w:val="28"/>
          <w:szCs w:val="28"/>
        </w:rPr>
      </w:pPr>
      <w:r>
        <w:rPr>
          <w:rFonts w:hint="eastAsia" w:ascii="宋体" w:hAnsi="宋体" w:eastAsia="宋体"/>
          <w:sz w:val="28"/>
          <w:szCs w:val="28"/>
        </w:rPr>
        <w:t>2021年度财政拨款支出年初预算数为</w:t>
      </w:r>
      <w:r>
        <w:rPr>
          <w:rFonts w:ascii="宋体" w:hAnsi="宋体" w:eastAsia="宋体"/>
          <w:sz w:val="28"/>
          <w:szCs w:val="28"/>
        </w:rPr>
        <w:t>755.42</w:t>
      </w:r>
      <w:r>
        <w:rPr>
          <w:rFonts w:hint="eastAsia" w:ascii="宋体" w:hAnsi="宋体" w:eastAsia="宋体"/>
          <w:sz w:val="28"/>
          <w:szCs w:val="28"/>
        </w:rPr>
        <w:t>万元，支出决算数为1550.08万元，完成年初预算的</w:t>
      </w:r>
      <w:r>
        <w:rPr>
          <w:rFonts w:ascii="宋体" w:hAnsi="宋体" w:eastAsia="宋体"/>
          <w:sz w:val="28"/>
          <w:szCs w:val="28"/>
        </w:rPr>
        <w:t>205.19</w:t>
      </w:r>
      <w:r>
        <w:rPr>
          <w:rFonts w:hint="eastAsia" w:ascii="宋体" w:hAnsi="宋体" w:eastAsia="宋体"/>
          <w:sz w:val="28"/>
          <w:szCs w:val="28"/>
        </w:rPr>
        <w:t>%，其中：</w:t>
      </w:r>
    </w:p>
    <w:p>
      <w:pPr>
        <w:pStyle w:val="12"/>
        <w:numPr>
          <w:ilvl w:val="0"/>
          <w:numId w:val="2"/>
        </w:numPr>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一般公共服务（类）党委办公厅（室）及相关机构事务（款）一般行政管理事务</w:t>
      </w:r>
    </w:p>
    <w:p>
      <w:pPr>
        <w:pStyle w:val="12"/>
        <w:numPr>
          <w:ilvl w:val="255"/>
          <w:numId w:val="0"/>
        </w:numPr>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年初预算为</w:t>
      </w:r>
      <w:r>
        <w:rPr>
          <w:rFonts w:ascii="宋体" w:hAnsi="宋体" w:eastAsia="宋体"/>
          <w:color w:val="auto"/>
          <w:sz w:val="28"/>
          <w:szCs w:val="28"/>
        </w:rPr>
        <w:t>0</w:t>
      </w:r>
      <w:r>
        <w:rPr>
          <w:rFonts w:hint="eastAsia" w:ascii="宋体" w:hAnsi="宋体" w:eastAsia="宋体"/>
          <w:color w:val="auto"/>
          <w:sz w:val="28"/>
          <w:szCs w:val="28"/>
        </w:rPr>
        <w:t>万元，支出决算为35万元，决算数大于年初预算数的主要原因是：增加乡村振兴帮扶资金支出及咨询费。</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2、一般公共服务（类）宣传事务（款）行政运行（项）。</w:t>
      </w:r>
    </w:p>
    <w:p>
      <w:pPr>
        <w:pStyle w:val="12"/>
        <w:spacing w:line="520" w:lineRule="exact"/>
        <w:ind w:firstLine="560" w:firstLineChars="200"/>
        <w:jc w:val="both"/>
        <w:rPr>
          <w:rFonts w:ascii="宋体" w:hAnsi="宋体" w:eastAsia="宋体"/>
          <w:color w:val="FF0000"/>
          <w:sz w:val="28"/>
          <w:szCs w:val="28"/>
        </w:rPr>
      </w:pPr>
      <w:r>
        <w:rPr>
          <w:rFonts w:hint="eastAsia" w:ascii="宋体" w:hAnsi="宋体" w:eastAsia="宋体"/>
          <w:color w:val="auto"/>
          <w:sz w:val="28"/>
          <w:szCs w:val="28"/>
        </w:rPr>
        <w:t>年初预算为</w:t>
      </w:r>
      <w:r>
        <w:rPr>
          <w:rFonts w:ascii="宋体" w:hAnsi="宋体" w:eastAsia="宋体"/>
          <w:color w:val="auto"/>
          <w:sz w:val="28"/>
          <w:szCs w:val="28"/>
        </w:rPr>
        <w:t>646.66</w:t>
      </w:r>
      <w:r>
        <w:rPr>
          <w:rFonts w:hint="eastAsia" w:ascii="宋体" w:hAnsi="宋体" w:eastAsia="宋体"/>
          <w:color w:val="auto"/>
          <w:sz w:val="28"/>
          <w:szCs w:val="28"/>
        </w:rPr>
        <w:t>万元，支出决算为</w:t>
      </w:r>
      <w:r>
        <w:rPr>
          <w:rFonts w:ascii="宋体" w:hAnsi="宋体" w:eastAsia="宋体"/>
          <w:color w:val="auto"/>
          <w:sz w:val="28"/>
          <w:szCs w:val="28"/>
        </w:rPr>
        <w:t>743.63</w:t>
      </w:r>
      <w:r>
        <w:rPr>
          <w:rFonts w:hint="eastAsia" w:ascii="宋体" w:hAnsi="宋体" w:eastAsia="宋体"/>
          <w:color w:val="auto"/>
          <w:sz w:val="28"/>
          <w:szCs w:val="28"/>
        </w:rPr>
        <w:t>万元，完成年初预算的</w:t>
      </w:r>
      <w:r>
        <w:rPr>
          <w:rFonts w:ascii="宋体" w:hAnsi="宋体" w:eastAsia="宋体"/>
          <w:color w:val="auto"/>
          <w:sz w:val="28"/>
          <w:szCs w:val="28"/>
        </w:rPr>
        <w:t>112.83</w:t>
      </w:r>
      <w:r>
        <w:rPr>
          <w:rFonts w:hint="eastAsia" w:ascii="宋体" w:hAnsi="宋体" w:eastAsia="宋体"/>
          <w:color w:val="auto"/>
          <w:sz w:val="28"/>
          <w:szCs w:val="28"/>
        </w:rPr>
        <w:t>%，决算数大于年初预算数的主要原因是：工资、绩效上调，以及新增物业补贴。</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3、一般公共服务（类）宣传事务（款）一般行政管理事务（项）。</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年初预算为</w:t>
      </w:r>
      <w:r>
        <w:rPr>
          <w:rFonts w:ascii="宋体" w:hAnsi="宋体" w:eastAsia="宋体"/>
          <w:color w:val="auto"/>
          <w:sz w:val="28"/>
          <w:szCs w:val="28"/>
        </w:rPr>
        <w:t>0</w:t>
      </w:r>
      <w:r>
        <w:rPr>
          <w:rFonts w:hint="eastAsia" w:ascii="宋体" w:hAnsi="宋体" w:eastAsia="宋体"/>
          <w:color w:val="auto"/>
          <w:sz w:val="28"/>
          <w:szCs w:val="28"/>
        </w:rPr>
        <w:t>万元，支出决算为288.47万元，决算数大于年初预算数的主要原因是：开展防汛抗疫工作、习近平总书记“七一”重要讲话及党的十九届五中、六中全会精神宣讲与文明城市创建活动。</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4、一般公共服务（类）宣传事务（款）其他宣传事务支出（项）。</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年初预算为0万元，支出决算为</w:t>
      </w:r>
      <w:r>
        <w:rPr>
          <w:rFonts w:ascii="宋体" w:hAnsi="宋体" w:eastAsia="宋体"/>
          <w:color w:val="auto"/>
          <w:sz w:val="28"/>
          <w:szCs w:val="28"/>
        </w:rPr>
        <w:t>301.55</w:t>
      </w:r>
      <w:r>
        <w:rPr>
          <w:rFonts w:hint="eastAsia" w:ascii="宋体" w:hAnsi="宋体" w:eastAsia="宋体"/>
          <w:color w:val="auto"/>
          <w:sz w:val="28"/>
          <w:szCs w:val="28"/>
        </w:rPr>
        <w:t>万元，决算数大于年初预算数的主要原因是：开展建党100周年、守护好一江碧水以及岳阳楼诞生975周年宣传等活动。</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5、文化旅游体育与传媒支出（类）文化和旅游（款）其他文化和旅游支出（项）</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年初预算为</w:t>
      </w:r>
      <w:r>
        <w:rPr>
          <w:rFonts w:ascii="宋体" w:hAnsi="宋体" w:eastAsia="宋体"/>
          <w:color w:val="auto"/>
          <w:sz w:val="28"/>
          <w:szCs w:val="28"/>
        </w:rPr>
        <w:t>0</w:t>
      </w:r>
      <w:r>
        <w:rPr>
          <w:rFonts w:hint="eastAsia" w:ascii="宋体" w:hAnsi="宋体" w:eastAsia="宋体"/>
          <w:color w:val="auto"/>
          <w:sz w:val="28"/>
          <w:szCs w:val="28"/>
        </w:rPr>
        <w:t>万元，支出决算为350.82万元，决算数大于年初预算数的主要原因是：开展农村精神文明建设、志愿者服务活动。</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6、文化旅游体育与传媒支出（类）新闻出版电影（款）其他新闻出版电影支出（项）</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年初预算为</w:t>
      </w:r>
      <w:r>
        <w:rPr>
          <w:rFonts w:ascii="宋体" w:hAnsi="宋体" w:eastAsia="宋体"/>
          <w:color w:val="auto"/>
          <w:sz w:val="28"/>
          <w:szCs w:val="28"/>
        </w:rPr>
        <w:t>0</w:t>
      </w:r>
      <w:r>
        <w:rPr>
          <w:rFonts w:hint="eastAsia" w:ascii="宋体" w:hAnsi="宋体" w:eastAsia="宋体"/>
          <w:color w:val="auto"/>
          <w:sz w:val="28"/>
          <w:szCs w:val="28"/>
        </w:rPr>
        <w:t>万元，支出决算为8万元，决算数大于年初预算数的主要原因是：增加新闻出版和报纸审读活动。</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7、文化旅游体育与传媒支出（类）新闻出版电影（款）其他文化旅游体育与传媒支出（项）</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年初预算为</w:t>
      </w:r>
      <w:r>
        <w:rPr>
          <w:rFonts w:ascii="宋体" w:hAnsi="宋体" w:eastAsia="宋体"/>
          <w:color w:val="auto"/>
          <w:sz w:val="28"/>
          <w:szCs w:val="28"/>
        </w:rPr>
        <w:t>0</w:t>
      </w:r>
      <w:r>
        <w:rPr>
          <w:rFonts w:hint="eastAsia" w:ascii="宋体" w:hAnsi="宋体" w:eastAsia="宋体"/>
          <w:color w:val="auto"/>
          <w:sz w:val="28"/>
          <w:szCs w:val="28"/>
        </w:rPr>
        <w:t>万元，支出决算为45万元，决算数大于年初预算数的主要原因是：开展洞博馆等文旅项目调研、十四五课题研究数据采集等活动。</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8、社会保障和就业支出（类）行政事业单位养老支出（款）其他残疾人事业支出（项）</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年初预算为</w:t>
      </w:r>
      <w:r>
        <w:rPr>
          <w:rFonts w:ascii="宋体" w:hAnsi="宋体" w:eastAsia="宋体"/>
          <w:color w:val="auto"/>
          <w:sz w:val="28"/>
          <w:szCs w:val="28"/>
        </w:rPr>
        <w:t>4.28</w:t>
      </w:r>
      <w:r>
        <w:rPr>
          <w:rFonts w:hint="eastAsia" w:ascii="宋体" w:hAnsi="宋体" w:eastAsia="宋体"/>
          <w:color w:val="auto"/>
          <w:sz w:val="28"/>
          <w:szCs w:val="28"/>
        </w:rPr>
        <w:t>万元，支出决算为4.28万元，完成年初预算的100%。</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9、社会保障和就业支出（类）行政事业单位养老支出（款）机关事业单位基本养老保险缴费支出（项）</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年初预算为50.54万元，支出决算为50.54万元，完成年初预算的</w:t>
      </w:r>
      <w:r>
        <w:rPr>
          <w:rFonts w:ascii="宋体" w:hAnsi="宋体" w:eastAsia="宋体"/>
          <w:color w:val="auto"/>
          <w:sz w:val="28"/>
          <w:szCs w:val="28"/>
        </w:rPr>
        <w:t>100</w:t>
      </w:r>
      <w:r>
        <w:rPr>
          <w:rFonts w:hint="eastAsia" w:ascii="宋体" w:hAnsi="宋体" w:eastAsia="宋体"/>
          <w:color w:val="auto"/>
          <w:sz w:val="28"/>
          <w:szCs w:val="28"/>
        </w:rPr>
        <w:t>%，</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10、社会保障和就业支出（类）行政事业单位养老支出（款）其他社会保障和就业支出（项）</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年初预算为0万元，支出决算为0.96万元，决算数大于年初预算数的主要原因是：缴纳社保基数增加。</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11、卫生健康支出（类）行政事业单位医疗（款）行政单位医疗（项）</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年初预算为23.39万元，支出决算为23.39万元，完成年初预算的</w:t>
      </w:r>
      <w:r>
        <w:rPr>
          <w:rFonts w:ascii="宋体" w:hAnsi="宋体" w:eastAsia="宋体"/>
          <w:color w:val="auto"/>
          <w:sz w:val="28"/>
          <w:szCs w:val="28"/>
        </w:rPr>
        <w:t>100</w:t>
      </w:r>
      <w:r>
        <w:rPr>
          <w:rFonts w:hint="eastAsia" w:ascii="宋体" w:hAnsi="宋体" w:eastAsia="宋体"/>
          <w:color w:val="auto"/>
          <w:sz w:val="28"/>
          <w:szCs w:val="28"/>
        </w:rPr>
        <w:t>%。</w:t>
      </w:r>
    </w:p>
    <w:p>
      <w:pPr>
        <w:pStyle w:val="12"/>
        <w:numPr>
          <w:ilvl w:val="255"/>
          <w:numId w:val="0"/>
        </w:numPr>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12、住房保障支出（类）住房改革支出（款）宣传部（项）</w:t>
      </w:r>
    </w:p>
    <w:p>
      <w:pPr>
        <w:pStyle w:val="12"/>
        <w:numPr>
          <w:ilvl w:val="255"/>
          <w:numId w:val="0"/>
        </w:numPr>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年初预算为37.91万元，支出决算为0元，决算数小于年初预算数的主要原因是：住房保障支出由财政局代扣代缴。</w:t>
      </w:r>
    </w:p>
    <w:p>
      <w:pPr>
        <w:pStyle w:val="12"/>
        <w:spacing w:line="520" w:lineRule="exact"/>
        <w:ind w:firstLine="560" w:firstLineChars="200"/>
        <w:jc w:val="both"/>
        <w:rPr>
          <w:rFonts w:hAnsi="黑体"/>
          <w:b/>
          <w:sz w:val="28"/>
          <w:szCs w:val="28"/>
        </w:rPr>
      </w:pPr>
      <w:r>
        <w:rPr>
          <w:rFonts w:hint="eastAsia" w:hAnsi="黑体"/>
          <w:b/>
          <w:sz w:val="28"/>
          <w:szCs w:val="28"/>
        </w:rPr>
        <w:t>六、一般公共预算财政拨款基本支出决算情况说明</w:t>
      </w:r>
    </w:p>
    <w:p>
      <w:pPr>
        <w:pStyle w:val="12"/>
        <w:spacing w:line="520" w:lineRule="exact"/>
        <w:ind w:firstLine="560" w:firstLineChars="200"/>
        <w:jc w:val="both"/>
        <w:rPr>
          <w:rFonts w:ascii="宋体" w:hAnsi="宋体" w:eastAsia="宋体"/>
          <w:sz w:val="28"/>
          <w:szCs w:val="28"/>
        </w:rPr>
      </w:pPr>
      <w:r>
        <w:rPr>
          <w:rFonts w:hint="eastAsia" w:ascii="宋体" w:hAnsi="宋体" w:eastAsia="宋体"/>
          <w:sz w:val="28"/>
          <w:szCs w:val="28"/>
        </w:rPr>
        <w:t>2021年度财政拨款基本支出947.56万元，其中：人员经费669.52万元，占基本支出的70.66%,主要包括基本工资、津贴补贴、奖金、伙食补助费、绩效工资、机关事业单位基本养老保险缴费、职工基本医疗保险缴费、其他社会保障缴费、住房公积金、医疗费、生活补助、奖励金、其他工资福利支出、其他对个人和家庭的补助；公用经费278.04万元，占基本支出的29.34%，主要包括办公费、印刷费、咨询费、手续费、水费、电费、邮电费、取暖费、物业管理费、差旅费、维修费、会议费、培训费、劳务费、租赁费。</w:t>
      </w:r>
    </w:p>
    <w:p>
      <w:pPr>
        <w:pStyle w:val="12"/>
        <w:spacing w:line="520" w:lineRule="exact"/>
        <w:ind w:firstLine="560" w:firstLineChars="200"/>
        <w:jc w:val="both"/>
        <w:rPr>
          <w:rFonts w:hAnsi="黑体"/>
          <w:b/>
          <w:sz w:val="28"/>
          <w:szCs w:val="28"/>
        </w:rPr>
      </w:pPr>
      <w:r>
        <w:rPr>
          <w:rFonts w:hint="eastAsia" w:hAnsi="黑体"/>
          <w:b/>
          <w:sz w:val="28"/>
          <w:szCs w:val="28"/>
        </w:rPr>
        <w:t>七、一般公共预算财政拨款三公经费支出决算情况说明</w:t>
      </w:r>
    </w:p>
    <w:p>
      <w:pPr>
        <w:pStyle w:val="12"/>
        <w:spacing w:line="520" w:lineRule="exact"/>
        <w:ind w:firstLine="560" w:firstLineChars="200"/>
        <w:jc w:val="both"/>
        <w:rPr>
          <w:rFonts w:ascii="宋体" w:hAnsi="宋体" w:eastAsia="宋体"/>
          <w:b/>
          <w:sz w:val="28"/>
          <w:szCs w:val="28"/>
        </w:rPr>
      </w:pPr>
      <w:r>
        <w:rPr>
          <w:rFonts w:hint="eastAsia" w:ascii="宋体" w:hAnsi="宋体" w:eastAsia="宋体"/>
          <w:b/>
          <w:sz w:val="28"/>
          <w:szCs w:val="28"/>
        </w:rPr>
        <w:t>（一）“三公”经费财政拨款支出决算总体情况说明</w:t>
      </w:r>
    </w:p>
    <w:p>
      <w:pPr>
        <w:pStyle w:val="12"/>
        <w:spacing w:line="520" w:lineRule="exact"/>
        <w:ind w:firstLine="560" w:firstLineChars="200"/>
        <w:jc w:val="both"/>
        <w:rPr>
          <w:rFonts w:ascii="宋体" w:hAnsi="宋体" w:eastAsia="宋体"/>
          <w:sz w:val="28"/>
          <w:szCs w:val="28"/>
        </w:rPr>
      </w:pPr>
      <w:r>
        <w:rPr>
          <w:rFonts w:hint="eastAsia" w:ascii="宋体" w:hAnsi="宋体" w:eastAsia="宋体"/>
          <w:sz w:val="28"/>
          <w:szCs w:val="28"/>
        </w:rPr>
        <w:t>“三公”经费财政拨款支出预算为58.9万元，支出决算为24.42万元，完成预算的41.46%，其中：</w:t>
      </w:r>
    </w:p>
    <w:p>
      <w:pPr>
        <w:pStyle w:val="12"/>
        <w:spacing w:line="520" w:lineRule="exact"/>
        <w:ind w:firstLine="560" w:firstLineChars="200"/>
        <w:jc w:val="both"/>
        <w:rPr>
          <w:rFonts w:ascii="宋体" w:hAnsi="宋体" w:eastAsia="宋体"/>
          <w:sz w:val="28"/>
          <w:szCs w:val="28"/>
        </w:rPr>
      </w:pPr>
      <w:r>
        <w:rPr>
          <w:rFonts w:hint="eastAsia" w:ascii="宋体" w:hAnsi="宋体" w:eastAsia="宋体"/>
          <w:sz w:val="28"/>
          <w:szCs w:val="28"/>
        </w:rPr>
        <w:t>因公出国（境）费支出预算为</w:t>
      </w:r>
      <w:r>
        <w:rPr>
          <w:rFonts w:ascii="宋体" w:hAnsi="宋体" w:eastAsia="宋体"/>
          <w:sz w:val="28"/>
          <w:szCs w:val="28"/>
        </w:rPr>
        <w:t>0</w:t>
      </w:r>
      <w:r>
        <w:rPr>
          <w:rFonts w:hint="eastAsia" w:ascii="宋体" w:hAnsi="宋体" w:eastAsia="宋体"/>
          <w:sz w:val="28"/>
          <w:szCs w:val="28"/>
        </w:rPr>
        <w:t>万元，支出决算为</w:t>
      </w:r>
      <w:r>
        <w:rPr>
          <w:rFonts w:ascii="宋体" w:hAnsi="宋体" w:eastAsia="宋体"/>
          <w:sz w:val="28"/>
          <w:szCs w:val="28"/>
        </w:rPr>
        <w:t>0</w:t>
      </w:r>
      <w:r>
        <w:rPr>
          <w:rFonts w:hint="eastAsia" w:ascii="宋体" w:hAnsi="宋体" w:eastAsia="宋体"/>
          <w:sz w:val="28"/>
          <w:szCs w:val="28"/>
        </w:rPr>
        <w:t>万元，与上年相比无变动。</w:t>
      </w:r>
    </w:p>
    <w:p>
      <w:pPr>
        <w:pStyle w:val="12"/>
        <w:spacing w:line="520" w:lineRule="exact"/>
        <w:ind w:firstLine="560" w:firstLineChars="200"/>
        <w:jc w:val="both"/>
        <w:rPr>
          <w:rFonts w:ascii="宋体" w:hAnsi="宋体" w:eastAsia="宋体"/>
          <w:sz w:val="28"/>
          <w:szCs w:val="28"/>
        </w:rPr>
      </w:pPr>
      <w:r>
        <w:rPr>
          <w:rFonts w:hint="eastAsia" w:ascii="宋体" w:hAnsi="宋体" w:eastAsia="宋体"/>
          <w:sz w:val="28"/>
          <w:szCs w:val="28"/>
        </w:rPr>
        <w:t>公务接待费支出预算为40.9万元，支出决算为12.02万元，完成预算的29.39%，决算数小于预算数的主要原因是厉行节约，严格按要求控制公务接待。与上年相比减少6.35万元，减少34.57%，减少的原因是认真贯彻落实中央“八项”规定精神，和厉行节约要求，从严控制“三公”经费支出。</w:t>
      </w:r>
    </w:p>
    <w:p>
      <w:pPr>
        <w:pStyle w:val="12"/>
        <w:spacing w:line="520" w:lineRule="exact"/>
        <w:ind w:firstLine="560" w:firstLineChars="200"/>
        <w:jc w:val="both"/>
        <w:rPr>
          <w:rFonts w:ascii="宋体" w:hAnsi="宋体" w:eastAsia="宋体"/>
          <w:sz w:val="28"/>
          <w:szCs w:val="28"/>
        </w:rPr>
      </w:pPr>
      <w:r>
        <w:rPr>
          <w:rFonts w:ascii="宋体" w:hAnsi="宋体" w:eastAsia="宋体"/>
          <w:sz w:val="28"/>
          <w:szCs w:val="28"/>
        </w:rPr>
        <w:t>公务用车购置费支出预算为0万元，支出决算为</w:t>
      </w:r>
      <w:r>
        <w:rPr>
          <w:rFonts w:hint="eastAsia" w:ascii="宋体" w:hAnsi="宋体" w:eastAsia="宋体"/>
          <w:sz w:val="28"/>
          <w:szCs w:val="28"/>
        </w:rPr>
        <w:t>0</w:t>
      </w:r>
      <w:r>
        <w:rPr>
          <w:rFonts w:ascii="宋体" w:hAnsi="宋体" w:eastAsia="宋体"/>
          <w:sz w:val="28"/>
          <w:szCs w:val="28"/>
        </w:rPr>
        <w:t>万元，</w:t>
      </w:r>
      <w:r>
        <w:rPr>
          <w:rFonts w:hint="eastAsia" w:ascii="宋体" w:hAnsi="宋体" w:eastAsia="宋体"/>
          <w:sz w:val="28"/>
          <w:szCs w:val="28"/>
        </w:rPr>
        <w:t>公务用车购置数量为0。</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公务用车运行维护费支出预算为18万元，支出决算为</w:t>
      </w:r>
      <w:r>
        <w:rPr>
          <w:rFonts w:ascii="宋体" w:hAnsi="宋体" w:eastAsia="宋体"/>
          <w:color w:val="auto"/>
          <w:sz w:val="28"/>
          <w:szCs w:val="28"/>
        </w:rPr>
        <w:t>12</w:t>
      </w:r>
      <w:r>
        <w:rPr>
          <w:rFonts w:hint="eastAsia" w:ascii="宋体" w:hAnsi="宋体" w:eastAsia="宋体"/>
          <w:color w:val="auto"/>
          <w:sz w:val="28"/>
          <w:szCs w:val="28"/>
        </w:rPr>
        <w:t>.</w:t>
      </w:r>
      <w:r>
        <w:rPr>
          <w:rFonts w:ascii="宋体" w:hAnsi="宋体" w:eastAsia="宋体"/>
          <w:color w:val="auto"/>
          <w:sz w:val="28"/>
          <w:szCs w:val="28"/>
        </w:rPr>
        <w:t>4</w:t>
      </w:r>
      <w:r>
        <w:rPr>
          <w:rFonts w:hint="eastAsia" w:ascii="宋体" w:hAnsi="宋体" w:eastAsia="宋体"/>
          <w:color w:val="auto"/>
          <w:sz w:val="28"/>
          <w:szCs w:val="28"/>
        </w:rPr>
        <w:t>0万元，完成预算的68.9%。决算数小于预算数的主要原因是厉行节约，严格按要求控制公务用车运行维护。</w:t>
      </w:r>
      <w:r>
        <w:rPr>
          <w:rFonts w:hint="eastAsia" w:ascii="宋体" w:hAnsi="宋体" w:eastAsia="宋体"/>
          <w:sz w:val="28"/>
          <w:szCs w:val="28"/>
        </w:rPr>
        <w:t>与上年相比减少0.05万元，减少0.4%，减少的原因是认真贯彻落实中央“八项”规定精神。</w:t>
      </w:r>
    </w:p>
    <w:p>
      <w:pPr>
        <w:pStyle w:val="12"/>
        <w:spacing w:line="520" w:lineRule="exact"/>
        <w:ind w:firstLine="560" w:firstLineChars="200"/>
        <w:jc w:val="both"/>
        <w:rPr>
          <w:rFonts w:ascii="宋体" w:hAnsi="宋体" w:eastAsia="宋体"/>
          <w:b/>
          <w:sz w:val="28"/>
          <w:szCs w:val="28"/>
        </w:rPr>
      </w:pPr>
      <w:r>
        <w:rPr>
          <w:rFonts w:hint="eastAsia" w:ascii="宋体" w:hAnsi="宋体" w:eastAsia="宋体"/>
          <w:b/>
          <w:sz w:val="28"/>
          <w:szCs w:val="28"/>
        </w:rPr>
        <w:t>（二）“三公”经费财政拨款支出决算具体情况说明</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2021年度“三公”经费财政拨款支出决算中，公务接待费支出决算12.02万元，占49.22%,因公出国（境）费支出决算</w:t>
      </w:r>
      <w:r>
        <w:rPr>
          <w:rFonts w:ascii="宋体" w:hAnsi="宋体" w:eastAsia="宋体"/>
          <w:color w:val="auto"/>
          <w:sz w:val="28"/>
          <w:szCs w:val="28"/>
        </w:rPr>
        <w:t>0</w:t>
      </w:r>
      <w:r>
        <w:rPr>
          <w:rFonts w:hint="eastAsia" w:ascii="宋体" w:hAnsi="宋体" w:eastAsia="宋体"/>
          <w:color w:val="auto"/>
          <w:sz w:val="28"/>
          <w:szCs w:val="28"/>
        </w:rPr>
        <w:t>万元，占</w:t>
      </w:r>
      <w:r>
        <w:rPr>
          <w:rFonts w:ascii="宋体" w:hAnsi="宋体" w:eastAsia="宋体"/>
          <w:color w:val="auto"/>
          <w:sz w:val="28"/>
          <w:szCs w:val="28"/>
        </w:rPr>
        <w:t>0</w:t>
      </w:r>
      <w:r>
        <w:rPr>
          <w:rFonts w:hint="eastAsia" w:ascii="宋体" w:hAnsi="宋体" w:eastAsia="宋体"/>
          <w:color w:val="auto"/>
          <w:sz w:val="28"/>
          <w:szCs w:val="28"/>
        </w:rPr>
        <w:t>%,公务用车运行维护费支出决算</w:t>
      </w:r>
      <w:r>
        <w:rPr>
          <w:rFonts w:ascii="宋体" w:hAnsi="宋体" w:eastAsia="宋体"/>
          <w:color w:val="auto"/>
          <w:sz w:val="28"/>
          <w:szCs w:val="28"/>
        </w:rPr>
        <w:t>12</w:t>
      </w:r>
      <w:r>
        <w:rPr>
          <w:rFonts w:hint="eastAsia" w:ascii="宋体" w:hAnsi="宋体" w:eastAsia="宋体"/>
          <w:color w:val="auto"/>
          <w:sz w:val="28"/>
          <w:szCs w:val="28"/>
        </w:rPr>
        <w:t>.</w:t>
      </w:r>
      <w:r>
        <w:rPr>
          <w:rFonts w:ascii="宋体" w:hAnsi="宋体" w:eastAsia="宋体"/>
          <w:color w:val="auto"/>
          <w:sz w:val="28"/>
          <w:szCs w:val="28"/>
        </w:rPr>
        <w:t>4</w:t>
      </w:r>
      <w:r>
        <w:rPr>
          <w:rFonts w:hint="eastAsia" w:ascii="宋体" w:hAnsi="宋体" w:eastAsia="宋体"/>
          <w:color w:val="auto"/>
          <w:sz w:val="28"/>
          <w:szCs w:val="28"/>
        </w:rPr>
        <w:t>0万元，占50.78%。其中：</w:t>
      </w:r>
    </w:p>
    <w:p>
      <w:pPr>
        <w:pStyle w:val="12"/>
        <w:spacing w:line="520" w:lineRule="exact"/>
        <w:ind w:firstLine="560" w:firstLineChars="200"/>
        <w:jc w:val="both"/>
        <w:rPr>
          <w:rFonts w:ascii="宋体" w:hAnsi="宋体" w:eastAsia="宋体"/>
          <w:sz w:val="28"/>
          <w:szCs w:val="28"/>
        </w:rPr>
      </w:pPr>
      <w:r>
        <w:rPr>
          <w:rFonts w:hint="eastAsia" w:ascii="宋体" w:hAnsi="宋体" w:eastAsia="宋体"/>
          <w:sz w:val="28"/>
          <w:szCs w:val="28"/>
        </w:rPr>
        <w:t>1、因公出国（境）费支出决算为</w:t>
      </w:r>
      <w:r>
        <w:rPr>
          <w:rFonts w:ascii="宋体" w:hAnsi="宋体" w:eastAsia="宋体"/>
          <w:sz w:val="28"/>
          <w:szCs w:val="28"/>
        </w:rPr>
        <w:t>0</w:t>
      </w:r>
      <w:r>
        <w:rPr>
          <w:rFonts w:hint="eastAsia" w:ascii="宋体" w:hAnsi="宋体" w:eastAsia="宋体"/>
          <w:sz w:val="28"/>
          <w:szCs w:val="28"/>
        </w:rPr>
        <w:t>万元，全年安排因公出国（境）团组</w:t>
      </w:r>
      <w:r>
        <w:rPr>
          <w:rFonts w:ascii="宋体" w:hAnsi="宋体" w:eastAsia="宋体"/>
          <w:sz w:val="28"/>
          <w:szCs w:val="28"/>
        </w:rPr>
        <w:t>0</w:t>
      </w:r>
      <w:r>
        <w:rPr>
          <w:rFonts w:hint="eastAsia" w:ascii="宋体" w:hAnsi="宋体" w:eastAsia="宋体"/>
          <w:sz w:val="28"/>
          <w:szCs w:val="28"/>
        </w:rPr>
        <w:t>个，累计</w:t>
      </w:r>
      <w:r>
        <w:rPr>
          <w:rFonts w:ascii="宋体" w:hAnsi="宋体" w:eastAsia="宋体"/>
          <w:sz w:val="28"/>
          <w:szCs w:val="28"/>
        </w:rPr>
        <w:t>0</w:t>
      </w:r>
      <w:r>
        <w:rPr>
          <w:rFonts w:hint="eastAsia" w:ascii="宋体" w:hAnsi="宋体" w:eastAsia="宋体"/>
          <w:sz w:val="28"/>
          <w:szCs w:val="28"/>
        </w:rPr>
        <w:t>人次</w:t>
      </w:r>
      <w:r>
        <w:rPr>
          <w:rFonts w:hint="eastAsia" w:ascii="宋体" w:hAnsi="宋体" w:eastAsia="宋体"/>
          <w:i/>
          <w:sz w:val="28"/>
          <w:szCs w:val="28"/>
        </w:rPr>
        <w:t>。</w:t>
      </w:r>
    </w:p>
    <w:p>
      <w:pPr>
        <w:pStyle w:val="12"/>
        <w:spacing w:line="520" w:lineRule="exact"/>
        <w:ind w:firstLine="560" w:firstLineChars="200"/>
        <w:jc w:val="both"/>
        <w:rPr>
          <w:rFonts w:ascii="宋体" w:hAnsi="宋体" w:eastAsia="宋体"/>
          <w:color w:val="auto"/>
          <w:sz w:val="28"/>
          <w:szCs w:val="28"/>
        </w:rPr>
      </w:pPr>
      <w:r>
        <w:rPr>
          <w:rFonts w:hint="eastAsia" w:ascii="宋体" w:hAnsi="宋体" w:eastAsia="宋体"/>
          <w:sz w:val="28"/>
          <w:szCs w:val="28"/>
        </w:rPr>
        <w:t>2、公务接待费支出决算为12.02万元，</w:t>
      </w:r>
      <w:r>
        <w:rPr>
          <w:rFonts w:hint="eastAsia" w:ascii="宋体" w:hAnsi="宋体" w:eastAsia="宋体"/>
          <w:color w:val="auto"/>
          <w:sz w:val="28"/>
          <w:szCs w:val="28"/>
        </w:rPr>
        <w:t>全年共接待来访团批次</w:t>
      </w:r>
      <w:r>
        <w:rPr>
          <w:rFonts w:ascii="宋体" w:hAnsi="宋体" w:eastAsia="宋体"/>
          <w:color w:val="auto"/>
          <w:sz w:val="28"/>
          <w:szCs w:val="28"/>
        </w:rPr>
        <w:t>169</w:t>
      </w:r>
      <w:r>
        <w:rPr>
          <w:rFonts w:hint="eastAsia" w:ascii="宋体" w:hAnsi="宋体" w:eastAsia="宋体"/>
          <w:color w:val="auto"/>
          <w:sz w:val="28"/>
          <w:szCs w:val="28"/>
        </w:rPr>
        <w:t>批、来宾人次</w:t>
      </w:r>
      <w:r>
        <w:rPr>
          <w:rFonts w:ascii="宋体" w:hAnsi="宋体" w:eastAsia="宋体"/>
          <w:color w:val="auto"/>
          <w:sz w:val="28"/>
          <w:szCs w:val="28"/>
        </w:rPr>
        <w:t>1211</w:t>
      </w:r>
      <w:r>
        <w:rPr>
          <w:rFonts w:hint="eastAsia" w:ascii="宋体" w:hAnsi="宋体" w:eastAsia="宋体"/>
          <w:color w:val="auto"/>
          <w:sz w:val="28"/>
          <w:szCs w:val="28"/>
        </w:rPr>
        <w:t>，主要是接待上级媒体采访拍摄组、上级部门、党史巡回指导组以及其他单位工作对接发生的接待支出。</w:t>
      </w:r>
    </w:p>
    <w:p>
      <w:pPr>
        <w:spacing w:line="520" w:lineRule="exact"/>
        <w:ind w:firstLine="560" w:firstLineChars="200"/>
        <w:rPr>
          <w:rFonts w:ascii="宋体" w:hAnsi="宋体" w:cs="黑体"/>
          <w:color w:val="FF0000"/>
          <w:kern w:val="0"/>
          <w:sz w:val="28"/>
          <w:szCs w:val="28"/>
        </w:rPr>
      </w:pPr>
      <w:r>
        <w:rPr>
          <w:rFonts w:hint="eastAsia" w:ascii="宋体" w:hAnsi="宋体"/>
          <w:sz w:val="28"/>
          <w:szCs w:val="28"/>
        </w:rPr>
        <w:t>3、公务用车购置与运行维护费支出决算为12.4万元，其中，公务用车购置费为</w:t>
      </w:r>
      <w:r>
        <w:rPr>
          <w:rFonts w:ascii="宋体" w:hAnsi="宋体"/>
          <w:sz w:val="28"/>
          <w:szCs w:val="28"/>
        </w:rPr>
        <w:t>0</w:t>
      </w:r>
      <w:r>
        <w:rPr>
          <w:rFonts w:hint="eastAsia" w:ascii="宋体" w:hAnsi="宋体"/>
          <w:sz w:val="28"/>
          <w:szCs w:val="28"/>
        </w:rPr>
        <w:t>万元，公务用车运行维护费为</w:t>
      </w:r>
      <w:r>
        <w:rPr>
          <w:rFonts w:ascii="宋体" w:hAnsi="宋体"/>
          <w:sz w:val="28"/>
          <w:szCs w:val="28"/>
        </w:rPr>
        <w:t>12</w:t>
      </w:r>
      <w:r>
        <w:rPr>
          <w:rFonts w:hint="eastAsia" w:ascii="宋体" w:hAnsi="宋体"/>
          <w:sz w:val="28"/>
          <w:szCs w:val="28"/>
        </w:rPr>
        <w:t>.4万元，主要是公车用油与公车日常维修支出，截止2021年12月31日，我单位开支财政拨款的公务用车保有量为3辆。</w:t>
      </w:r>
    </w:p>
    <w:p>
      <w:pPr>
        <w:pStyle w:val="12"/>
        <w:spacing w:line="520" w:lineRule="exact"/>
        <w:ind w:firstLine="560" w:firstLineChars="200"/>
        <w:jc w:val="both"/>
        <w:rPr>
          <w:rFonts w:hAnsi="黑体"/>
          <w:b/>
          <w:sz w:val="28"/>
          <w:szCs w:val="28"/>
        </w:rPr>
      </w:pPr>
      <w:r>
        <w:rPr>
          <w:rFonts w:hint="eastAsia" w:hAnsi="黑体"/>
          <w:b/>
          <w:sz w:val="28"/>
          <w:szCs w:val="28"/>
        </w:rPr>
        <w:t>八、政府性基金预算收入支出决算情况</w:t>
      </w:r>
    </w:p>
    <w:p>
      <w:pPr>
        <w:pStyle w:val="12"/>
        <w:spacing w:line="520" w:lineRule="exact"/>
        <w:ind w:firstLine="560" w:firstLineChars="200"/>
        <w:jc w:val="both"/>
        <w:rPr>
          <w:rFonts w:ascii="宋体" w:hAnsi="宋体" w:eastAsia="宋体"/>
          <w:i/>
          <w:color w:val="FF0000"/>
          <w:sz w:val="28"/>
          <w:szCs w:val="28"/>
        </w:rPr>
      </w:pPr>
      <w:r>
        <w:rPr>
          <w:rFonts w:hint="eastAsia" w:ascii="宋体" w:hAnsi="宋体" w:eastAsia="宋体"/>
          <w:sz w:val="28"/>
          <w:szCs w:val="28"/>
        </w:rPr>
        <w:t>本单位无政府性基金收支。</w:t>
      </w:r>
    </w:p>
    <w:p>
      <w:pPr>
        <w:pStyle w:val="12"/>
        <w:spacing w:line="520" w:lineRule="exact"/>
        <w:ind w:firstLine="560" w:firstLineChars="200"/>
        <w:jc w:val="both"/>
        <w:rPr>
          <w:rFonts w:hAnsi="黑体"/>
          <w:b/>
          <w:sz w:val="28"/>
          <w:szCs w:val="28"/>
        </w:rPr>
      </w:pPr>
      <w:r>
        <w:rPr>
          <w:rFonts w:hint="eastAsia" w:hAnsi="黑体"/>
          <w:b/>
          <w:sz w:val="28"/>
          <w:szCs w:val="28"/>
        </w:rPr>
        <w:t>九、国有资本经营预算财政拨款支出决算情况</w:t>
      </w:r>
    </w:p>
    <w:p>
      <w:pPr>
        <w:pStyle w:val="12"/>
        <w:spacing w:line="520" w:lineRule="exact"/>
        <w:ind w:firstLine="560" w:firstLineChars="200"/>
        <w:jc w:val="both"/>
        <w:rPr>
          <w:rFonts w:hAnsi="黑体"/>
          <w:b/>
          <w:sz w:val="28"/>
          <w:szCs w:val="28"/>
        </w:rPr>
      </w:pPr>
      <w:r>
        <w:rPr>
          <w:rFonts w:hint="eastAsia" w:ascii="宋体" w:hAnsi="宋体" w:eastAsia="宋体"/>
          <w:sz w:val="28"/>
          <w:szCs w:val="28"/>
        </w:rPr>
        <w:t>本单位无国有资本经营预算财政拨款支出。</w:t>
      </w:r>
    </w:p>
    <w:p>
      <w:pPr>
        <w:pStyle w:val="12"/>
        <w:spacing w:line="520" w:lineRule="exact"/>
        <w:ind w:firstLine="560" w:firstLineChars="200"/>
        <w:jc w:val="both"/>
        <w:rPr>
          <w:rFonts w:hAnsi="黑体"/>
          <w:b/>
          <w:sz w:val="28"/>
          <w:szCs w:val="28"/>
        </w:rPr>
      </w:pPr>
      <w:r>
        <w:rPr>
          <w:rFonts w:hint="eastAsia" w:hAnsi="黑体"/>
          <w:b/>
          <w:sz w:val="28"/>
          <w:szCs w:val="28"/>
        </w:rPr>
        <w:t>十、关于机关运行经费支出说明</w:t>
      </w:r>
    </w:p>
    <w:p>
      <w:pPr>
        <w:pStyle w:val="6"/>
        <w:widowControl w:val="0"/>
        <w:shd w:val="clear" w:color="auto" w:fill="FFFFFF"/>
        <w:spacing w:before="0" w:beforeAutospacing="0" w:after="0" w:afterAutospacing="0" w:line="520" w:lineRule="exact"/>
        <w:ind w:firstLine="560" w:firstLineChars="200"/>
        <w:jc w:val="both"/>
        <w:rPr>
          <w:sz w:val="28"/>
          <w:szCs w:val="28"/>
        </w:rPr>
      </w:pPr>
      <w:r>
        <w:rPr>
          <w:rFonts w:hint="eastAsia"/>
          <w:sz w:val="28"/>
          <w:szCs w:val="28"/>
        </w:rPr>
        <w:t>本部门2021年度机关运行经费支出2</w:t>
      </w:r>
      <w:r>
        <w:rPr>
          <w:sz w:val="28"/>
          <w:szCs w:val="28"/>
        </w:rPr>
        <w:t>78.04</w:t>
      </w:r>
      <w:r>
        <w:rPr>
          <w:rFonts w:hint="eastAsia"/>
          <w:sz w:val="28"/>
          <w:szCs w:val="28"/>
        </w:rPr>
        <w:t>万元，比上年决算数增加39.44万元，增加16.53%。主要原因是：为庆祝建党</w:t>
      </w:r>
      <w:r>
        <w:rPr>
          <w:sz w:val="28"/>
          <w:szCs w:val="28"/>
        </w:rPr>
        <w:t>100</w:t>
      </w:r>
      <w:r>
        <w:rPr>
          <w:rFonts w:hint="eastAsia"/>
          <w:sz w:val="28"/>
          <w:szCs w:val="28"/>
        </w:rPr>
        <w:t>周年召开的有关会议和培训等有所增加。</w:t>
      </w:r>
    </w:p>
    <w:p>
      <w:pPr>
        <w:pStyle w:val="12"/>
        <w:spacing w:line="520" w:lineRule="exact"/>
        <w:ind w:firstLine="560" w:firstLineChars="200"/>
        <w:jc w:val="both"/>
        <w:rPr>
          <w:rFonts w:hAnsi="黑体"/>
          <w:b/>
          <w:sz w:val="28"/>
          <w:szCs w:val="28"/>
        </w:rPr>
      </w:pPr>
      <w:r>
        <w:rPr>
          <w:rFonts w:hint="eastAsia" w:hAnsi="黑体"/>
          <w:b/>
          <w:sz w:val="28"/>
          <w:szCs w:val="28"/>
        </w:rPr>
        <w:t>十一、一般性支出情况</w:t>
      </w:r>
    </w:p>
    <w:p>
      <w:pPr>
        <w:ind w:firstLine="560" w:firstLineChars="200"/>
        <w:rPr>
          <w:rFonts w:ascii="宋体" w:hAnsi="宋体"/>
          <w:sz w:val="28"/>
          <w:szCs w:val="28"/>
        </w:rPr>
      </w:pPr>
      <w:r>
        <w:rPr>
          <w:rFonts w:hint="eastAsia" w:ascii="宋体" w:hAnsi="宋体"/>
          <w:sz w:val="28"/>
          <w:szCs w:val="28"/>
        </w:rPr>
        <w:t>2021年本部门开支会议费3.48万元，用于召开全市宣传部长会议，人数133人，内容为讲评20</w:t>
      </w:r>
      <w:r>
        <w:rPr>
          <w:rFonts w:ascii="宋体" w:hAnsi="宋体"/>
          <w:sz w:val="28"/>
          <w:szCs w:val="28"/>
        </w:rPr>
        <w:t>22</w:t>
      </w:r>
      <w:r>
        <w:rPr>
          <w:rFonts w:hint="eastAsia" w:ascii="宋体" w:hAnsi="宋体"/>
          <w:sz w:val="28"/>
          <w:szCs w:val="28"/>
        </w:rPr>
        <w:t>年宣传工作部署和202</w:t>
      </w:r>
      <w:r>
        <w:rPr>
          <w:rFonts w:ascii="宋体" w:hAnsi="宋体"/>
          <w:sz w:val="28"/>
          <w:szCs w:val="28"/>
        </w:rPr>
        <w:t>1</w:t>
      </w:r>
      <w:r>
        <w:rPr>
          <w:rFonts w:hint="eastAsia" w:ascii="宋体" w:hAnsi="宋体"/>
          <w:sz w:val="28"/>
          <w:szCs w:val="28"/>
        </w:rPr>
        <w:t>年宣传工作；召开全市文明委全会，与会人数43人，内容为总结2020年全市精神文明建设工作，研究部署2021年重点工作；召开意识形态工作联席会，人数90人，内容为推进意识形态工作。用于开展电影党课，人数210人，内容为开展电影党课。</w:t>
      </w:r>
    </w:p>
    <w:p>
      <w:pPr>
        <w:ind w:firstLine="560" w:firstLineChars="200"/>
        <w:rPr>
          <w:rFonts w:ascii="宋体" w:hAnsi="宋体"/>
          <w:color w:val="FF0000"/>
          <w:sz w:val="28"/>
          <w:szCs w:val="28"/>
        </w:rPr>
      </w:pPr>
      <w:r>
        <w:rPr>
          <w:rFonts w:hint="eastAsia" w:ascii="宋体" w:hAnsi="宋体"/>
          <w:sz w:val="28"/>
          <w:szCs w:val="28"/>
        </w:rPr>
        <w:t>未开办培训班，开支0万元。未举办节庆、晚会、论坛、赛事活动，开支0万元。</w:t>
      </w:r>
    </w:p>
    <w:p>
      <w:pPr>
        <w:pStyle w:val="12"/>
        <w:spacing w:line="520" w:lineRule="exact"/>
        <w:ind w:firstLine="560" w:firstLineChars="200"/>
        <w:jc w:val="both"/>
        <w:rPr>
          <w:rFonts w:hAnsi="黑体"/>
          <w:b/>
          <w:sz w:val="28"/>
          <w:szCs w:val="28"/>
        </w:rPr>
      </w:pPr>
      <w:r>
        <w:rPr>
          <w:rFonts w:hint="eastAsia" w:hAnsi="黑体"/>
          <w:b/>
          <w:sz w:val="28"/>
          <w:szCs w:val="28"/>
        </w:rPr>
        <w:t>十二、关于政府采购支出说明</w:t>
      </w:r>
    </w:p>
    <w:p>
      <w:pPr>
        <w:pStyle w:val="12"/>
        <w:spacing w:line="520" w:lineRule="exact"/>
        <w:rPr>
          <w:rFonts w:ascii="宋体" w:hAnsi="宋体" w:eastAsia="宋体"/>
          <w:color w:val="auto"/>
          <w:sz w:val="28"/>
          <w:szCs w:val="28"/>
        </w:rPr>
      </w:pPr>
      <w:r>
        <w:rPr>
          <w:rFonts w:hint="eastAsia" w:ascii="宋体" w:hAnsi="宋体" w:eastAsia="宋体"/>
          <w:color w:val="auto"/>
          <w:sz w:val="28"/>
          <w:szCs w:val="28"/>
        </w:rPr>
        <w:t xml:space="preserve">    本部门2021年度政府采购支出总额505.96万元，其中：政府采购货物支出0.44万元、政府采购工程支出</w:t>
      </w:r>
      <w:r>
        <w:rPr>
          <w:rFonts w:ascii="宋体" w:hAnsi="宋体" w:eastAsia="宋体"/>
          <w:color w:val="auto"/>
          <w:sz w:val="28"/>
          <w:szCs w:val="28"/>
        </w:rPr>
        <w:t>0</w:t>
      </w:r>
      <w:r>
        <w:rPr>
          <w:rFonts w:hint="eastAsia" w:ascii="宋体" w:hAnsi="宋体" w:eastAsia="宋体"/>
          <w:color w:val="auto"/>
          <w:sz w:val="28"/>
          <w:szCs w:val="28"/>
        </w:rPr>
        <w:t>万元、政府采购服务支出505.52万元。授予中小企业合同金额</w:t>
      </w:r>
      <w:r>
        <w:rPr>
          <w:rFonts w:ascii="宋体" w:hAnsi="宋体" w:eastAsia="宋体"/>
          <w:color w:val="auto"/>
          <w:sz w:val="28"/>
          <w:szCs w:val="28"/>
        </w:rPr>
        <w:t>0</w:t>
      </w:r>
      <w:r>
        <w:rPr>
          <w:rFonts w:hint="eastAsia" w:ascii="宋体" w:hAnsi="宋体" w:eastAsia="宋体"/>
          <w:color w:val="auto"/>
          <w:sz w:val="28"/>
          <w:szCs w:val="28"/>
        </w:rPr>
        <w:t>万元，占政府采购支出总额的</w:t>
      </w:r>
      <w:r>
        <w:rPr>
          <w:rFonts w:ascii="宋体" w:hAnsi="宋体" w:eastAsia="宋体"/>
          <w:color w:val="auto"/>
          <w:sz w:val="28"/>
          <w:szCs w:val="28"/>
        </w:rPr>
        <w:t>0</w:t>
      </w:r>
      <w:r>
        <w:rPr>
          <w:rFonts w:hint="eastAsia" w:ascii="宋体" w:hAnsi="宋体" w:eastAsia="宋体"/>
          <w:color w:val="auto"/>
          <w:sz w:val="28"/>
          <w:szCs w:val="28"/>
        </w:rPr>
        <w:t>%，其中：授予小微企业合同金额</w:t>
      </w:r>
      <w:r>
        <w:rPr>
          <w:rFonts w:ascii="宋体" w:hAnsi="宋体" w:eastAsia="宋体"/>
          <w:color w:val="auto"/>
          <w:sz w:val="28"/>
          <w:szCs w:val="28"/>
        </w:rPr>
        <w:t>0</w:t>
      </w:r>
      <w:r>
        <w:rPr>
          <w:rFonts w:hint="eastAsia" w:ascii="宋体" w:hAnsi="宋体" w:eastAsia="宋体"/>
          <w:color w:val="auto"/>
          <w:sz w:val="28"/>
          <w:szCs w:val="28"/>
        </w:rPr>
        <w:t>万元，占政府采购支出总额的</w:t>
      </w:r>
      <w:r>
        <w:rPr>
          <w:rFonts w:ascii="宋体" w:hAnsi="宋体" w:eastAsia="宋体"/>
          <w:color w:val="auto"/>
          <w:sz w:val="28"/>
          <w:szCs w:val="28"/>
        </w:rPr>
        <w:t>0</w:t>
      </w:r>
      <w:r>
        <w:rPr>
          <w:rFonts w:hint="eastAsia" w:ascii="宋体" w:hAnsi="宋体" w:eastAsia="宋体"/>
          <w:color w:val="auto"/>
          <w:sz w:val="28"/>
          <w:szCs w:val="28"/>
        </w:rPr>
        <w:t>%。货物采购授予中小企业合同金额占货物支出金额的0%，工程采购授予中小企业合同金额占工程支出金额的0%，服务采购授予中小企业合同金额占服务支出金额的0%。</w:t>
      </w:r>
    </w:p>
    <w:p>
      <w:pPr>
        <w:pStyle w:val="12"/>
        <w:spacing w:line="520" w:lineRule="exact"/>
        <w:ind w:firstLine="560" w:firstLineChars="200"/>
        <w:jc w:val="both"/>
        <w:rPr>
          <w:rFonts w:ascii="宋体" w:hAnsi="宋体" w:eastAsia="宋体"/>
          <w:color w:val="auto"/>
          <w:sz w:val="28"/>
          <w:szCs w:val="28"/>
        </w:rPr>
      </w:pPr>
    </w:p>
    <w:p>
      <w:pPr>
        <w:pStyle w:val="12"/>
        <w:spacing w:line="520" w:lineRule="exact"/>
        <w:ind w:firstLine="560" w:firstLineChars="200"/>
        <w:jc w:val="both"/>
        <w:rPr>
          <w:rFonts w:hAnsi="黑体"/>
          <w:b/>
          <w:sz w:val="28"/>
          <w:szCs w:val="28"/>
        </w:rPr>
      </w:pPr>
      <w:r>
        <w:rPr>
          <w:rFonts w:hint="eastAsia" w:hAnsi="黑体"/>
          <w:b/>
          <w:sz w:val="28"/>
          <w:szCs w:val="28"/>
        </w:rPr>
        <w:t>十三、关于国有资产占用情况说明</w:t>
      </w:r>
    </w:p>
    <w:p>
      <w:pPr>
        <w:pStyle w:val="12"/>
        <w:spacing w:line="520" w:lineRule="exact"/>
        <w:ind w:firstLine="560" w:firstLineChars="200"/>
        <w:jc w:val="both"/>
        <w:rPr>
          <w:rFonts w:ascii="宋体" w:hAnsi="宋体" w:eastAsia="宋体"/>
          <w:color w:val="FF0000"/>
          <w:sz w:val="28"/>
          <w:szCs w:val="28"/>
        </w:rPr>
      </w:pPr>
      <w:r>
        <w:rPr>
          <w:rFonts w:hint="eastAsia" w:ascii="宋体" w:hAnsi="宋体" w:eastAsia="宋体"/>
          <w:color w:val="auto"/>
          <w:sz w:val="28"/>
          <w:szCs w:val="28"/>
        </w:rPr>
        <w:t>截至2021年12月31日，本单位共有车辆</w:t>
      </w:r>
      <w:r>
        <w:rPr>
          <w:rFonts w:ascii="宋体" w:hAnsi="宋体" w:eastAsia="宋体"/>
          <w:color w:val="auto"/>
          <w:sz w:val="28"/>
          <w:szCs w:val="28"/>
        </w:rPr>
        <w:t>3</w:t>
      </w:r>
      <w:r>
        <w:rPr>
          <w:rFonts w:hint="eastAsia" w:ascii="宋体" w:hAnsi="宋体" w:eastAsia="宋体"/>
          <w:color w:val="auto"/>
          <w:sz w:val="28"/>
          <w:szCs w:val="28"/>
        </w:rPr>
        <w:t>辆，其中，主要领导干部用车</w:t>
      </w:r>
      <w:r>
        <w:rPr>
          <w:rFonts w:ascii="宋体" w:hAnsi="宋体" w:eastAsia="宋体"/>
          <w:color w:val="auto"/>
          <w:sz w:val="28"/>
          <w:szCs w:val="28"/>
        </w:rPr>
        <w:t>0</w:t>
      </w:r>
      <w:r>
        <w:rPr>
          <w:rFonts w:hint="eastAsia" w:ascii="宋体" w:hAnsi="宋体" w:eastAsia="宋体"/>
          <w:color w:val="auto"/>
          <w:sz w:val="28"/>
          <w:szCs w:val="28"/>
        </w:rPr>
        <w:t>辆，机要通信用车0辆、应急保障用车3辆、执法执勤用车</w:t>
      </w:r>
      <w:r>
        <w:rPr>
          <w:rFonts w:ascii="宋体" w:hAnsi="宋体" w:eastAsia="宋体"/>
          <w:color w:val="auto"/>
          <w:sz w:val="28"/>
          <w:szCs w:val="28"/>
        </w:rPr>
        <w:t>0</w:t>
      </w:r>
      <w:r>
        <w:rPr>
          <w:rFonts w:hint="eastAsia" w:ascii="宋体" w:hAnsi="宋体" w:eastAsia="宋体"/>
          <w:color w:val="auto"/>
          <w:sz w:val="28"/>
          <w:szCs w:val="28"/>
        </w:rPr>
        <w:t>辆、特种专业技术用车</w:t>
      </w:r>
      <w:r>
        <w:rPr>
          <w:rFonts w:ascii="宋体" w:hAnsi="宋体" w:eastAsia="宋体"/>
          <w:color w:val="auto"/>
          <w:sz w:val="28"/>
          <w:szCs w:val="28"/>
        </w:rPr>
        <w:t>0</w:t>
      </w:r>
      <w:r>
        <w:rPr>
          <w:rFonts w:hint="eastAsia" w:ascii="宋体" w:hAnsi="宋体" w:eastAsia="宋体"/>
          <w:color w:val="auto"/>
          <w:sz w:val="28"/>
          <w:szCs w:val="28"/>
        </w:rPr>
        <w:t>辆、其他用车</w:t>
      </w:r>
      <w:r>
        <w:rPr>
          <w:rFonts w:ascii="宋体" w:hAnsi="宋体" w:eastAsia="宋体"/>
          <w:color w:val="auto"/>
          <w:sz w:val="28"/>
          <w:szCs w:val="28"/>
        </w:rPr>
        <w:t>0</w:t>
      </w:r>
      <w:r>
        <w:rPr>
          <w:rFonts w:hint="eastAsia" w:ascii="宋体" w:hAnsi="宋体" w:eastAsia="宋体"/>
          <w:color w:val="auto"/>
          <w:sz w:val="28"/>
          <w:szCs w:val="28"/>
        </w:rPr>
        <w:t>辆；单位价值50万元以上通用设备</w:t>
      </w:r>
      <w:r>
        <w:rPr>
          <w:rFonts w:ascii="宋体" w:hAnsi="宋体" w:eastAsia="宋体"/>
          <w:color w:val="auto"/>
          <w:sz w:val="28"/>
          <w:szCs w:val="28"/>
        </w:rPr>
        <w:t>0</w:t>
      </w:r>
      <w:r>
        <w:rPr>
          <w:rFonts w:hint="eastAsia" w:ascii="宋体" w:hAnsi="宋体" w:eastAsia="宋体"/>
          <w:color w:val="auto"/>
          <w:sz w:val="28"/>
          <w:szCs w:val="28"/>
        </w:rPr>
        <w:t>台（套）；单位价值100万元以上专用设备</w:t>
      </w:r>
      <w:r>
        <w:rPr>
          <w:rFonts w:ascii="宋体" w:hAnsi="宋体" w:eastAsia="宋体"/>
          <w:color w:val="auto"/>
          <w:sz w:val="28"/>
          <w:szCs w:val="28"/>
        </w:rPr>
        <w:t>0</w:t>
      </w:r>
      <w:r>
        <w:rPr>
          <w:rFonts w:hint="eastAsia" w:ascii="宋体" w:hAnsi="宋体" w:eastAsia="宋体"/>
          <w:color w:val="auto"/>
          <w:sz w:val="28"/>
          <w:szCs w:val="28"/>
        </w:rPr>
        <w:t>台（套）。</w:t>
      </w:r>
    </w:p>
    <w:p>
      <w:pPr>
        <w:pStyle w:val="12"/>
        <w:spacing w:line="520" w:lineRule="exact"/>
        <w:ind w:firstLine="560" w:firstLineChars="200"/>
        <w:jc w:val="both"/>
        <w:rPr>
          <w:rFonts w:hAnsi="黑体"/>
          <w:b/>
          <w:sz w:val="28"/>
          <w:szCs w:val="28"/>
          <w:highlight w:val="none"/>
        </w:rPr>
      </w:pPr>
      <w:r>
        <w:rPr>
          <w:rFonts w:hint="eastAsia" w:hAnsi="黑体"/>
          <w:b/>
          <w:sz w:val="28"/>
          <w:szCs w:val="28"/>
          <w:highlight w:val="none"/>
        </w:rPr>
        <w:t>十四、关于2021年度预算绩效情况的说明</w:t>
      </w:r>
    </w:p>
    <w:p>
      <w:pPr>
        <w:pStyle w:val="12"/>
        <w:spacing w:line="520" w:lineRule="exact"/>
        <w:ind w:firstLine="560" w:firstLineChars="200"/>
        <w:jc w:val="both"/>
        <w:rPr>
          <w:rFonts w:hint="eastAsia" w:ascii="宋体" w:hAnsi="宋体" w:eastAsia="宋体"/>
          <w:sz w:val="28"/>
          <w:szCs w:val="28"/>
          <w:highlight w:val="none"/>
        </w:rPr>
      </w:pPr>
      <w:r>
        <w:rPr>
          <w:rFonts w:hint="eastAsia" w:ascii="宋体" w:hAnsi="宋体" w:eastAsia="宋体"/>
          <w:sz w:val="28"/>
          <w:szCs w:val="28"/>
          <w:highlight w:val="none"/>
        </w:rPr>
        <w:t>（1）绩效管理评价工作开展情况。</w:t>
      </w:r>
    </w:p>
    <w:p>
      <w:pPr>
        <w:pStyle w:val="12"/>
        <w:spacing w:line="520" w:lineRule="exact"/>
        <w:ind w:firstLine="560" w:firstLineChars="200"/>
        <w:jc w:val="both"/>
        <w:rPr>
          <w:rFonts w:hint="eastAsia" w:ascii="宋体" w:hAnsi="宋体" w:eastAsia="宋体"/>
          <w:sz w:val="28"/>
          <w:szCs w:val="28"/>
          <w:highlight w:val="none"/>
        </w:rPr>
      </w:pPr>
      <w:r>
        <w:rPr>
          <w:rFonts w:hint="eastAsia" w:ascii="宋体" w:hAnsi="宋体" w:eastAsia="宋体"/>
          <w:sz w:val="28"/>
          <w:szCs w:val="28"/>
          <w:highlight w:val="none"/>
        </w:rPr>
        <w:t>根据预算绩效管理要求，我部门组织对2021年度一般公共预算支出全面开展绩效自评</w:t>
      </w:r>
      <w:r>
        <w:rPr>
          <w:rFonts w:hint="eastAsia" w:ascii="宋体" w:hAnsi="宋体" w:eastAsia="宋体"/>
          <w:sz w:val="28"/>
          <w:szCs w:val="28"/>
          <w:highlight w:val="none"/>
          <w:lang w:eastAsia="zh-CN"/>
        </w:rPr>
        <w:t>，详见整体绩效自评报告。</w:t>
      </w:r>
    </w:p>
    <w:p>
      <w:pPr>
        <w:pStyle w:val="12"/>
        <w:spacing w:line="520" w:lineRule="exact"/>
        <w:ind w:firstLine="560" w:firstLineChars="200"/>
        <w:jc w:val="both"/>
        <w:rPr>
          <w:rFonts w:hint="eastAsia" w:ascii="宋体" w:hAnsi="宋体" w:eastAsia="宋体"/>
          <w:sz w:val="28"/>
          <w:szCs w:val="28"/>
          <w:highlight w:val="none"/>
        </w:rPr>
      </w:pPr>
      <w:r>
        <w:rPr>
          <w:rFonts w:hint="eastAsia" w:ascii="宋体" w:hAnsi="宋体" w:eastAsia="宋体"/>
          <w:sz w:val="28"/>
          <w:szCs w:val="28"/>
          <w:highlight w:val="none"/>
        </w:rPr>
        <w:t>（2）部门决算中项目绩效自评结果。</w:t>
      </w:r>
    </w:p>
    <w:p>
      <w:pPr>
        <w:pStyle w:val="12"/>
        <w:spacing w:line="520" w:lineRule="exact"/>
        <w:ind w:firstLine="560" w:firstLineChars="200"/>
        <w:jc w:val="both"/>
        <w:rPr>
          <w:rFonts w:hint="eastAsia" w:ascii="宋体" w:hAnsi="宋体" w:eastAsia="宋体"/>
          <w:sz w:val="28"/>
          <w:szCs w:val="28"/>
          <w:highlight w:val="none"/>
        </w:rPr>
      </w:pPr>
      <w:r>
        <w:rPr>
          <w:rFonts w:hint="eastAsia" w:ascii="宋体" w:hAnsi="宋体" w:eastAsia="宋体"/>
          <w:sz w:val="28"/>
          <w:szCs w:val="28"/>
          <w:highlight w:val="none"/>
          <w:lang w:eastAsia="zh-CN"/>
        </w:rPr>
        <w:t>由于预算项目支出为涉密事项，按规定不予公开。</w:t>
      </w:r>
    </w:p>
    <w:p>
      <w:pPr>
        <w:pStyle w:val="12"/>
        <w:spacing w:line="520" w:lineRule="exact"/>
        <w:ind w:firstLine="560" w:firstLineChars="200"/>
        <w:jc w:val="both"/>
        <w:rPr>
          <w:rFonts w:hint="eastAsia" w:ascii="宋体" w:hAnsi="宋体" w:eastAsia="宋体"/>
          <w:sz w:val="28"/>
          <w:szCs w:val="28"/>
          <w:highlight w:val="none"/>
        </w:rPr>
      </w:pPr>
      <w:r>
        <w:rPr>
          <w:rFonts w:hint="eastAsia" w:ascii="宋体" w:hAnsi="宋体" w:eastAsia="宋体"/>
          <w:sz w:val="28"/>
          <w:szCs w:val="28"/>
          <w:highlight w:val="none"/>
        </w:rPr>
        <w:t>（3）部门评价项目绩效评价结果。</w:t>
      </w:r>
    </w:p>
    <w:p>
      <w:pPr>
        <w:pStyle w:val="12"/>
        <w:spacing w:line="520" w:lineRule="exact"/>
        <w:ind w:firstLine="560" w:firstLineChars="200"/>
        <w:jc w:val="both"/>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由于预算项目支出为涉密事项，按规定不予公开。</w:t>
      </w:r>
    </w:p>
    <w:p>
      <w:pPr>
        <w:pStyle w:val="12"/>
        <w:spacing w:line="520" w:lineRule="exact"/>
        <w:ind w:firstLine="560" w:firstLineChars="200"/>
        <w:jc w:val="both"/>
        <w:rPr>
          <w:rFonts w:hint="eastAsia" w:ascii="宋体" w:hAnsi="宋体" w:eastAsia="宋体"/>
          <w:sz w:val="28"/>
          <w:szCs w:val="28"/>
          <w:highlight w:val="none"/>
        </w:rPr>
      </w:pPr>
      <w:r>
        <w:rPr>
          <w:rFonts w:hint="eastAsia" w:ascii="宋体" w:hAnsi="宋体" w:eastAsia="宋体"/>
          <w:sz w:val="28"/>
          <w:szCs w:val="28"/>
          <w:highlight w:val="none"/>
          <w:lang w:eastAsia="zh-CN"/>
        </w:rPr>
        <w:t>整体</w:t>
      </w:r>
      <w:r>
        <w:rPr>
          <w:rFonts w:hint="eastAsia" w:ascii="宋体" w:hAnsi="宋体" w:eastAsia="宋体"/>
          <w:sz w:val="28"/>
          <w:szCs w:val="28"/>
          <w:highlight w:val="none"/>
        </w:rPr>
        <w:t>绩效</w:t>
      </w:r>
      <w:r>
        <w:rPr>
          <w:rFonts w:hint="eastAsia" w:ascii="宋体" w:hAnsi="宋体" w:eastAsia="宋体"/>
          <w:sz w:val="28"/>
          <w:szCs w:val="28"/>
          <w:highlight w:val="none"/>
          <w:lang w:eastAsia="zh-CN"/>
        </w:rPr>
        <w:t>自评</w:t>
      </w:r>
      <w:r>
        <w:rPr>
          <w:rFonts w:hint="eastAsia" w:ascii="宋体" w:hAnsi="宋体" w:eastAsia="宋体"/>
          <w:sz w:val="28"/>
          <w:szCs w:val="28"/>
          <w:highlight w:val="none"/>
        </w:rPr>
        <w:t>报告</w:t>
      </w:r>
      <w:r>
        <w:rPr>
          <w:rFonts w:hint="eastAsia" w:ascii="宋体" w:hAnsi="宋体" w:eastAsia="宋体"/>
          <w:sz w:val="28"/>
          <w:szCs w:val="28"/>
          <w:highlight w:val="none"/>
          <w:lang w:eastAsia="zh-CN"/>
        </w:rPr>
        <w:t>将</w:t>
      </w:r>
      <w:r>
        <w:rPr>
          <w:rFonts w:hint="eastAsia" w:ascii="宋体" w:hAnsi="宋体" w:eastAsia="宋体"/>
          <w:sz w:val="28"/>
          <w:szCs w:val="28"/>
          <w:highlight w:val="none"/>
        </w:rPr>
        <w:t>作为附件公开。</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2"/>
          <w:szCs w:val="72"/>
        </w:rPr>
      </w:pPr>
    </w:p>
    <w:p>
      <w:pPr>
        <w:jc w:val="center"/>
        <w:rPr>
          <w:rFonts w:ascii="黑体" w:eastAsia="黑体" w:cs="黑体"/>
          <w:color w:val="000000"/>
          <w:kern w:val="0"/>
          <w:sz w:val="72"/>
          <w:szCs w:val="72"/>
        </w:rPr>
      </w:pPr>
      <w:r>
        <w:rPr>
          <w:rFonts w:hint="eastAsia" w:ascii="黑体" w:eastAsia="黑体" w:cs="黑体"/>
          <w:color w:val="000000"/>
          <w:kern w:val="0"/>
          <w:sz w:val="72"/>
          <w:szCs w:val="7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一、财政拨款收入：指本年度从本级财政部门取得的财政拨款，包括一般公共预算财政拨款和政府性基金预算财政拨款。</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二、事业收入：指事业单位开展专业业务活动及其辅助活动取得的收入；事业单位收到的财政专户实际核拨的教育收费等资金在此反映。</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三、经营收入：指事业单位在专业业务活动及其辅助活动之外开展非独立核算经营活动取得的收入。</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六、年初结转和结余：指单位上年结转本年使用的基本支出结转、项目支出结转和结余、经营结余。不包括事业单位净资产项下的事业基金和专用基金。</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七、年末结转和结余：指单位结转下年的基本支出结转、项目支出结转和结余、经营结余。不包括事业单位净资产项下的事业基金和专用基金。</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八、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九、项目支出：指在基本支出之外为完成特定行政任务和事业发展目标所发生的支出。</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十、经营支出：指事业单位在专业业务活动及其辅助活动之外开展非独立核算经营活动发生的支出。</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十一、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十二、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十三、工资福利支出（支出经济分类科目类级）：反映单位开支的在职职工和编制外长期聘用人员的各类劳动报酬，以及为上述人员缴纳的各项社会保险费等。</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十四、商品和服务支出（支出经济分类科目类级）：反映单位购买商品和服务的支出（不包括用于购置固定资产的支出、战略性和应急储备支出）。</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pStyle w:val="12"/>
        <w:jc w:val="center"/>
        <w:rPr>
          <w:sz w:val="72"/>
          <w:szCs w:val="72"/>
        </w:rPr>
      </w:pPr>
      <w:r>
        <w:rPr>
          <w:rFonts w:hint="eastAsia"/>
          <w:sz w:val="72"/>
          <w:szCs w:val="72"/>
        </w:rPr>
        <w:t>附件</w:t>
      </w:r>
    </w:p>
    <w:p>
      <w:pPr>
        <w:pStyle w:val="12"/>
        <w:jc w:val="both"/>
        <w:rPr>
          <w:sz w:val="72"/>
          <w:szCs w:val="72"/>
        </w:rPr>
      </w:pPr>
    </w:p>
    <w:p>
      <w:pPr>
        <w:jc w:val="left"/>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1、2021年部门决算公开表格</w:t>
      </w:r>
    </w:p>
    <w:p>
      <w:pPr>
        <w:jc w:val="left"/>
        <w:rPr>
          <w:rFonts w:ascii="宋体" w:hAnsi="宋体" w:cs="黑体"/>
          <w:color w:val="000000"/>
          <w:kern w:val="0"/>
          <w:sz w:val="32"/>
          <w:szCs w:val="32"/>
        </w:rPr>
      </w:pPr>
      <w:r>
        <w:rPr>
          <w:rFonts w:hint="eastAsia" w:ascii="仿宋" w:hAnsi="仿宋" w:eastAsia="仿宋" w:cs="仿宋"/>
          <w:bCs/>
          <w:color w:val="000000"/>
          <w:kern w:val="0"/>
          <w:sz w:val="32"/>
          <w:szCs w:val="32"/>
        </w:rPr>
        <w:t>2、2021年度部门整体支出绩效自评报告</w:t>
      </w:r>
    </w:p>
    <w:sectPr>
      <w:pgSz w:w="11906" w:h="16838"/>
      <w:pgMar w:top="1417"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瀹嬩綋">
    <w:altName w:val="华文仿宋"/>
    <w:panose1 w:val="00000000000000000000"/>
    <w:charset w:val="86"/>
    <w:family w:val="roma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11D85"/>
    <w:multiLevelType w:val="singleLevel"/>
    <w:tmpl w:val="C9A11D85"/>
    <w:lvl w:ilvl="0" w:tentative="0">
      <w:start w:val="1"/>
      <w:numFmt w:val="decimal"/>
      <w:suff w:val="nothing"/>
      <w:lvlText w:val="%1、"/>
      <w:lvlJc w:val="left"/>
    </w:lvl>
  </w:abstractNum>
  <w:abstractNum w:abstractNumId="1">
    <w:nsid w:val="0053208E"/>
    <w:multiLevelType w:val="multilevel"/>
    <w:tmpl w:val="0053208E"/>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visionView w:markup="0"/>
  <w:trackRevisions w:val="true"/>
  <w:documentProtection w:enforcement="0"/>
  <w:defaultTabStop w:val="420"/>
  <w:drawingGridHorizontalSpacing w:val="105"/>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yNTEzODcyYWEyNmU1YjIwMTAxNjM2ODVkZWQwZjAifQ=="/>
  </w:docVars>
  <w:rsids>
    <w:rsidRoot w:val="00E40B2E"/>
    <w:rsid w:val="000D0E44"/>
    <w:rsid w:val="003C29E9"/>
    <w:rsid w:val="004E6F77"/>
    <w:rsid w:val="00617F62"/>
    <w:rsid w:val="00705B15"/>
    <w:rsid w:val="00A35EC7"/>
    <w:rsid w:val="00C12F86"/>
    <w:rsid w:val="00DE01A5"/>
    <w:rsid w:val="00E40B2E"/>
    <w:rsid w:val="010C073E"/>
    <w:rsid w:val="029D1C40"/>
    <w:rsid w:val="02BD7859"/>
    <w:rsid w:val="03326E6E"/>
    <w:rsid w:val="040F04F5"/>
    <w:rsid w:val="06182F0F"/>
    <w:rsid w:val="074657C2"/>
    <w:rsid w:val="07E72FE2"/>
    <w:rsid w:val="09074505"/>
    <w:rsid w:val="096F5AD2"/>
    <w:rsid w:val="09BD0BE3"/>
    <w:rsid w:val="0B8306A3"/>
    <w:rsid w:val="0BDF1F96"/>
    <w:rsid w:val="0C1E0C33"/>
    <w:rsid w:val="0C3504BF"/>
    <w:rsid w:val="0F602088"/>
    <w:rsid w:val="0FE24962"/>
    <w:rsid w:val="0FF7BF85"/>
    <w:rsid w:val="10251D2D"/>
    <w:rsid w:val="10BE3145"/>
    <w:rsid w:val="10C04E65"/>
    <w:rsid w:val="11AB171C"/>
    <w:rsid w:val="11EA0379"/>
    <w:rsid w:val="124774C7"/>
    <w:rsid w:val="131C13F7"/>
    <w:rsid w:val="1424363F"/>
    <w:rsid w:val="143BD8A8"/>
    <w:rsid w:val="14946B1F"/>
    <w:rsid w:val="14EE34BC"/>
    <w:rsid w:val="154D420F"/>
    <w:rsid w:val="15852624"/>
    <w:rsid w:val="15FA4C78"/>
    <w:rsid w:val="16B2D889"/>
    <w:rsid w:val="179A7E78"/>
    <w:rsid w:val="17D65604"/>
    <w:rsid w:val="18FE4791"/>
    <w:rsid w:val="18FF826E"/>
    <w:rsid w:val="198C5E7A"/>
    <w:rsid w:val="1A333219"/>
    <w:rsid w:val="1C5219C0"/>
    <w:rsid w:val="1C7F280A"/>
    <w:rsid w:val="1CA86FAE"/>
    <w:rsid w:val="1CB2151C"/>
    <w:rsid w:val="1DC13A4B"/>
    <w:rsid w:val="1DD53512"/>
    <w:rsid w:val="1DDF71D2"/>
    <w:rsid w:val="1E5F74CF"/>
    <w:rsid w:val="1EC03C82"/>
    <w:rsid w:val="1EDBF668"/>
    <w:rsid w:val="1F6422C1"/>
    <w:rsid w:val="1F9FBEAC"/>
    <w:rsid w:val="1FEF0622"/>
    <w:rsid w:val="1FFA341C"/>
    <w:rsid w:val="20C265E8"/>
    <w:rsid w:val="20F72756"/>
    <w:rsid w:val="21234E24"/>
    <w:rsid w:val="2225417C"/>
    <w:rsid w:val="222C1A6D"/>
    <w:rsid w:val="22720CD3"/>
    <w:rsid w:val="22BD6732"/>
    <w:rsid w:val="22F21079"/>
    <w:rsid w:val="240115C5"/>
    <w:rsid w:val="24D22F33"/>
    <w:rsid w:val="255E48FA"/>
    <w:rsid w:val="26BE2DB7"/>
    <w:rsid w:val="2742D761"/>
    <w:rsid w:val="27F171E8"/>
    <w:rsid w:val="295BA93C"/>
    <w:rsid w:val="299B378A"/>
    <w:rsid w:val="29C514CB"/>
    <w:rsid w:val="2A267CC3"/>
    <w:rsid w:val="2A552899"/>
    <w:rsid w:val="2AA000DB"/>
    <w:rsid w:val="2B5ED298"/>
    <w:rsid w:val="2C674EC8"/>
    <w:rsid w:val="2C7B6C29"/>
    <w:rsid w:val="2CE34A8B"/>
    <w:rsid w:val="2CF7318D"/>
    <w:rsid w:val="2CFDDA27"/>
    <w:rsid w:val="2DE372CC"/>
    <w:rsid w:val="2E3B544B"/>
    <w:rsid w:val="2EE11FD4"/>
    <w:rsid w:val="2F6242C5"/>
    <w:rsid w:val="2F671D26"/>
    <w:rsid w:val="2F6A09A6"/>
    <w:rsid w:val="2FA70AA7"/>
    <w:rsid w:val="2FF79E17"/>
    <w:rsid w:val="2FFA1A9C"/>
    <w:rsid w:val="2FFF5709"/>
    <w:rsid w:val="3135720E"/>
    <w:rsid w:val="31DA35B8"/>
    <w:rsid w:val="32272B8D"/>
    <w:rsid w:val="323A55B9"/>
    <w:rsid w:val="324B78C7"/>
    <w:rsid w:val="34EF3737"/>
    <w:rsid w:val="35EB1142"/>
    <w:rsid w:val="36D757E6"/>
    <w:rsid w:val="377EB637"/>
    <w:rsid w:val="37D55428"/>
    <w:rsid w:val="37F3CB39"/>
    <w:rsid w:val="37FA0E2B"/>
    <w:rsid w:val="390547AD"/>
    <w:rsid w:val="3ADE2099"/>
    <w:rsid w:val="3B161835"/>
    <w:rsid w:val="3B3F4D15"/>
    <w:rsid w:val="3B7BDB66"/>
    <w:rsid w:val="3BB78A7D"/>
    <w:rsid w:val="3BDE6733"/>
    <w:rsid w:val="3BF8691E"/>
    <w:rsid w:val="3CBD9FAE"/>
    <w:rsid w:val="3CF7D159"/>
    <w:rsid w:val="3D413E87"/>
    <w:rsid w:val="3D5F2449"/>
    <w:rsid w:val="3D7E8502"/>
    <w:rsid w:val="3DD7E33F"/>
    <w:rsid w:val="3DFDF15A"/>
    <w:rsid w:val="3DFFB357"/>
    <w:rsid w:val="3E015902"/>
    <w:rsid w:val="3E5B306A"/>
    <w:rsid w:val="3E7FCC33"/>
    <w:rsid w:val="3EAA7327"/>
    <w:rsid w:val="3EBDFAB7"/>
    <w:rsid w:val="3EDD2948"/>
    <w:rsid w:val="3EEE95EC"/>
    <w:rsid w:val="3EF27829"/>
    <w:rsid w:val="3EF7127C"/>
    <w:rsid w:val="3EF7B2EA"/>
    <w:rsid w:val="3EFE2B17"/>
    <w:rsid w:val="3F0D4786"/>
    <w:rsid w:val="3F1BC82C"/>
    <w:rsid w:val="3F7FFE4C"/>
    <w:rsid w:val="3FAF1778"/>
    <w:rsid w:val="3FB96A6D"/>
    <w:rsid w:val="3FBA649E"/>
    <w:rsid w:val="3FBE9CAF"/>
    <w:rsid w:val="3FBFF462"/>
    <w:rsid w:val="40387607"/>
    <w:rsid w:val="40FB0238"/>
    <w:rsid w:val="41740DFA"/>
    <w:rsid w:val="41832679"/>
    <w:rsid w:val="41B9521D"/>
    <w:rsid w:val="420C2CFA"/>
    <w:rsid w:val="423931A7"/>
    <w:rsid w:val="42B67DF0"/>
    <w:rsid w:val="43710F5F"/>
    <w:rsid w:val="43E66C0F"/>
    <w:rsid w:val="4464552C"/>
    <w:rsid w:val="44DF1A8E"/>
    <w:rsid w:val="45282766"/>
    <w:rsid w:val="453928E3"/>
    <w:rsid w:val="45BBA0A0"/>
    <w:rsid w:val="45FB190C"/>
    <w:rsid w:val="4656201D"/>
    <w:rsid w:val="46E5D081"/>
    <w:rsid w:val="47391782"/>
    <w:rsid w:val="47455830"/>
    <w:rsid w:val="47E325F8"/>
    <w:rsid w:val="47FD6C18"/>
    <w:rsid w:val="48215C75"/>
    <w:rsid w:val="48BF792F"/>
    <w:rsid w:val="48C104AD"/>
    <w:rsid w:val="49DD4277"/>
    <w:rsid w:val="4AD70DB8"/>
    <w:rsid w:val="4B7F3F2E"/>
    <w:rsid w:val="4BA26700"/>
    <w:rsid w:val="4BD14911"/>
    <w:rsid w:val="4CCC3432"/>
    <w:rsid w:val="4D8F29A2"/>
    <w:rsid w:val="4DB50845"/>
    <w:rsid w:val="4DD35930"/>
    <w:rsid w:val="4DFE9F55"/>
    <w:rsid w:val="4E2045C3"/>
    <w:rsid w:val="4E9C9581"/>
    <w:rsid w:val="4EB31EB6"/>
    <w:rsid w:val="4EBDF43E"/>
    <w:rsid w:val="4EE92BE4"/>
    <w:rsid w:val="4EF7855C"/>
    <w:rsid w:val="4EFF9A16"/>
    <w:rsid w:val="4F203644"/>
    <w:rsid w:val="4F3FF96F"/>
    <w:rsid w:val="4F678FEA"/>
    <w:rsid w:val="4F715DDB"/>
    <w:rsid w:val="4F7E8C54"/>
    <w:rsid w:val="4FBAF861"/>
    <w:rsid w:val="4FFE1BAD"/>
    <w:rsid w:val="501D0A9E"/>
    <w:rsid w:val="50D91D48"/>
    <w:rsid w:val="517F74C3"/>
    <w:rsid w:val="521D6C63"/>
    <w:rsid w:val="538D3162"/>
    <w:rsid w:val="53BEA3A7"/>
    <w:rsid w:val="53EBB92D"/>
    <w:rsid w:val="54007AD0"/>
    <w:rsid w:val="557BD231"/>
    <w:rsid w:val="557F784C"/>
    <w:rsid w:val="55ED7DD2"/>
    <w:rsid w:val="577F1B16"/>
    <w:rsid w:val="579E59BF"/>
    <w:rsid w:val="57BFA822"/>
    <w:rsid w:val="57EE5059"/>
    <w:rsid w:val="57FC2B73"/>
    <w:rsid w:val="57FF5A9A"/>
    <w:rsid w:val="58F76EF9"/>
    <w:rsid w:val="59BB9EA3"/>
    <w:rsid w:val="59F82D26"/>
    <w:rsid w:val="59F90D16"/>
    <w:rsid w:val="5A7D7A45"/>
    <w:rsid w:val="5A7E2D8E"/>
    <w:rsid w:val="5BA7FD33"/>
    <w:rsid w:val="5BFFE05A"/>
    <w:rsid w:val="5D3C0F90"/>
    <w:rsid w:val="5EBF478B"/>
    <w:rsid w:val="5EDF3E55"/>
    <w:rsid w:val="5EFD3E7B"/>
    <w:rsid w:val="5EFDB8F9"/>
    <w:rsid w:val="5EFF9FEB"/>
    <w:rsid w:val="5F377527"/>
    <w:rsid w:val="5F3AD0C1"/>
    <w:rsid w:val="5F572526"/>
    <w:rsid w:val="5F7EDE63"/>
    <w:rsid w:val="5FBBFE37"/>
    <w:rsid w:val="5FBD4233"/>
    <w:rsid w:val="5FBF71FF"/>
    <w:rsid w:val="5FF6ECBF"/>
    <w:rsid w:val="5FF73CBA"/>
    <w:rsid w:val="5FF78097"/>
    <w:rsid w:val="5FFFD811"/>
    <w:rsid w:val="600B6E54"/>
    <w:rsid w:val="603A2275"/>
    <w:rsid w:val="60AC06F4"/>
    <w:rsid w:val="61F936E1"/>
    <w:rsid w:val="629E3326"/>
    <w:rsid w:val="63DF29AE"/>
    <w:rsid w:val="65C75183"/>
    <w:rsid w:val="65FDCA3F"/>
    <w:rsid w:val="66705C63"/>
    <w:rsid w:val="66B798D7"/>
    <w:rsid w:val="66D734E4"/>
    <w:rsid w:val="66EFA756"/>
    <w:rsid w:val="66F60791"/>
    <w:rsid w:val="66FB5B3C"/>
    <w:rsid w:val="67294D42"/>
    <w:rsid w:val="676A8FEB"/>
    <w:rsid w:val="677F067E"/>
    <w:rsid w:val="677F8F69"/>
    <w:rsid w:val="67B719BA"/>
    <w:rsid w:val="67EA7CCE"/>
    <w:rsid w:val="67EB1BA0"/>
    <w:rsid w:val="68530860"/>
    <w:rsid w:val="68FC2DFC"/>
    <w:rsid w:val="6B073277"/>
    <w:rsid w:val="6B4C3669"/>
    <w:rsid w:val="6B5AC489"/>
    <w:rsid w:val="6B7AE908"/>
    <w:rsid w:val="6BBF62B1"/>
    <w:rsid w:val="6BF5039F"/>
    <w:rsid w:val="6BF59C3B"/>
    <w:rsid w:val="6BF9799B"/>
    <w:rsid w:val="6C256795"/>
    <w:rsid w:val="6C75BA2D"/>
    <w:rsid w:val="6C8E732D"/>
    <w:rsid w:val="6CDDD09E"/>
    <w:rsid w:val="6CFD1BD8"/>
    <w:rsid w:val="6D2F675C"/>
    <w:rsid w:val="6D6E2B20"/>
    <w:rsid w:val="6DCF6891"/>
    <w:rsid w:val="6DDFD928"/>
    <w:rsid w:val="6DF9AC35"/>
    <w:rsid w:val="6E44050B"/>
    <w:rsid w:val="6E7A4DA7"/>
    <w:rsid w:val="6E93B23B"/>
    <w:rsid w:val="6E9B7391"/>
    <w:rsid w:val="6ECF3B84"/>
    <w:rsid w:val="6EEF5317"/>
    <w:rsid w:val="6EFF479F"/>
    <w:rsid w:val="6F5CB89F"/>
    <w:rsid w:val="6F5DBAB0"/>
    <w:rsid w:val="6F61B9B2"/>
    <w:rsid w:val="6F6A0688"/>
    <w:rsid w:val="6FBB74FC"/>
    <w:rsid w:val="6FBFB1CE"/>
    <w:rsid w:val="6FFB82FD"/>
    <w:rsid w:val="6FFFC50F"/>
    <w:rsid w:val="6FFFF50B"/>
    <w:rsid w:val="70D928DC"/>
    <w:rsid w:val="71E7C0F6"/>
    <w:rsid w:val="72E2719A"/>
    <w:rsid w:val="737F70A4"/>
    <w:rsid w:val="737FF67B"/>
    <w:rsid w:val="73A357D9"/>
    <w:rsid w:val="73C6F560"/>
    <w:rsid w:val="74105EF3"/>
    <w:rsid w:val="74BDC92A"/>
    <w:rsid w:val="75F704B9"/>
    <w:rsid w:val="761C0210"/>
    <w:rsid w:val="766A0910"/>
    <w:rsid w:val="76B360ED"/>
    <w:rsid w:val="76B7078E"/>
    <w:rsid w:val="76CE180C"/>
    <w:rsid w:val="76F79879"/>
    <w:rsid w:val="771F27FF"/>
    <w:rsid w:val="774B48B7"/>
    <w:rsid w:val="775DC328"/>
    <w:rsid w:val="776733DF"/>
    <w:rsid w:val="777F9C82"/>
    <w:rsid w:val="77B680E1"/>
    <w:rsid w:val="77BEBD9B"/>
    <w:rsid w:val="77D598FF"/>
    <w:rsid w:val="77DFD767"/>
    <w:rsid w:val="77EA0A5B"/>
    <w:rsid w:val="77ED5832"/>
    <w:rsid w:val="77FBB6D5"/>
    <w:rsid w:val="77FE2569"/>
    <w:rsid w:val="77FF397D"/>
    <w:rsid w:val="78FFC913"/>
    <w:rsid w:val="78FFDFBF"/>
    <w:rsid w:val="791136F8"/>
    <w:rsid w:val="797FFEB4"/>
    <w:rsid w:val="798E72C2"/>
    <w:rsid w:val="79F91E93"/>
    <w:rsid w:val="7A7BD855"/>
    <w:rsid w:val="7AA18A8D"/>
    <w:rsid w:val="7AB3389F"/>
    <w:rsid w:val="7AF61145"/>
    <w:rsid w:val="7AFF9365"/>
    <w:rsid w:val="7B131535"/>
    <w:rsid w:val="7B1D6489"/>
    <w:rsid w:val="7B54435C"/>
    <w:rsid w:val="7B671931"/>
    <w:rsid w:val="7B702BB2"/>
    <w:rsid w:val="7BCA173F"/>
    <w:rsid w:val="7BDB3C13"/>
    <w:rsid w:val="7BDF6BAA"/>
    <w:rsid w:val="7BDFB988"/>
    <w:rsid w:val="7BFB5E8E"/>
    <w:rsid w:val="7BFBD737"/>
    <w:rsid w:val="7BFEA002"/>
    <w:rsid w:val="7BFFFAA0"/>
    <w:rsid w:val="7CFA937E"/>
    <w:rsid w:val="7CFFF931"/>
    <w:rsid w:val="7D4EA009"/>
    <w:rsid w:val="7D520C5C"/>
    <w:rsid w:val="7D773B90"/>
    <w:rsid w:val="7DABC710"/>
    <w:rsid w:val="7DBBBB10"/>
    <w:rsid w:val="7DBFF427"/>
    <w:rsid w:val="7DDDCDD7"/>
    <w:rsid w:val="7DEB750C"/>
    <w:rsid w:val="7DF9FC68"/>
    <w:rsid w:val="7DFD97B2"/>
    <w:rsid w:val="7DFE7912"/>
    <w:rsid w:val="7DFEF42F"/>
    <w:rsid w:val="7DFFCF52"/>
    <w:rsid w:val="7DFFFA31"/>
    <w:rsid w:val="7E8F0D66"/>
    <w:rsid w:val="7EB3B47B"/>
    <w:rsid w:val="7EDF399C"/>
    <w:rsid w:val="7EFB9521"/>
    <w:rsid w:val="7EFEB783"/>
    <w:rsid w:val="7F3A36CF"/>
    <w:rsid w:val="7F456039"/>
    <w:rsid w:val="7F565F3C"/>
    <w:rsid w:val="7F5F29D8"/>
    <w:rsid w:val="7F5FD802"/>
    <w:rsid w:val="7F77079F"/>
    <w:rsid w:val="7F7DBC9B"/>
    <w:rsid w:val="7F7DF5FF"/>
    <w:rsid w:val="7F7E49EF"/>
    <w:rsid w:val="7F7E76B7"/>
    <w:rsid w:val="7F7F1B8A"/>
    <w:rsid w:val="7F9914A5"/>
    <w:rsid w:val="7F9F5D6C"/>
    <w:rsid w:val="7F9FCC96"/>
    <w:rsid w:val="7FA719F1"/>
    <w:rsid w:val="7FA941DB"/>
    <w:rsid w:val="7FAFFB3A"/>
    <w:rsid w:val="7FBF1F87"/>
    <w:rsid w:val="7FBF461A"/>
    <w:rsid w:val="7FCB7A7F"/>
    <w:rsid w:val="7FCE68E2"/>
    <w:rsid w:val="7FD555D4"/>
    <w:rsid w:val="7FD73685"/>
    <w:rsid w:val="7FDF753E"/>
    <w:rsid w:val="7FDFED47"/>
    <w:rsid w:val="7FEB93FE"/>
    <w:rsid w:val="7FEFCB7F"/>
    <w:rsid w:val="7FF04DDB"/>
    <w:rsid w:val="7FF7A002"/>
    <w:rsid w:val="7FF84E5E"/>
    <w:rsid w:val="7FFBBCC4"/>
    <w:rsid w:val="7FFC064A"/>
    <w:rsid w:val="7FFCFAC7"/>
    <w:rsid w:val="7FFF1FB7"/>
    <w:rsid w:val="7FFF23BC"/>
    <w:rsid w:val="7FFF58A0"/>
    <w:rsid w:val="7FFF7208"/>
    <w:rsid w:val="7FFFB4C5"/>
    <w:rsid w:val="7FFFE2BC"/>
    <w:rsid w:val="7FFFF500"/>
    <w:rsid w:val="8DFE2286"/>
    <w:rsid w:val="97BCAD41"/>
    <w:rsid w:val="97EF5838"/>
    <w:rsid w:val="97F6B244"/>
    <w:rsid w:val="97FE6E0B"/>
    <w:rsid w:val="9BDBC48B"/>
    <w:rsid w:val="9F794DCC"/>
    <w:rsid w:val="9F9EBB1B"/>
    <w:rsid w:val="9FBE6A3C"/>
    <w:rsid w:val="9FF998F7"/>
    <w:rsid w:val="A6EF8492"/>
    <w:rsid w:val="A7EE9733"/>
    <w:rsid w:val="A7FEE619"/>
    <w:rsid w:val="AD4F713A"/>
    <w:rsid w:val="AFFF989E"/>
    <w:rsid w:val="B0B3662F"/>
    <w:rsid w:val="B3FF327F"/>
    <w:rsid w:val="B45F48D8"/>
    <w:rsid w:val="B71FABCF"/>
    <w:rsid w:val="B73F8301"/>
    <w:rsid w:val="B79D5A31"/>
    <w:rsid w:val="B79FB045"/>
    <w:rsid w:val="B9B9ABF2"/>
    <w:rsid w:val="BA4789AA"/>
    <w:rsid w:val="BA6B3C33"/>
    <w:rsid w:val="BB5FB6BB"/>
    <w:rsid w:val="BBB7BA6A"/>
    <w:rsid w:val="BBBC2652"/>
    <w:rsid w:val="BBE534AA"/>
    <w:rsid w:val="BBEDF734"/>
    <w:rsid w:val="BBFFE1AF"/>
    <w:rsid w:val="BCDBE616"/>
    <w:rsid w:val="BDEEDB58"/>
    <w:rsid w:val="BDFCC3C8"/>
    <w:rsid w:val="BDFFAE11"/>
    <w:rsid w:val="BE2FEAD6"/>
    <w:rsid w:val="BE7F3265"/>
    <w:rsid w:val="BEBE2A73"/>
    <w:rsid w:val="BEFF1621"/>
    <w:rsid w:val="BEFF494E"/>
    <w:rsid w:val="BF371553"/>
    <w:rsid w:val="BF6EA431"/>
    <w:rsid w:val="BF75AFA6"/>
    <w:rsid w:val="BF7D9528"/>
    <w:rsid w:val="BF95BA33"/>
    <w:rsid w:val="BF9A6C05"/>
    <w:rsid w:val="BFAFA943"/>
    <w:rsid w:val="BFBF78B1"/>
    <w:rsid w:val="BFD73249"/>
    <w:rsid w:val="BFEDA93E"/>
    <w:rsid w:val="BFFFD00F"/>
    <w:rsid w:val="C2F993E8"/>
    <w:rsid w:val="C32F2709"/>
    <w:rsid w:val="C5FF037C"/>
    <w:rsid w:val="C7F16998"/>
    <w:rsid w:val="CB0DF827"/>
    <w:rsid w:val="CBED28ED"/>
    <w:rsid w:val="CD9D6E92"/>
    <w:rsid w:val="CE5706E8"/>
    <w:rsid w:val="CEB5E188"/>
    <w:rsid w:val="CECF1851"/>
    <w:rsid w:val="CEFC7F90"/>
    <w:rsid w:val="CFFF4A3F"/>
    <w:rsid w:val="D5690336"/>
    <w:rsid w:val="D5BBC038"/>
    <w:rsid w:val="D5CF8293"/>
    <w:rsid w:val="D5ED32F6"/>
    <w:rsid w:val="D7BFBE3C"/>
    <w:rsid w:val="D7EE3417"/>
    <w:rsid w:val="D7F7DC20"/>
    <w:rsid w:val="D86F9F56"/>
    <w:rsid w:val="D8FF2F56"/>
    <w:rsid w:val="D9FE5084"/>
    <w:rsid w:val="DB92EDF5"/>
    <w:rsid w:val="DBBA1395"/>
    <w:rsid w:val="DBFC0540"/>
    <w:rsid w:val="DBFE9181"/>
    <w:rsid w:val="DC59C4AE"/>
    <w:rsid w:val="DD60E5A5"/>
    <w:rsid w:val="DDBF6411"/>
    <w:rsid w:val="DDF38DC6"/>
    <w:rsid w:val="DE3E9CF2"/>
    <w:rsid w:val="DE7B1FCB"/>
    <w:rsid w:val="DEAF8321"/>
    <w:rsid w:val="DEF3CED0"/>
    <w:rsid w:val="DFBABA5F"/>
    <w:rsid w:val="DFD7248A"/>
    <w:rsid w:val="DFE7BA09"/>
    <w:rsid w:val="DFF56DD5"/>
    <w:rsid w:val="DFF7381B"/>
    <w:rsid w:val="E1FB2FBA"/>
    <w:rsid w:val="E3310497"/>
    <w:rsid w:val="E3F6A4F0"/>
    <w:rsid w:val="E3F7E198"/>
    <w:rsid w:val="E3FDBA5D"/>
    <w:rsid w:val="E59F5CE4"/>
    <w:rsid w:val="E7AEED4A"/>
    <w:rsid w:val="E7DF2738"/>
    <w:rsid w:val="E7EE7566"/>
    <w:rsid w:val="E7FA5298"/>
    <w:rsid w:val="E97D549B"/>
    <w:rsid w:val="E97E49F9"/>
    <w:rsid w:val="E9EE7953"/>
    <w:rsid w:val="EA9DA711"/>
    <w:rsid w:val="EBBF5CFE"/>
    <w:rsid w:val="EBEE597A"/>
    <w:rsid w:val="EBEF7718"/>
    <w:rsid w:val="EDF4652F"/>
    <w:rsid w:val="EED19E50"/>
    <w:rsid w:val="EEFFC08E"/>
    <w:rsid w:val="EF3F69B8"/>
    <w:rsid w:val="EF7BDC65"/>
    <w:rsid w:val="EF7CBE0A"/>
    <w:rsid w:val="EF7E96E8"/>
    <w:rsid w:val="EFBE317C"/>
    <w:rsid w:val="F0799424"/>
    <w:rsid w:val="F0DECE4C"/>
    <w:rsid w:val="F0ED85A8"/>
    <w:rsid w:val="F1DE32AF"/>
    <w:rsid w:val="F1FEF5DD"/>
    <w:rsid w:val="F2F4E3DA"/>
    <w:rsid w:val="F2F9C6D8"/>
    <w:rsid w:val="F3DAEFDE"/>
    <w:rsid w:val="F3FA1B01"/>
    <w:rsid w:val="F4216333"/>
    <w:rsid w:val="F469ECD1"/>
    <w:rsid w:val="F4D78897"/>
    <w:rsid w:val="F4F7D657"/>
    <w:rsid w:val="F4FD8C2A"/>
    <w:rsid w:val="F57B9D93"/>
    <w:rsid w:val="F5AD9B9E"/>
    <w:rsid w:val="F5C5281A"/>
    <w:rsid w:val="F5EFF23D"/>
    <w:rsid w:val="F6F7133D"/>
    <w:rsid w:val="F763BAC8"/>
    <w:rsid w:val="F76ED01C"/>
    <w:rsid w:val="F773F8A8"/>
    <w:rsid w:val="F776572B"/>
    <w:rsid w:val="F77DD621"/>
    <w:rsid w:val="F79934BB"/>
    <w:rsid w:val="F79F1927"/>
    <w:rsid w:val="F7BEC4BC"/>
    <w:rsid w:val="F7D067EE"/>
    <w:rsid w:val="F7D72065"/>
    <w:rsid w:val="F7D79693"/>
    <w:rsid w:val="F7E5E282"/>
    <w:rsid w:val="F7EB1E4D"/>
    <w:rsid w:val="F7EF4365"/>
    <w:rsid w:val="F7FDA7D5"/>
    <w:rsid w:val="F7FE3706"/>
    <w:rsid w:val="F7FF5F4A"/>
    <w:rsid w:val="F8FDB9E6"/>
    <w:rsid w:val="F97F871E"/>
    <w:rsid w:val="F9AFF64A"/>
    <w:rsid w:val="F9F33FF3"/>
    <w:rsid w:val="F9F9FB2F"/>
    <w:rsid w:val="FA5B3526"/>
    <w:rsid w:val="FAECC5AF"/>
    <w:rsid w:val="FAFFE5A4"/>
    <w:rsid w:val="FB5D6E11"/>
    <w:rsid w:val="FB5EEAB7"/>
    <w:rsid w:val="FBAD70B5"/>
    <w:rsid w:val="FBF31696"/>
    <w:rsid w:val="FBFC99B7"/>
    <w:rsid w:val="FBFDE58E"/>
    <w:rsid w:val="FBFF6C36"/>
    <w:rsid w:val="FC5F94F3"/>
    <w:rsid w:val="FCEBE086"/>
    <w:rsid w:val="FD674672"/>
    <w:rsid w:val="FD7CE130"/>
    <w:rsid w:val="FD7DA5C7"/>
    <w:rsid w:val="FD7E78B9"/>
    <w:rsid w:val="FD7FCDBE"/>
    <w:rsid w:val="FD9D9EE1"/>
    <w:rsid w:val="FDBED9E3"/>
    <w:rsid w:val="FDBF88CB"/>
    <w:rsid w:val="FDBFA04C"/>
    <w:rsid w:val="FDDF9568"/>
    <w:rsid w:val="FDEDBFE3"/>
    <w:rsid w:val="FE3E99E2"/>
    <w:rsid w:val="FE7B4FAF"/>
    <w:rsid w:val="FE7DE4B6"/>
    <w:rsid w:val="FE7E0B0A"/>
    <w:rsid w:val="FE7FAF60"/>
    <w:rsid w:val="FEBB9298"/>
    <w:rsid w:val="FEBDCD74"/>
    <w:rsid w:val="FEBFD10F"/>
    <w:rsid w:val="FEDC9EAE"/>
    <w:rsid w:val="FEDDAF28"/>
    <w:rsid w:val="FEF7EF3A"/>
    <w:rsid w:val="FEFB8C7A"/>
    <w:rsid w:val="FEFBDE65"/>
    <w:rsid w:val="FEFF0C5C"/>
    <w:rsid w:val="FF1AC8EF"/>
    <w:rsid w:val="FF33C150"/>
    <w:rsid w:val="FF59EF98"/>
    <w:rsid w:val="FF5F15A0"/>
    <w:rsid w:val="FF618FE5"/>
    <w:rsid w:val="FF6D1214"/>
    <w:rsid w:val="FF6F2C7D"/>
    <w:rsid w:val="FF79A2FE"/>
    <w:rsid w:val="FF7F3DE3"/>
    <w:rsid w:val="FFAD8758"/>
    <w:rsid w:val="FFB7C7D3"/>
    <w:rsid w:val="FFB9E547"/>
    <w:rsid w:val="FFBB7211"/>
    <w:rsid w:val="FFBDD3BE"/>
    <w:rsid w:val="FFBF2DCC"/>
    <w:rsid w:val="FFBFD3BE"/>
    <w:rsid w:val="FFD39605"/>
    <w:rsid w:val="FFDBCF39"/>
    <w:rsid w:val="FFDDBCA7"/>
    <w:rsid w:val="FFDF152F"/>
    <w:rsid w:val="FFDFA59B"/>
    <w:rsid w:val="FFE4208B"/>
    <w:rsid w:val="FFF3C670"/>
    <w:rsid w:val="FFF6352F"/>
    <w:rsid w:val="FFF7B14A"/>
    <w:rsid w:val="FFFB5429"/>
    <w:rsid w:val="FFFD1682"/>
    <w:rsid w:val="FFFE08C4"/>
    <w:rsid w:val="FFFE4A02"/>
    <w:rsid w:val="FFFE8EC6"/>
    <w:rsid w:val="FFFEFE79"/>
    <w:rsid w:val="FFFF17DD"/>
    <w:rsid w:val="FFFFF5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4"/>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9">
    <w:name w:val="Hyperlink"/>
    <w:basedOn w:val="8"/>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qFormat/>
    <w:uiPriority w:val="99"/>
    <w:rPr>
      <w:sz w:val="18"/>
      <w:szCs w:val="18"/>
    </w:rPr>
  </w:style>
  <w:style w:type="character" w:customStyle="1" w:styleId="15">
    <w:name w:val="Unresolved Mention"/>
    <w:basedOn w:val="8"/>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910</Words>
  <Characters>5190</Characters>
  <Lines>43</Lines>
  <Paragraphs>12</Paragraphs>
  <TotalTime>3</TotalTime>
  <ScaleCrop>false</ScaleCrop>
  <LinksUpToDate>false</LinksUpToDate>
  <CharactersWithSpaces>6088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2021-09-12T17:50:00Z</dcterms:created>
  <dc:creator>李航 null</dc:creator>
  <cp:lastModifiedBy>kylin</cp:lastModifiedBy>
  <cp:lastPrinted>2023-05-26T17:26:00Z</cp:lastPrinted>
  <dcterms:modified xsi:type="dcterms:W3CDTF">2023-09-25T14:52:55Z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2EB1D113385083B6C2F43363F842DF1F</vt:lpwstr>
  </property>
</Properties>
</file>