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岳阳市生态环境局</w:t>
      </w:r>
    </w:p>
    <w:p>
      <w:pPr>
        <w:pStyle w:val="11"/>
        <w:jc w:val="center"/>
        <w:rPr>
          <w:sz w:val="84"/>
          <w:szCs w:val="84"/>
        </w:rPr>
      </w:pPr>
      <w:r>
        <w:rPr>
          <w:rFonts w:hint="eastAsia"/>
          <w:sz w:val="84"/>
          <w:szCs w:val="84"/>
        </w:rPr>
        <w:t>城陵矶新港区分局部门决算</w:t>
      </w:r>
    </w:p>
    <w:p>
      <w:pPr>
        <w:rPr>
          <w:rFonts w:hint="eastAsia"/>
          <w:b/>
          <w:sz w:val="36"/>
          <w:szCs w:val="28"/>
        </w:rPr>
      </w:pPr>
      <w:r>
        <w:rPr>
          <w:rFonts w:hint="eastAsia"/>
          <w:b/>
          <w:sz w:val="36"/>
          <w:szCs w:val="28"/>
        </w:rPr>
        <w:br w:type="page"/>
      </w:r>
    </w:p>
    <w:p>
      <w:pPr>
        <w:pStyle w:val="11"/>
        <w:spacing w:line="480" w:lineRule="exact"/>
        <w:jc w:val="center"/>
        <w:rPr>
          <w:b/>
          <w:sz w:val="36"/>
          <w:szCs w:val="28"/>
        </w:rPr>
      </w:pPr>
      <w:r>
        <w:rPr>
          <w:rFonts w:hint="eastAsia"/>
          <w:b/>
          <w:sz w:val="36"/>
          <w:szCs w:val="28"/>
        </w:rPr>
        <w:t>目录</w:t>
      </w:r>
    </w:p>
    <w:p>
      <w:pPr>
        <w:pStyle w:val="11"/>
        <w:spacing w:line="480" w:lineRule="exact"/>
        <w:rPr>
          <w:rFonts w:ascii="仿宋_GB2312" w:hAnsi="仿宋_GB2312" w:cs="仿宋_GB2312"/>
          <w:b/>
          <w:sz w:val="28"/>
          <w:szCs w:val="28"/>
        </w:rPr>
      </w:pPr>
      <w:r>
        <w:rPr>
          <w:rFonts w:hint="eastAsia"/>
          <w:b/>
          <w:sz w:val="28"/>
          <w:szCs w:val="28"/>
        </w:rPr>
        <w:t>第一部分  岳阳市生态环境局城陵矶新港区分局概况</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机构设置及决算单位构成</w:t>
      </w:r>
    </w:p>
    <w:p>
      <w:pPr>
        <w:pStyle w:val="11"/>
        <w:spacing w:line="48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21年度部门决算表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48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480" w:lineRule="exact"/>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21年度部门决算情况说明</w:t>
      </w:r>
    </w:p>
    <w:p>
      <w:pPr>
        <w:pStyle w:val="11"/>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8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sz w:val="28"/>
          <w:szCs w:val="28"/>
        </w:rPr>
        <w:t>国有资本经营预算财政拨款支出决算情况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480" w:lineRule="exact"/>
        <w:ind w:firstLine="700" w:firstLineChars="250"/>
        <w:jc w:val="left"/>
        <w:rPr>
          <w:rFonts w:ascii="仿宋_GB2312" w:hAnsi="仿宋_GB2312" w:cs="仿宋_GB2312"/>
          <w:sz w:val="28"/>
          <w:szCs w:val="28"/>
        </w:rPr>
      </w:pPr>
      <w:r>
        <w:rPr>
          <w:rFonts w:hint="eastAsia" w:ascii="仿宋_GB2312" w:hAnsi="仿宋_GB2312" w:cs="仿宋_GB2312"/>
          <w:sz w:val="28"/>
          <w:szCs w:val="28"/>
        </w:rPr>
        <w:t>十二、</w:t>
      </w:r>
      <w:r>
        <w:rPr>
          <w:rFonts w:hint="eastAsia" w:ascii="仿宋_GB2312" w:hAnsi="仿宋_GB2312" w:cs="仿宋_GB2312"/>
          <w:color w:val="000000"/>
          <w:kern w:val="0"/>
          <w:sz w:val="28"/>
          <w:szCs w:val="28"/>
        </w:rPr>
        <w:t>政府采购支出说明</w:t>
      </w:r>
    </w:p>
    <w:p>
      <w:pPr>
        <w:pStyle w:val="11"/>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8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xml:space="preserve">  </w:t>
      </w:r>
      <w:r>
        <w:rPr>
          <w:rFonts w:ascii="黑体" w:hAnsi="黑体" w:eastAsia="黑体" w:cs="黑体"/>
          <w:b/>
          <w:color w:val="000000"/>
          <w:kern w:val="0"/>
          <w:sz w:val="28"/>
          <w:szCs w:val="28"/>
        </w:rPr>
        <w:t>名词解释</w:t>
      </w:r>
    </w:p>
    <w:p>
      <w:pPr>
        <w:autoSpaceDE w:val="0"/>
        <w:autoSpaceDN w:val="0"/>
        <w:adjustRightInd w:val="0"/>
        <w:spacing w:line="48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  附件</w:t>
      </w:r>
    </w:p>
    <w:p>
      <w:pPr>
        <w:spacing w:line="620" w:lineRule="exact"/>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rFonts w:hint="eastAsia"/>
          <w:sz w:val="84"/>
          <w:szCs w:val="84"/>
        </w:rPr>
      </w:pPr>
      <w:r>
        <w:rPr>
          <w:rFonts w:hint="eastAsia"/>
          <w:sz w:val="84"/>
          <w:szCs w:val="84"/>
        </w:rPr>
        <w:t>第一部分</w:t>
      </w:r>
    </w:p>
    <w:p>
      <w:pPr>
        <w:pStyle w:val="11"/>
        <w:jc w:val="center"/>
        <w:rPr>
          <w:rFonts w:hint="eastAsia"/>
          <w:sz w:val="84"/>
          <w:szCs w:val="84"/>
        </w:rPr>
      </w:pPr>
    </w:p>
    <w:p>
      <w:pPr>
        <w:pStyle w:val="11"/>
        <w:jc w:val="center"/>
        <w:rPr>
          <w:rFonts w:hint="eastAsia"/>
          <w:sz w:val="84"/>
          <w:szCs w:val="84"/>
        </w:rPr>
      </w:pPr>
      <w:r>
        <w:rPr>
          <w:rFonts w:hint="eastAsia"/>
          <w:sz w:val="84"/>
          <w:szCs w:val="84"/>
        </w:rPr>
        <w:t>岳阳市生态环境局</w:t>
      </w:r>
    </w:p>
    <w:p>
      <w:pPr>
        <w:pStyle w:val="11"/>
        <w:jc w:val="center"/>
        <w:rPr>
          <w:sz w:val="84"/>
          <w:szCs w:val="84"/>
        </w:rPr>
      </w:pPr>
      <w:r>
        <w:rPr>
          <w:rFonts w:hint="eastAsia"/>
          <w:sz w:val="84"/>
          <w:szCs w:val="84"/>
        </w:rPr>
        <w:t>城陵矶新港区分局概况</w:t>
      </w:r>
    </w:p>
    <w:p>
      <w:pPr>
        <w:rPr>
          <w:rFonts w:hint="eastAsia" w:ascii="黑体" w:hAnsi="黑体" w:eastAsia="黑体"/>
          <w:sz w:val="32"/>
          <w:szCs w:val="32"/>
        </w:rPr>
      </w:pPr>
      <w:r>
        <w:rPr>
          <w:rFonts w:hint="eastAsia" w:ascii="黑体" w:hAnsi="黑体" w:eastAsia="黑体"/>
          <w:sz w:val="32"/>
          <w:szCs w:val="32"/>
        </w:rPr>
        <w:br w:type="page"/>
      </w:r>
    </w:p>
    <w:p>
      <w:pPr>
        <w:pStyle w:val="12"/>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1、受市生态环境局委托，承担辖区内的生态环境相关工作；承担市生态环境局和县委、县政府交办的其他任务。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2、负责全区生态环境问题的统筹协调和监督管理。牵头协调环境污染事故和生态破坏事件的调查处理</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指导协调对突发生态环境事件的应急、预警工作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牵头实施生态环境损害赔偿制度</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协调解决环境污染纠纷</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统筹协调区域、流域生态环境保护工作。</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3、负责环境污染防治的监督管理。组织拟订大气、水、土壤、噪声、光、恶臭、固体废物、重金属、化学品、机动车等的污染防治管理制度并监督实施。会同有关部门监督管理饮用水水源地生态环境保护工作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组织指导城乡生态环境综合整治工作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监督指导农业面源污染治理工作。监督指导区域大气环境保护工作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按照国家、省统一部署，做好区域大气污染联防联控协作工作。</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4、组织指导和协调生态环境宣传教育工作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贯彻实施生态环境保护宣传教育纲要</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推动社会组织和公众参与生态环境保护。开展生态环境科技工作</w:t>
      </w:r>
      <w:r>
        <w:rPr>
          <w:rFonts w:hint="eastAsia" w:asciiTheme="minorEastAsia" w:hAnsiTheme="minorEastAsia" w:cstheme="minorBidi"/>
          <w:bCs/>
          <w:kern w:val="0"/>
          <w:sz w:val="32"/>
          <w:szCs w:val="32"/>
          <w:lang w:val="en-US" w:eastAsia="zh-CN" w:bidi="ar-SA"/>
        </w:rPr>
        <w:t>，</w:t>
      </w:r>
      <w:r>
        <w:rPr>
          <w:rFonts w:hint="eastAsia" w:asciiTheme="minorEastAsia" w:hAnsiTheme="minorEastAsia" w:eastAsiaTheme="minorEastAsia" w:cstheme="minorBidi"/>
          <w:bCs/>
          <w:kern w:val="0"/>
          <w:sz w:val="32"/>
          <w:szCs w:val="32"/>
          <w:lang w:val="en-US" w:eastAsia="zh-CN" w:bidi="ar-SA"/>
        </w:rPr>
        <w:t>组织生态环境科学研究和技术工程示范、生态环境技术管理体系建设。</w:t>
      </w:r>
    </w:p>
    <w:p>
      <w:pPr>
        <w:widowControl/>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ind w:firstLine="640" w:firstLineChars="200"/>
        <w:rPr>
          <w:rFonts w:asciiTheme="minorEastAsia" w:hAnsiTheme="minorEastAsia"/>
          <w:bCs/>
          <w:i/>
          <w:iCs/>
          <w:color w:val="FF0000"/>
          <w:kern w:val="0"/>
          <w:sz w:val="32"/>
          <w:szCs w:val="32"/>
        </w:rPr>
      </w:pPr>
      <w:r>
        <w:rPr>
          <w:rFonts w:hint="eastAsia" w:asciiTheme="minorEastAsia" w:hAnsiTheme="minorEastAsia"/>
          <w:bCs/>
          <w:kern w:val="0"/>
          <w:sz w:val="32"/>
          <w:szCs w:val="32"/>
        </w:rPr>
        <w:t>岳阳市生态环境局城陵矶新港区分局（岳阳市城陵矶新港区生态环境保护综合行政执法大队）机关核定全额拨款事业编制</w:t>
      </w:r>
      <w:r>
        <w:rPr>
          <w:rFonts w:asciiTheme="minorEastAsia" w:hAnsiTheme="minorEastAsia"/>
          <w:bCs/>
          <w:kern w:val="0"/>
          <w:sz w:val="32"/>
          <w:szCs w:val="32"/>
        </w:rPr>
        <w:t>6</w:t>
      </w:r>
      <w:r>
        <w:rPr>
          <w:rFonts w:hint="eastAsia" w:asciiTheme="minorEastAsia" w:hAnsiTheme="minorEastAsia"/>
          <w:bCs/>
          <w:kern w:val="0"/>
          <w:sz w:val="32"/>
          <w:szCs w:val="32"/>
        </w:rPr>
        <w:t>名，其中</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局长(大队长)1名、副局长</w:t>
      </w:r>
      <w:r>
        <w:rPr>
          <w:rFonts w:asciiTheme="minorEastAsia" w:hAnsiTheme="minorEastAsia"/>
          <w:bCs/>
          <w:kern w:val="0"/>
          <w:sz w:val="32"/>
          <w:szCs w:val="32"/>
        </w:rPr>
        <w:t>2</w:t>
      </w:r>
      <w:r>
        <w:rPr>
          <w:rFonts w:hint="eastAsia" w:asciiTheme="minorEastAsia" w:hAnsiTheme="minorEastAsia"/>
          <w:bCs/>
          <w:kern w:val="0"/>
          <w:sz w:val="32"/>
          <w:szCs w:val="32"/>
        </w:rPr>
        <w:t>名、副大队长1名。分局下设办公室、 执法大队、管理股3个股室。</w:t>
      </w:r>
    </w:p>
    <w:p>
      <w:pPr>
        <w:widowControl/>
        <w:numPr>
          <w:ilvl w:val="0"/>
          <w:numId w:val="1"/>
        </w:numPr>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决算单位构成</w:t>
      </w:r>
    </w:p>
    <w:p>
      <w:pPr>
        <w:widowControl/>
        <w:ind w:firstLine="640" w:firstLineChars="200"/>
        <w:rPr>
          <w:rFonts w:ascii="黑体" w:hAnsi="黑体"/>
          <w:sz w:val="28"/>
          <w:szCs w:val="28"/>
        </w:rPr>
      </w:pPr>
      <w:r>
        <w:rPr>
          <w:rFonts w:hint="eastAsia" w:asciiTheme="minorEastAsia" w:hAnsiTheme="minorEastAsia"/>
          <w:bCs/>
          <w:kern w:val="0"/>
          <w:sz w:val="32"/>
          <w:szCs w:val="32"/>
        </w:rPr>
        <w:t>岳阳市生态环境局城陵矶新港区分局2021年部门决算公开单位构成包括：岳阳市生态环境局城陵矶新港区分局局机关本级决算</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本单位无独立核算的二级机构。</w:t>
      </w:r>
    </w:p>
    <w:p>
      <w:pPr>
        <w:rPr>
          <w:rFonts w:ascii="黑体" w:hAnsi="黑体" w:eastAsia="黑体"/>
          <w:sz w:val="28"/>
          <w:szCs w:val="28"/>
        </w:rPr>
      </w:pPr>
    </w:p>
    <w:p>
      <w:pPr>
        <w:pStyle w:val="2"/>
        <w:rPr>
          <w:rFonts w:ascii="黑体" w:hAnsi="黑体" w:eastAsia="黑体"/>
          <w:sz w:val="28"/>
          <w:szCs w:val="28"/>
        </w:rPr>
      </w:pPr>
    </w:p>
    <w:p>
      <w:pPr>
        <w:rPr>
          <w:rFonts w:ascii="黑体" w:hAnsi="黑体" w:eastAsia="黑体"/>
          <w:sz w:val="28"/>
          <w:szCs w:val="28"/>
        </w:rPr>
      </w:pPr>
    </w:p>
    <w:p>
      <w:pPr>
        <w:pStyle w:val="2"/>
        <w:rPr>
          <w:rFonts w:ascii="黑体" w:hAnsi="黑体" w:eastAsia="黑体"/>
          <w:sz w:val="28"/>
          <w:szCs w:val="28"/>
        </w:rPr>
      </w:pPr>
    </w:p>
    <w:p>
      <w:pPr>
        <w:rPr>
          <w:rFonts w:ascii="黑体" w:hAnsi="黑体" w:eastAsia="黑体"/>
          <w:sz w:val="28"/>
          <w:szCs w:val="28"/>
        </w:rPr>
      </w:pPr>
    </w:p>
    <w:p>
      <w:pPr>
        <w:pStyle w:val="2"/>
      </w:pPr>
    </w:p>
    <w:p>
      <w:pPr>
        <w:jc w:val="center"/>
        <w:rPr>
          <w:rFonts w:ascii="黑体" w:hAnsi="黑体" w:eastAsia="黑体"/>
          <w:sz w:val="28"/>
          <w:szCs w:val="28"/>
        </w:rPr>
      </w:pPr>
    </w:p>
    <w:p>
      <w:pPr>
        <w:rPr>
          <w:sz w:val="72"/>
          <w:szCs w:val="72"/>
        </w:rPr>
      </w:pPr>
    </w:p>
    <w:p>
      <w:pPr>
        <w:jc w:val="center"/>
        <w:rPr>
          <w:sz w:val="72"/>
          <w:szCs w:val="72"/>
        </w:rPr>
      </w:pPr>
    </w:p>
    <w:p>
      <w:pPr>
        <w:rPr>
          <w:rFonts w:hint="eastAsia"/>
          <w:sz w:val="72"/>
          <w:szCs w:val="72"/>
        </w:rPr>
      </w:pPr>
      <w:r>
        <w:rPr>
          <w:rFonts w:hint="eastAsia"/>
          <w:sz w:val="72"/>
          <w:szCs w:val="72"/>
        </w:rPr>
        <w:br w:type="page"/>
      </w: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ascii="黑体" w:hAnsi="黑体" w:eastAsia="黑体" w:cs="黑体"/>
          <w:sz w:val="84"/>
          <w:szCs w:val="84"/>
        </w:rPr>
      </w:pPr>
      <w:r>
        <w:rPr>
          <w:rFonts w:hint="eastAsia" w:ascii="黑体" w:hAnsi="黑体" w:eastAsia="黑体" w:cs="黑体"/>
          <w:sz w:val="84"/>
          <w:szCs w:val="84"/>
        </w:rPr>
        <w:t>第二部分</w:t>
      </w:r>
    </w:p>
    <w:p>
      <w:pPr>
        <w:jc w:val="center"/>
        <w:rPr>
          <w:rFonts w:hint="eastAsia" w:ascii="黑体" w:hAnsi="黑体" w:eastAsia="黑体" w:cs="黑体"/>
          <w:sz w:val="84"/>
          <w:szCs w:val="84"/>
        </w:rPr>
      </w:pPr>
    </w:p>
    <w:p>
      <w:pPr>
        <w:jc w:val="center"/>
        <w:rPr>
          <w:rFonts w:hint="eastAsia" w:ascii="黑体" w:hAnsi="黑体" w:eastAsia="黑体" w:cs="黑体"/>
          <w:sz w:val="84"/>
          <w:szCs w:val="84"/>
        </w:rPr>
      </w:pPr>
      <w:r>
        <w:rPr>
          <w:rFonts w:hint="eastAsia" w:ascii="黑体" w:hAnsi="黑体" w:eastAsia="黑体" w:cs="黑体"/>
          <w:sz w:val="84"/>
          <w:szCs w:val="84"/>
        </w:rPr>
        <w:t>部门决算表</w:t>
      </w:r>
    </w:p>
    <w:p>
      <w:pPr>
        <w:jc w:val="center"/>
        <w:rPr>
          <w:rFonts w:hint="eastAsia" w:ascii="黑体" w:hAnsi="黑体" w:eastAsia="黑体" w:cs="黑体"/>
          <w:sz w:val="84"/>
          <w:szCs w:val="84"/>
        </w:rPr>
      </w:pPr>
      <w:r>
        <w:rPr>
          <w:rFonts w:hint="eastAsia" w:ascii="黑体" w:hAnsi="黑体" w:eastAsia="黑体" w:cs="黑体"/>
          <w:sz w:val="84"/>
          <w:szCs w:val="84"/>
        </w:rPr>
        <w:t>（见附件）</w:t>
      </w:r>
    </w:p>
    <w:p>
      <w:pPr>
        <w:jc w:val="center"/>
        <w:rPr>
          <w:sz w:val="72"/>
          <w:szCs w:val="72"/>
        </w:rPr>
      </w:pPr>
    </w:p>
    <w:p>
      <w:pP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84"/>
          <w:szCs w:val="84"/>
        </w:rPr>
      </w:pPr>
      <w:r>
        <w:rPr>
          <w:rFonts w:hint="eastAsia"/>
          <w:sz w:val="84"/>
          <w:szCs w:val="84"/>
        </w:rPr>
        <w:t>第三部分</w:t>
      </w:r>
    </w:p>
    <w:p>
      <w:pPr>
        <w:pStyle w:val="11"/>
        <w:jc w:val="center"/>
        <w:rPr>
          <w:sz w:val="84"/>
          <w:szCs w:val="84"/>
        </w:rPr>
      </w:pPr>
    </w:p>
    <w:p>
      <w:pPr>
        <w:pStyle w:val="11"/>
        <w:jc w:val="center"/>
        <w:rPr>
          <w:sz w:val="84"/>
          <w:szCs w:val="84"/>
        </w:rPr>
      </w:pPr>
      <w:r>
        <w:rPr>
          <w:sz w:val="84"/>
          <w:szCs w:val="84"/>
        </w:rPr>
        <w:t>20</w:t>
      </w:r>
      <w:r>
        <w:rPr>
          <w:rFonts w:hint="eastAsia"/>
          <w:sz w:val="84"/>
          <w:szCs w:val="84"/>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ind w:firstLine="640" w:firstLineChars="200"/>
        <w:rPr>
          <w:rFonts w:hAnsi="黑体"/>
          <w:b/>
          <w:sz w:val="32"/>
          <w:szCs w:val="32"/>
        </w:rPr>
      </w:pPr>
      <w:r>
        <w:rPr>
          <w:rFonts w:hint="eastAsia" w:hAnsi="黑体"/>
          <w:b/>
          <w:sz w:val="32"/>
          <w:szCs w:val="32"/>
        </w:rPr>
        <w:t>一、收入支出决算总体情况说明</w:t>
      </w:r>
    </w:p>
    <w:p>
      <w:pPr>
        <w:ind w:firstLine="640" w:firstLineChars="200"/>
        <w:rPr>
          <w:rFonts w:ascii="仿宋_GB2312" w:hAnsi="仿宋_GB2312" w:cs="仿宋_GB2312"/>
          <w:color w:val="auto"/>
          <w:sz w:val="32"/>
          <w:szCs w:val="32"/>
          <w:highlight w:val="white"/>
        </w:rPr>
      </w:pPr>
      <w:r>
        <w:rPr>
          <w:rFonts w:hint="eastAsia" w:asciiTheme="minorEastAsia" w:hAnsiTheme="minorEastAsia" w:cstheme="minorEastAsia"/>
          <w:color w:val="auto"/>
          <w:sz w:val="32"/>
          <w:szCs w:val="32"/>
          <w:highlight w:val="white"/>
        </w:rPr>
        <w:t>2021年度收、支总计均为94.39万元，与2020年相比，收、支总计各增加4.09万元，增长4.53%。主要原因是</w:t>
      </w:r>
      <w:r>
        <w:rPr>
          <w:rFonts w:hint="eastAsia" w:asciiTheme="minorEastAsia" w:hAnsiTheme="minorEastAsia" w:cstheme="minorEastAsia"/>
          <w:color w:val="auto"/>
          <w:sz w:val="32"/>
          <w:szCs w:val="32"/>
          <w:highlight w:val="white"/>
          <w:lang w:val="en-US" w:eastAsia="zh-CN"/>
        </w:rPr>
        <w:t>新增1名工作人员，导致人员经费增加。</w:t>
      </w:r>
    </w:p>
    <w:p>
      <w:pPr>
        <w:pStyle w:val="11"/>
        <w:ind w:firstLine="640" w:firstLineChars="200"/>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i/>
          <w:iCs/>
          <w:sz w:val="36"/>
          <w:szCs w:val="36"/>
        </w:rPr>
      </w:pPr>
      <w:r>
        <w:rPr>
          <w:rFonts w:hint="eastAsia" w:asciiTheme="minorEastAsia" w:hAnsiTheme="minorEastAsia" w:eastAsiaTheme="minorEastAsia"/>
          <w:sz w:val="32"/>
          <w:szCs w:val="32"/>
        </w:rPr>
        <w:t>2021年度收入合计74.42万元，其中：财政拨款收入70.59万元，占94.85%；其他收入3.83万元，占5.15%。</w:t>
      </w:r>
    </w:p>
    <w:p>
      <w:pPr>
        <w:pStyle w:val="11"/>
        <w:ind w:firstLine="640" w:firstLineChars="200"/>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2021年度支出合计94.39万元，其中：基本支出94.39万元，占100%。</w:t>
      </w:r>
    </w:p>
    <w:p>
      <w:pPr>
        <w:pStyle w:val="11"/>
        <w:ind w:firstLine="640" w:firstLineChars="200"/>
        <w:rPr>
          <w:rFonts w:hAnsi="黑体"/>
          <w:b/>
          <w:sz w:val="32"/>
          <w:szCs w:val="32"/>
        </w:rPr>
      </w:pPr>
      <w:r>
        <w:rPr>
          <w:rFonts w:hint="eastAsia" w:hAnsi="黑体"/>
          <w:b/>
          <w:sz w:val="32"/>
          <w:szCs w:val="32"/>
        </w:rPr>
        <w:t>四、财政拨款收入支出决算总体情况说明</w:t>
      </w:r>
    </w:p>
    <w:p>
      <w:p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2021年度财政拨款收、支总计均为90.56万元，与2020年相比，财政拨款收、支总计各增加10.04万元，增长12.47%。</w:t>
      </w:r>
      <w:r>
        <w:rPr>
          <w:rFonts w:hint="eastAsia" w:asciiTheme="minorEastAsia" w:hAnsiTheme="minorEastAsia" w:cstheme="minorEastAsia"/>
          <w:color w:val="auto"/>
          <w:sz w:val="32"/>
          <w:szCs w:val="32"/>
          <w:highlight w:val="white"/>
        </w:rPr>
        <w:t>主要原因是</w:t>
      </w:r>
      <w:r>
        <w:rPr>
          <w:rFonts w:hint="eastAsia" w:asciiTheme="minorEastAsia" w:hAnsiTheme="minorEastAsia" w:cstheme="minorEastAsia"/>
          <w:color w:val="auto"/>
          <w:sz w:val="32"/>
          <w:szCs w:val="32"/>
          <w:highlight w:val="white"/>
          <w:lang w:val="en-US" w:eastAsia="zh-CN"/>
        </w:rPr>
        <w:t>2021年新增1名工作人员，导致人员经费增加</w:t>
      </w:r>
      <w:r>
        <w:rPr>
          <w:rFonts w:hint="eastAsia" w:asciiTheme="minorEastAsia" w:hAnsiTheme="minorEastAsia" w:eastAsiaTheme="minorEastAsia"/>
          <w:color w:val="auto"/>
          <w:sz w:val="32"/>
          <w:szCs w:val="32"/>
        </w:rPr>
        <w:t>。</w:t>
      </w:r>
    </w:p>
    <w:p>
      <w:pPr>
        <w:pStyle w:val="11"/>
        <w:ind w:firstLine="640" w:firstLineChars="200"/>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2021年度财政拨款支出90.56万元，占本年支出合计的95.94%。与2020年度相比，财政拨款支出增加30万元，增长49.57%</w:t>
      </w:r>
      <w:r>
        <w:rPr>
          <w:rFonts w:hint="eastAsia" w:asciiTheme="minorEastAsia" w:hAnsiTheme="minorEastAsia"/>
          <w:color w:val="auto"/>
          <w:sz w:val="32"/>
          <w:szCs w:val="32"/>
          <w:lang w:eastAsia="zh-CN"/>
        </w:rPr>
        <w:t>，</w:t>
      </w:r>
      <w:r>
        <w:rPr>
          <w:rFonts w:hint="eastAsia" w:asciiTheme="minorEastAsia" w:hAnsiTheme="minorEastAsia" w:cstheme="minorEastAsia"/>
          <w:color w:val="auto"/>
          <w:sz w:val="32"/>
          <w:szCs w:val="32"/>
          <w:highlight w:val="white"/>
        </w:rPr>
        <w:t>主要原因是</w:t>
      </w:r>
      <w:r>
        <w:rPr>
          <w:rFonts w:hint="eastAsia" w:asciiTheme="minorEastAsia" w:hAnsiTheme="minorEastAsia" w:cstheme="minorEastAsia"/>
          <w:color w:val="auto"/>
          <w:sz w:val="32"/>
          <w:szCs w:val="32"/>
          <w:highlight w:val="white"/>
          <w:lang w:val="en-US" w:eastAsia="zh-CN"/>
        </w:rPr>
        <w:t>2021年新增1名工作人员，导致人员经费增加</w:t>
      </w:r>
      <w:r>
        <w:rPr>
          <w:rFonts w:hint="eastAsia" w:asciiTheme="minorEastAsia" w:hAnsiTheme="minorEastAsia" w:eastAsiaTheme="minorEastAsia"/>
          <w:color w:val="auto"/>
          <w:sz w:val="32"/>
          <w:szCs w:val="32"/>
        </w:rPr>
        <w:t>。</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2021年度财政拨款支出90.56万元，主要用于以下方面：社会保障和就业（类）支出4.3</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万元，占4.75%；卫生健康（类）支出1.76万元，占1.94%；节能环保（类）支出64.56万元，占71.29%；城乡社区（类）支出1</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万元，占1.1</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%；其他（类）支出18.93万元，占20.9</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2021年度财政拨款支出年初预算为</w:t>
      </w:r>
      <w:r>
        <w:rPr>
          <w:rFonts w:hint="eastAsia" w:asciiTheme="minorEastAsia" w:hAnsiTheme="minorEastAsia" w:eastAsiaTheme="minorEastAsia"/>
          <w:sz w:val="32"/>
          <w:szCs w:val="32"/>
          <w:highlight w:val="none"/>
          <w:lang w:val="en-US" w:eastAsia="zh-CN"/>
        </w:rPr>
        <w:t>22.62</w:t>
      </w:r>
      <w:r>
        <w:rPr>
          <w:rFonts w:hint="eastAsia" w:asciiTheme="minorEastAsia" w:hAnsiTheme="minorEastAsia" w:eastAsiaTheme="minorEastAsia"/>
          <w:sz w:val="32"/>
          <w:szCs w:val="32"/>
          <w:highlight w:val="none"/>
        </w:rPr>
        <w:t>万元，支出决算为90.56万元，完成年初预算的</w:t>
      </w:r>
      <w:r>
        <w:rPr>
          <w:rFonts w:hint="eastAsia" w:asciiTheme="minorEastAsia" w:hAnsiTheme="minorEastAsia" w:eastAsiaTheme="minorEastAsia"/>
          <w:sz w:val="32"/>
          <w:szCs w:val="32"/>
          <w:highlight w:val="none"/>
          <w:lang w:val="en-US" w:eastAsia="zh-CN"/>
        </w:rPr>
        <w:t>4</w:t>
      </w:r>
      <w:r>
        <w:rPr>
          <w:rFonts w:asciiTheme="minorEastAsia" w:hAnsiTheme="minorEastAsia" w:eastAsiaTheme="minorEastAsia"/>
          <w:sz w:val="32"/>
          <w:szCs w:val="32"/>
          <w:highlight w:val="none"/>
        </w:rPr>
        <w:t>0</w:t>
      </w:r>
      <w:r>
        <w:rPr>
          <w:rFonts w:hint="eastAsia" w:asciiTheme="minorEastAsia" w:hAnsiTheme="minorEastAsia" w:eastAsiaTheme="minorEastAsia"/>
          <w:sz w:val="32"/>
          <w:szCs w:val="32"/>
          <w:highlight w:val="none"/>
        </w:rPr>
        <w:t>0</w:t>
      </w:r>
      <w:r>
        <w:rPr>
          <w:rFonts w:hint="eastAsia" w:asciiTheme="minorEastAsia" w:hAnsiTheme="minorEastAsia" w:eastAsiaTheme="minorEastAsia"/>
          <w:sz w:val="32"/>
          <w:szCs w:val="32"/>
          <w:highlight w:val="none"/>
          <w:lang w:val="en-US" w:eastAsia="zh-CN"/>
        </w:rPr>
        <w:t>.35</w:t>
      </w:r>
      <w:r>
        <w:rPr>
          <w:rFonts w:hint="eastAsia" w:asciiTheme="minorEastAsia" w:hAnsiTheme="minorEastAsia" w:eastAsiaTheme="minorEastAsia"/>
          <w:sz w:val="32"/>
          <w:szCs w:val="32"/>
          <w:highlight w:val="none"/>
        </w:rPr>
        <w:t>%。其中：</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社会保障和就业支出（类）行政事业单位养老支出（款）机关事业单位基本养老保险缴费支出（项）。年初预算为3.82万元，支出决算为3.82万元，完成年初预算的100%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宋体" w:hAnsi="宋体" w:eastAsia="宋体"/>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社会保障和就业支出（类）残疾人事业（款）其他残疾人事业支出（项）。年初预算为</w:t>
      </w:r>
      <w:r>
        <w:rPr>
          <w:rFonts w:hint="eastAsia" w:ascii="宋体" w:hAnsi="宋体"/>
          <w:color w:val="auto"/>
          <w:sz w:val="32"/>
        </w:rPr>
        <w:t>0.29</w:t>
      </w:r>
      <w:r>
        <w:rPr>
          <w:rFonts w:hint="eastAsia" w:asciiTheme="minorEastAsia" w:hAnsiTheme="minorEastAsia" w:eastAsiaTheme="minorEastAsia"/>
          <w:sz w:val="32"/>
          <w:szCs w:val="32"/>
        </w:rPr>
        <w:t>万元，支出决算为</w:t>
      </w:r>
      <w:r>
        <w:rPr>
          <w:rFonts w:hint="eastAsia" w:ascii="宋体" w:hAnsi="宋体"/>
          <w:color w:val="auto"/>
          <w:sz w:val="32"/>
        </w:rPr>
        <w:t>0.29</w:t>
      </w:r>
      <w:r>
        <w:rPr>
          <w:rFonts w:hint="eastAsia" w:asciiTheme="minorEastAsia" w:hAnsiTheme="minorEastAsia" w:eastAsiaTheme="minorEastAsia"/>
          <w:sz w:val="32"/>
          <w:szCs w:val="32"/>
        </w:rPr>
        <w:t>万元，完成年初预算的100%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社会保障和就业支出（类）财政对其他社会保险基金的补助（款）财政对工伤保险基金的补助（项）。年初预算为0.19万元，支出决算为0.19万元，完成年初预算的100%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宋体" w:hAnsi="宋体" w:eastAsia="宋体"/>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卫生健康支出（类）行政事业单位医疗（款）事业单位医疗（项）。年初预算为1.76万元，支出决算为1.76万元，完成年初预算的100%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宋体" w:hAnsi="宋体" w:eastAsia="宋体"/>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节能环保支出（类）环境监测与监察（款）其他环境监测与监察支出（项）。年初预算为0万元，支出决算为2万元，由于预算数为0，无法计算百分比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决算数大于预算数的主要原因是此项专项经费由市局统一进行预算。</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节能环保支出（类）污染减排（款）生态环境执法监察（项）。年初预算为0万元，支出决算为</w:t>
      </w:r>
      <w:r>
        <w:rPr>
          <w:rFonts w:hint="eastAsia" w:ascii="宋体" w:hAnsi="宋体" w:eastAsiaTheme="minorEastAsia"/>
          <w:color w:val="auto"/>
          <w:sz w:val="32"/>
        </w:rPr>
        <w:t>46</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决算数大于预算数的主要原因是此项专项经费由市局统一进行预算。</w:t>
      </w:r>
    </w:p>
    <w:p>
      <w:pPr>
        <w:pStyle w:val="11"/>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节能环保支出（类）污染减排（款）减排专项支出（项）。年初预算为</w:t>
      </w:r>
      <w:r>
        <w:rPr>
          <w:rFonts w:hint="eastAsia" w:asciiTheme="minorEastAsia" w:hAnsiTheme="minorEastAsia" w:eastAsiaTheme="minorEastAsia"/>
          <w:sz w:val="32"/>
          <w:szCs w:val="32"/>
          <w:lang w:val="en-US" w:eastAsia="zh-CN"/>
        </w:rPr>
        <w:t>2.93</w:t>
      </w:r>
      <w:r>
        <w:rPr>
          <w:rFonts w:asciiTheme="minorEastAsia" w:hAnsiTheme="minorEastAsia" w:eastAsiaTheme="minorEastAsia"/>
          <w:sz w:val="32"/>
          <w:szCs w:val="32"/>
        </w:rPr>
        <w:t>万元，支出决算为2.93万元，</w:t>
      </w:r>
      <w:r>
        <w:rPr>
          <w:rFonts w:hint="eastAsia" w:asciiTheme="minorEastAsia" w:hAnsiTheme="minorEastAsia" w:eastAsiaTheme="minorEastAsia"/>
          <w:sz w:val="32"/>
          <w:szCs w:val="32"/>
        </w:rPr>
        <w:t>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节能环保支出（类）其他节能环保支出（款）其他节能环保支出（项）。年初预算为</w:t>
      </w:r>
      <w:r>
        <w:rPr>
          <w:rFonts w:hint="eastAsia" w:asciiTheme="minorEastAsia" w:hAnsiTheme="minorEastAsia" w:eastAsiaTheme="minorEastAsia"/>
          <w:sz w:val="32"/>
          <w:szCs w:val="32"/>
          <w:lang w:val="en-US" w:eastAsia="zh-CN"/>
        </w:rPr>
        <w:t>13.63</w:t>
      </w:r>
      <w:r>
        <w:rPr>
          <w:rFonts w:hint="eastAsia" w:asciiTheme="minorEastAsia" w:hAnsiTheme="minorEastAsia" w:eastAsiaTheme="minorEastAsia"/>
          <w:sz w:val="32"/>
          <w:szCs w:val="32"/>
        </w:rPr>
        <w:t>万元，支出决算为13.63万元，完成年初预算的100%</w:t>
      </w:r>
      <w:r>
        <w:rPr>
          <w:rFonts w:hint="eastAsia" w:asciiTheme="minorEastAsia" w:hAnsiTheme="minorEastAsia" w:eastAsiaTheme="minorEastAsia"/>
          <w:sz w:val="32"/>
          <w:szCs w:val="32"/>
          <w:lang w:eastAsia="zh-CN"/>
        </w:rPr>
        <w:t>，</w:t>
      </w:r>
      <w:r>
        <w:rPr>
          <w:rFonts w:hint="eastAsia" w:ascii="宋体" w:hAnsi="宋体" w:eastAsia="宋体"/>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城乡社区支出（类）城乡社区管理事务（款）一般行政管理事务（项）。年初预算为0万元，支出决算为1万元，由于预算数为0，无法计算百分比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rPr>
        <w:t>决算数大于预算数的主要原因是按规定使用了上年度结余资金。</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其他支出（类）其他支出（款）其他支出（项）。年初预算为0万元，支出决算为</w:t>
      </w:r>
      <w:r>
        <w:rPr>
          <w:rFonts w:hint="eastAsia" w:ascii="宋体" w:hAnsi="宋体"/>
          <w:color w:val="auto"/>
          <w:sz w:val="32"/>
        </w:rPr>
        <w:t>18.93</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决算数大于预算数的主要原因是区财政等拨入其他资金户引起的其他资金支出。</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2021年度财政拨款基本支出90.56万元，其中</w:t>
      </w:r>
      <w:r>
        <w:rPr>
          <w:rFonts w:hint="eastAsia" w:asciiTheme="minorEastAsia" w:hAnsiTheme="minorEastAsia" w:eastAsiaTheme="minorEastAsia"/>
          <w:sz w:val="32"/>
          <w:szCs w:val="32"/>
          <w:lang w:eastAsia="zh-CN"/>
        </w:rPr>
        <w:t>：</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人员经费16.67万元，占基本支出的18.41%，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公用经费73.89万元，占基本支出的81.59%，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2021年“三公”经费财政拨款支出预算为</w:t>
      </w:r>
      <w:r>
        <w:rPr>
          <w:rFonts w:asciiTheme="minorEastAsia" w:hAnsiTheme="minorEastAsia" w:eastAsiaTheme="minorEastAsia"/>
          <w:sz w:val="32"/>
          <w:szCs w:val="32"/>
        </w:rPr>
        <w:t>1</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0.88</w:t>
      </w:r>
      <w:r>
        <w:rPr>
          <w:rFonts w:hint="eastAsia" w:asciiTheme="minorEastAsia" w:hAnsiTheme="minorEastAsia" w:eastAsiaTheme="minorEastAsia"/>
          <w:sz w:val="32"/>
          <w:szCs w:val="32"/>
        </w:rPr>
        <w:t>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因公出国（境）费支出预算为0万元，支出决算为0万元，由于预算数为0，无法计算百分比，主要原因为本年未安排因公出国（境）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未安排外事出访活动。</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公务用车购置费支出预算为0万元，支出决算为0万元，由于预算数为0，无法计算百分比，主要原因为本年未购置公务用车；与上年相比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rPr>
        <w:t>，主要原因</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两年均未购置公务用车。</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公务用车运行维护费支出预算为0万元，支出决算为0万元，由于预算数为0，无法计算百分比，主要原因为本年无公务用车需要运行维护；与上年相比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rPr>
        <w:t>，主要原因</w:t>
      </w:r>
      <w:r>
        <w:rPr>
          <w:rFonts w:hint="eastAsia" w:asciiTheme="minorEastAsia" w:hAnsiTheme="minorEastAsia" w:eastAsiaTheme="minorEastAsia"/>
          <w:sz w:val="32"/>
          <w:szCs w:val="32"/>
          <w:lang w:eastAsia="zh-CN"/>
        </w:rPr>
        <w:t>为</w:t>
      </w:r>
      <w:r>
        <w:rPr>
          <w:rFonts w:hint="eastAsia" w:asciiTheme="minorEastAsia" w:hAnsiTheme="minorEastAsia" w:eastAsiaTheme="minorEastAsia"/>
          <w:sz w:val="32"/>
          <w:szCs w:val="32"/>
        </w:rPr>
        <w:t>两年无公务用车需要运行维护。</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asciiTheme="minorEastAsia" w:hAnsiTheme="minorEastAsia" w:eastAsiaTheme="minorEastAsia"/>
          <w:sz w:val="32"/>
          <w:szCs w:val="32"/>
        </w:rPr>
        <w:t>1</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0.88</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88</w:t>
      </w:r>
      <w:r>
        <w:rPr>
          <w:rFonts w:hint="eastAsia" w:asciiTheme="minorEastAsia" w:hAnsiTheme="minorEastAsia" w:eastAsiaTheme="minorEastAsia"/>
          <w:sz w:val="32"/>
          <w:szCs w:val="32"/>
        </w:rPr>
        <w:t>%，</w:t>
      </w:r>
      <w:r>
        <w:rPr>
          <w:rFonts w:hint="eastAsia" w:ascii="宋体" w:hAnsi="宋体" w:eastAsia="宋体"/>
          <w:sz w:val="32"/>
          <w:szCs w:val="32"/>
        </w:rPr>
        <w:t>决算数小于预算数的主要原因</w:t>
      </w:r>
      <w:r>
        <w:rPr>
          <w:rFonts w:hint="eastAsia" w:ascii="宋体" w:hAnsi="宋体" w:eastAsia="宋体"/>
          <w:sz w:val="32"/>
          <w:szCs w:val="32"/>
          <w:lang w:eastAsia="zh-CN"/>
        </w:rPr>
        <w:t>是</w:t>
      </w:r>
      <w:r>
        <w:rPr>
          <w:rFonts w:hint="eastAsia" w:ascii="宋体" w:hAnsi="宋体" w:eastAsia="宋体"/>
          <w:sz w:val="32"/>
          <w:szCs w:val="32"/>
        </w:rPr>
        <w:t>从严控制“三公”经费开支，全年实际支出比预算有所节约。</w:t>
      </w:r>
      <w:r>
        <w:rPr>
          <w:rFonts w:hint="eastAsia" w:asciiTheme="minorEastAsia" w:hAnsiTheme="minorEastAsia" w:eastAsiaTheme="minorEastAsia"/>
          <w:sz w:val="32"/>
          <w:szCs w:val="32"/>
        </w:rPr>
        <w:t>与上年相比增加</w:t>
      </w:r>
      <w:r>
        <w:rPr>
          <w:rFonts w:asciiTheme="minorEastAsia" w:hAnsiTheme="minorEastAsia" w:eastAsiaTheme="minorEastAsia"/>
          <w:sz w:val="32"/>
          <w:szCs w:val="32"/>
        </w:rPr>
        <w:t>0.65</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283</w:t>
      </w:r>
      <w:r>
        <w:rPr>
          <w:rFonts w:hint="eastAsia" w:asciiTheme="minorEastAsia" w:hAnsiTheme="minorEastAsia" w:eastAsiaTheme="minorEastAsia"/>
          <w:sz w:val="32"/>
          <w:szCs w:val="32"/>
        </w:rPr>
        <w:t>%，增加主要原因是上级</w:t>
      </w:r>
      <w:r>
        <w:rPr>
          <w:rFonts w:hint="eastAsia" w:asciiTheme="minorEastAsia" w:hAnsiTheme="minorEastAsia" w:eastAsiaTheme="minorEastAsia"/>
          <w:sz w:val="32"/>
          <w:szCs w:val="32"/>
          <w:lang w:eastAsia="zh-CN"/>
        </w:rPr>
        <w:t>环保督</w:t>
      </w:r>
      <w:r>
        <w:rPr>
          <w:rFonts w:hint="eastAsia" w:asciiTheme="minorEastAsia" w:hAnsiTheme="minorEastAsia" w:eastAsiaTheme="minorEastAsia"/>
          <w:sz w:val="32"/>
          <w:szCs w:val="32"/>
        </w:rPr>
        <w:t>查次数增加。</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2021年度“三公”经费财政拨款支出决算中，因公出国（境）费支出决算0万元，占0%；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公务用车购置费及运行维护费支出决算0万元，占0%；</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公务接待费支出决算</w:t>
      </w:r>
      <w:r>
        <w:rPr>
          <w:rFonts w:hint="eastAsia" w:asciiTheme="minorEastAsia" w:hAnsiTheme="minorEastAsia" w:eastAsiaTheme="minorEastAsia"/>
          <w:sz w:val="32"/>
          <w:szCs w:val="32"/>
          <w:lang w:val="en-US" w:eastAsia="zh-CN"/>
        </w:rPr>
        <w:t>0.88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0%；其中：</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其他国内公务接待支出</w:t>
      </w:r>
      <w:r>
        <w:rPr>
          <w:rFonts w:hint="eastAsia" w:asciiTheme="minorEastAsia" w:hAnsiTheme="minorEastAsia" w:eastAsiaTheme="minorEastAsia"/>
          <w:sz w:val="32"/>
          <w:szCs w:val="32"/>
          <w:lang w:val="en-US" w:eastAsia="zh-CN"/>
        </w:rPr>
        <w:t>0.88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主要用于与有关单位交流工作情况及接受相关部门检查指导工作发生的接待支出。全年共接待来访团组</w:t>
      </w:r>
      <w:r>
        <w:rPr>
          <w:rFonts w:asciiTheme="minorEastAsia" w:hAnsiTheme="minorEastAsia" w:eastAsiaTheme="minorEastAsia"/>
          <w:sz w:val="32"/>
          <w:szCs w:val="32"/>
        </w:rPr>
        <w:t>7</w:t>
      </w:r>
      <w:r>
        <w:rPr>
          <w:rFonts w:hint="eastAsia" w:asciiTheme="minorEastAsia" w:hAnsiTheme="minorEastAsia" w:eastAsiaTheme="minorEastAsia"/>
          <w:sz w:val="32"/>
          <w:szCs w:val="32"/>
        </w:rPr>
        <w:t>个、来宾</w:t>
      </w:r>
      <w:r>
        <w:rPr>
          <w:rFonts w:asciiTheme="minorEastAsia" w:hAnsiTheme="minorEastAsia" w:eastAsiaTheme="minorEastAsia"/>
          <w:sz w:val="32"/>
          <w:szCs w:val="32"/>
        </w:rPr>
        <w:t>64</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因公出国（境）费支出决算0万元，全年安排因公出国（境）团组0个，累计0人次。</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公务用车购置费及运行维护费支出决算0万元，其中：公务用车购置费0万元，更新公务用车0辆。公务用车运行维护费0元，截止2021年12月31日，我单位开支财政拨款的公务用车保有量为0辆。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2021年本单位无政府性基金收支。</w:t>
      </w:r>
    </w:p>
    <w:p>
      <w:pPr>
        <w:pStyle w:val="11"/>
        <w:numPr>
          <w:ilvl w:val="0"/>
          <w:numId w:val="2"/>
        </w:numPr>
        <w:rPr>
          <w:rFonts w:hAnsi="黑体"/>
          <w:b/>
          <w:sz w:val="32"/>
          <w:szCs w:val="32"/>
        </w:rPr>
      </w:pPr>
      <w:r>
        <w:rPr>
          <w:rFonts w:hint="eastAsia" w:hAnsi="黑体"/>
          <w:b/>
          <w:sz w:val="32"/>
          <w:szCs w:val="32"/>
        </w:rPr>
        <w:t>国有资本经营预算财政拨款支出决算情况</w:t>
      </w:r>
    </w:p>
    <w:p>
      <w:pPr>
        <w:pStyle w:val="11"/>
        <w:ind w:firstLine="640" w:firstLineChars="200"/>
        <w:rPr>
          <w:rFonts w:hAnsi="黑体"/>
          <w:b/>
          <w:sz w:val="32"/>
          <w:szCs w:val="32"/>
        </w:rPr>
      </w:pPr>
      <w:r>
        <w:rPr>
          <w:rFonts w:hint="eastAsia" w:asciiTheme="minorEastAsia" w:hAnsiTheme="minorEastAsia" w:eastAsiaTheme="minorEastAsia"/>
          <w:sz w:val="32"/>
          <w:szCs w:val="32"/>
        </w:rPr>
        <w:t>2021年本单位无国有资本经营预算财政拨款支出。</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岳阳市生态环境局城陵矶新港区分局单位性质为财政补助事业单位，部门决算报表没有机关运行经费统计数据。</w:t>
      </w:r>
    </w:p>
    <w:p>
      <w:pPr>
        <w:pStyle w:val="11"/>
        <w:rPr>
          <w:rFonts w:hAnsi="黑体"/>
          <w:b/>
          <w:sz w:val="32"/>
          <w:szCs w:val="32"/>
        </w:rPr>
      </w:pPr>
      <w:r>
        <w:rPr>
          <w:rFonts w:hint="eastAsia" w:hAnsi="黑体"/>
          <w:b/>
          <w:sz w:val="32"/>
          <w:szCs w:val="32"/>
        </w:rPr>
        <w:t>十一、一般性支出情况说明</w:t>
      </w:r>
    </w:p>
    <w:p>
      <w:pPr>
        <w:pStyle w:val="11"/>
        <w:keepNext w:val="0"/>
        <w:keepLines w:val="0"/>
        <w:pageBreakBefore w:val="0"/>
        <w:widowControl w:val="0"/>
        <w:kinsoku/>
        <w:wordWrap/>
        <w:overflowPunct/>
        <w:topLinePunct w:val="0"/>
        <w:autoSpaceDE w:val="0"/>
        <w:autoSpaceDN w:val="0"/>
        <w:bidi w:val="0"/>
        <w:adjustRightInd w:val="0"/>
        <w:snapToGrid/>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eastAsia="zh-CN"/>
        </w:rPr>
        <w:t>单位会议费支出</w:t>
      </w:r>
      <w:r>
        <w:rPr>
          <w:rFonts w:hint="eastAsia" w:asciiTheme="minorEastAsia" w:hAnsiTheme="minorEastAsia" w:eastAsiaTheme="minorEastAsia"/>
          <w:sz w:val="32"/>
          <w:szCs w:val="32"/>
        </w:rPr>
        <w:t>0万元</w:t>
      </w:r>
      <w:r>
        <w:rPr>
          <w:rFonts w:hint="eastAsia" w:asciiTheme="minorEastAsia" w:hAnsiTheme="minorEastAsia" w:eastAsiaTheme="minorEastAsia"/>
          <w:sz w:val="32"/>
          <w:szCs w:val="32"/>
          <w:lang w:eastAsia="zh-CN"/>
        </w:rPr>
        <w:t>，</w:t>
      </w:r>
      <w:r>
        <w:rPr>
          <w:rFonts w:hint="eastAsia" w:ascii="宋体" w:hAnsi="宋体" w:eastAsia="宋体"/>
          <w:sz w:val="32"/>
          <w:szCs w:val="32"/>
        </w:rPr>
        <w:t>人数0人</w:t>
      </w:r>
      <w:r>
        <w:rPr>
          <w:rFonts w:hint="eastAsia" w:ascii="宋体" w:hAnsi="宋体" w:eastAsia="宋体"/>
          <w:sz w:val="32"/>
          <w:szCs w:val="32"/>
          <w:lang w:eastAsia="zh-CN"/>
        </w:rPr>
        <w:t>；</w:t>
      </w:r>
      <w:r>
        <w:rPr>
          <w:rFonts w:hint="eastAsia" w:asciiTheme="minorEastAsia" w:hAnsiTheme="minorEastAsia" w:eastAsiaTheme="minorEastAsia"/>
          <w:sz w:val="32"/>
          <w:szCs w:val="32"/>
          <w:lang w:eastAsia="zh-CN"/>
        </w:rPr>
        <w:t>培训费支出</w:t>
      </w:r>
      <w:r>
        <w:rPr>
          <w:rFonts w:hint="eastAsia" w:asciiTheme="minorEastAsia" w:hAnsiTheme="minorEastAsia" w:eastAsiaTheme="minorEastAsia"/>
          <w:sz w:val="32"/>
          <w:szCs w:val="32"/>
          <w:lang w:val="en-US" w:eastAsia="zh-CN"/>
        </w:rPr>
        <w:t>0万元，</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val="en-US" w:eastAsia="zh-CN"/>
        </w:rPr>
        <w:t>；2021年本单位未举办节庆、晚会、论坛、赛事活动，开支0万元。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2021年度政府采购支出总额0万元，其中：政府采购货物支出0万元；政府采购工程支出0万元；政府采购服务支出0万元。授予中小企业合同金额0万元，占政府采购支出总额的0%。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年12月31日，</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w:t>
      </w:r>
    </w:p>
    <w:p>
      <w:pPr>
        <w:pStyle w:val="11"/>
        <w:ind w:firstLine="640" w:firstLineChars="20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rPr>
        <w:t>（1）绩效管理评价工作开展情况</w:t>
      </w:r>
      <w:r>
        <w:rPr>
          <w:rFonts w:hint="eastAsia" w:ascii="宋体" w:hAnsi="宋体" w:eastAsia="宋体" w:cs="黑体"/>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为进一步规范财政资金管理，强化财政支出绩效理念，切实提高财政资金使用效益，根据《岳阳市财政局关于做好2022年度预算绩效目标编审工作的通知》（岳财预〔2021〕165号）要求</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我单位科学确定全年绩效目标，将绩效管理融入预算编制、执行全过程。</w:t>
      </w:r>
    </w:p>
    <w:p>
      <w:pPr>
        <w:autoSpaceDE w:val="0"/>
        <w:autoSpaceDN w:val="0"/>
        <w:adjustRightInd w:val="0"/>
        <w:ind w:firstLine="640" w:firstLineChars="200"/>
        <w:jc w:val="left"/>
        <w:rPr>
          <w:rFonts w:hint="eastAsia" w:ascii="宋体" w:hAnsi="宋体" w:eastAsia="宋体" w:cs="黑体"/>
          <w:color w:val="000000"/>
          <w:kern w:val="0"/>
          <w:sz w:val="32"/>
          <w:szCs w:val="32"/>
        </w:rPr>
      </w:pPr>
      <w:r>
        <w:rPr>
          <w:rFonts w:hint="eastAsia" w:ascii="宋体" w:hAnsi="宋体" w:eastAsia="宋体" w:cs="黑体"/>
          <w:color w:val="000000"/>
          <w:kern w:val="0"/>
          <w:sz w:val="32"/>
          <w:szCs w:val="32"/>
        </w:rPr>
        <w:t>根据预算绩效管理要求，</w:t>
      </w:r>
      <w:r>
        <w:rPr>
          <w:rFonts w:hint="eastAsia" w:ascii="宋体" w:hAnsi="宋体" w:eastAsia="宋体" w:cs="黑体"/>
          <w:color w:val="000000"/>
          <w:kern w:val="0"/>
          <w:sz w:val="32"/>
          <w:szCs w:val="32"/>
          <w:lang w:eastAsia="zh-CN"/>
        </w:rPr>
        <w:t>本单位</w:t>
      </w:r>
      <w:r>
        <w:rPr>
          <w:rFonts w:hint="eastAsia" w:ascii="宋体" w:hAnsi="宋体" w:eastAsia="宋体" w:cs="黑体"/>
          <w:color w:val="000000"/>
          <w:kern w:val="0"/>
          <w:sz w:val="32"/>
          <w:szCs w:val="32"/>
        </w:rPr>
        <w:t>对</w:t>
      </w:r>
      <w:r>
        <w:rPr>
          <w:rFonts w:ascii="宋体" w:hAnsi="宋体" w:eastAsia="宋体" w:cs="黑体"/>
          <w:color w:val="000000"/>
          <w:kern w:val="0"/>
          <w:sz w:val="32"/>
          <w:szCs w:val="32"/>
        </w:rPr>
        <w:t>2021</w:t>
      </w:r>
      <w:r>
        <w:rPr>
          <w:rFonts w:hint="eastAsia" w:ascii="宋体" w:hAnsi="宋体" w:eastAsia="宋体" w:cs="黑体"/>
          <w:color w:val="000000"/>
          <w:kern w:val="0"/>
          <w:sz w:val="32"/>
          <w:szCs w:val="32"/>
        </w:rPr>
        <w:t>年度一般公共预算项目支出全面开展绩效自评，其中，一级项目</w:t>
      </w:r>
      <w:r>
        <w:rPr>
          <w:rFonts w:hint="eastAsia" w:ascii="宋体" w:hAnsi="宋体" w:eastAsia="宋体" w:cs="黑体"/>
          <w:color w:val="000000"/>
          <w:kern w:val="0"/>
          <w:sz w:val="32"/>
          <w:szCs w:val="32"/>
          <w:lang w:val="en-US" w:eastAsia="zh-CN"/>
        </w:rPr>
        <w:t>0</w:t>
      </w:r>
      <w:r>
        <w:rPr>
          <w:rFonts w:hint="eastAsia" w:ascii="宋体" w:hAnsi="宋体" w:eastAsia="宋体" w:cs="黑体"/>
          <w:color w:val="000000"/>
          <w:kern w:val="0"/>
          <w:sz w:val="32"/>
          <w:szCs w:val="32"/>
        </w:rPr>
        <w:t>个，二级项目</w:t>
      </w:r>
      <w:r>
        <w:rPr>
          <w:rFonts w:hint="eastAsia" w:ascii="宋体" w:hAnsi="宋体" w:eastAsia="宋体" w:cs="黑体"/>
          <w:color w:val="000000"/>
          <w:kern w:val="0"/>
          <w:sz w:val="32"/>
          <w:szCs w:val="32"/>
          <w:lang w:val="en-US" w:eastAsia="zh-CN"/>
        </w:rPr>
        <w:t>0</w:t>
      </w:r>
      <w:r>
        <w:rPr>
          <w:rFonts w:hint="eastAsia" w:ascii="宋体" w:hAnsi="宋体" w:eastAsia="宋体" w:cs="黑体"/>
          <w:color w:val="000000"/>
          <w:kern w:val="0"/>
          <w:sz w:val="32"/>
          <w:szCs w:val="32"/>
        </w:rPr>
        <w:t>个，共涉及资金</w:t>
      </w:r>
      <w:r>
        <w:rPr>
          <w:rFonts w:hint="eastAsia" w:ascii="宋体" w:hAnsi="宋体" w:eastAsia="宋体" w:cs="黑体"/>
          <w:color w:val="000000"/>
          <w:kern w:val="0"/>
          <w:sz w:val="32"/>
          <w:szCs w:val="32"/>
          <w:lang w:val="en-US" w:eastAsia="zh-CN"/>
        </w:rPr>
        <w:t>0</w:t>
      </w:r>
      <w:r>
        <w:rPr>
          <w:rFonts w:hint="eastAsia" w:ascii="宋体" w:hAnsi="宋体" w:eastAsia="宋体" w:cs="黑体"/>
          <w:color w:val="000000"/>
          <w:kern w:val="0"/>
          <w:sz w:val="32"/>
          <w:szCs w:val="32"/>
        </w:rPr>
        <w:t>万元，占一般公共预算项目支出总额的</w:t>
      </w:r>
      <w:r>
        <w:rPr>
          <w:rFonts w:hint="eastAsia" w:ascii="宋体" w:hAnsi="宋体" w:eastAsia="宋体" w:cs="黑体"/>
          <w:color w:val="000000"/>
          <w:kern w:val="0"/>
          <w:sz w:val="32"/>
          <w:szCs w:val="32"/>
          <w:lang w:val="en-US" w:eastAsia="zh-CN"/>
        </w:rPr>
        <w:t>0</w:t>
      </w:r>
      <w:r>
        <w:rPr>
          <w:rFonts w:ascii="宋体" w:hAnsi="宋体" w:eastAsia="宋体" w:cs="黑体"/>
          <w:color w:val="000000"/>
          <w:kern w:val="0"/>
          <w:sz w:val="32"/>
          <w:szCs w:val="32"/>
        </w:rPr>
        <w:t>%</w:t>
      </w:r>
      <w:r>
        <w:rPr>
          <w:rFonts w:hint="eastAsia" w:ascii="宋体" w:hAnsi="宋体" w:eastAsia="宋体" w:cs="黑体"/>
          <w:color w:val="000000"/>
          <w:kern w:val="0"/>
          <w:sz w:val="32"/>
          <w:szCs w:val="32"/>
        </w:rPr>
        <w:t>。</w:t>
      </w:r>
      <w:r>
        <w:rPr>
          <w:rFonts w:hint="eastAsia" w:ascii="宋体" w:hAnsi="宋体" w:eastAsia="宋体" w:cs="黑体"/>
          <w:color w:val="000000"/>
          <w:kern w:val="0"/>
          <w:sz w:val="32"/>
          <w:szCs w:val="32"/>
          <w:lang w:eastAsia="zh-CN"/>
        </w:rPr>
        <w:t>无</w:t>
      </w:r>
      <w:r>
        <w:rPr>
          <w:rFonts w:hint="eastAsia" w:ascii="宋体" w:hAnsi="宋体" w:eastAsia="宋体" w:cs="黑体"/>
          <w:color w:val="000000"/>
          <w:kern w:val="0"/>
          <w:sz w:val="32"/>
          <w:szCs w:val="32"/>
        </w:rPr>
        <w:t>政府性基金预算项目支出开展绩效自评，</w:t>
      </w:r>
      <w:r>
        <w:rPr>
          <w:rFonts w:hint="eastAsia" w:ascii="宋体" w:hAnsi="宋体" w:eastAsia="宋体" w:cs="黑体"/>
          <w:color w:val="000000"/>
          <w:kern w:val="0"/>
          <w:sz w:val="32"/>
          <w:szCs w:val="32"/>
          <w:lang w:eastAsia="zh-CN"/>
        </w:rPr>
        <w:t>无</w:t>
      </w:r>
      <w:r>
        <w:rPr>
          <w:rFonts w:hint="eastAsia" w:ascii="宋体" w:hAnsi="宋体" w:eastAsia="宋体" w:cs="黑体"/>
          <w:color w:val="000000"/>
          <w:kern w:val="0"/>
          <w:sz w:val="32"/>
          <w:szCs w:val="32"/>
        </w:rPr>
        <w:t>国有资本经营预算项目支出开展绩效自评。</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ascii="宋体" w:hAnsi="宋体" w:cs="黑体"/>
          <w:color w:val="000000"/>
          <w:kern w:val="0"/>
          <w:sz w:val="32"/>
          <w:szCs w:val="32"/>
        </w:rPr>
        <w:t>从评价情况来看，</w:t>
      </w:r>
      <w:r>
        <w:rPr>
          <w:rFonts w:hint="eastAsia" w:cs="黑体" w:asciiTheme="minorEastAsia" w:hAnsiTheme="minorEastAsia"/>
          <w:color w:val="000000"/>
          <w:kern w:val="0"/>
          <w:sz w:val="32"/>
          <w:szCs w:val="32"/>
          <w:lang w:val="en-US" w:eastAsia="zh-CN"/>
        </w:rPr>
        <w:t>本单位整体支出只有基本支出，没有专项支出。2021年度运行情况及取得的成绩有做好信访件交办件处理工作，截至目前所有信访件均已销号。实行尾水降磷，开展长江入河排污口排查整治等加强排污（渍）口管控。对辖区扬尘防治情况按月进行专项督查，严格特护期大气污染防治，启动重污染天气橙色预警Ⅱ级响应措施，所有通报问题立行立改，整治成效明显，城陵矶站点空气质量达到国家二级标准。</w:t>
      </w:r>
    </w:p>
    <w:p>
      <w:pPr>
        <w:autoSpaceDE w:val="0"/>
        <w:autoSpaceDN w:val="0"/>
        <w:adjustRightInd w:val="0"/>
        <w:ind w:firstLine="640" w:firstLineChars="200"/>
        <w:jc w:val="left"/>
        <w:rPr>
          <w:rFonts w:ascii="宋体" w:hAnsi="宋体" w:eastAsia="宋体" w:cs="黑体"/>
          <w:b/>
          <w:color w:val="000000"/>
          <w:kern w:val="0"/>
          <w:sz w:val="32"/>
          <w:szCs w:val="32"/>
        </w:rPr>
      </w:pPr>
      <w:r>
        <w:rPr>
          <w:rFonts w:hint="eastAsia" w:ascii="宋体" w:hAnsi="宋体" w:eastAsia="宋体" w:cs="黑体"/>
          <w:b/>
          <w:color w:val="000000"/>
          <w:kern w:val="0"/>
          <w:sz w:val="32"/>
          <w:szCs w:val="32"/>
        </w:rPr>
        <w:t>（2）部门决算中项目绩效自评结果。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本单位无重点项目，故未开展重点项目自评，无重点项目自评结果。</w:t>
      </w:r>
    </w:p>
    <w:p>
      <w:pPr>
        <w:autoSpaceDE w:val="0"/>
        <w:autoSpaceDN w:val="0"/>
        <w:adjustRightInd w:val="0"/>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rPr>
        <w:t>（</w:t>
      </w:r>
      <w:r>
        <w:rPr>
          <w:rFonts w:ascii="宋体" w:hAnsi="宋体" w:eastAsia="宋体" w:cs="黑体"/>
          <w:b/>
          <w:color w:val="000000"/>
          <w:kern w:val="0"/>
          <w:sz w:val="32"/>
          <w:szCs w:val="32"/>
        </w:rPr>
        <w:t>3</w:t>
      </w:r>
      <w:r>
        <w:rPr>
          <w:rFonts w:hint="eastAsia" w:ascii="宋体" w:hAnsi="宋体" w:eastAsia="宋体" w:cs="黑体"/>
          <w:b/>
          <w:color w:val="000000"/>
          <w:kern w:val="0"/>
          <w:sz w:val="32"/>
          <w:szCs w:val="32"/>
        </w:rPr>
        <w:t>）部门评价项目绩效评价结果。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绩效管理工作开展顺利，部门决算中项目绩效自评结果为99分，部门评价项目绩效评价结果为优秀。</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sz w:val="32"/>
          <w:szCs w:val="32"/>
        </w:rPr>
        <w:t>预算绩效管理开展情况、绩效目标和绩效评价报告等，一并作为附件公开。</w:t>
      </w:r>
      <w:bookmarkStart w:id="0" w:name="_GoBack"/>
      <w:bookmarkEnd w:id="0"/>
    </w:p>
    <w:p>
      <w:pPr>
        <w:pStyle w:val="11"/>
        <w:jc w:val="both"/>
        <w:rPr>
          <w:sz w:val="72"/>
          <w:szCs w:val="72"/>
        </w:rPr>
      </w:pPr>
    </w:p>
    <w:p>
      <w:pPr>
        <w:pStyle w:val="11"/>
        <w:jc w:val="both"/>
        <w:rPr>
          <w:sz w:val="72"/>
          <w:szCs w:val="72"/>
        </w:rPr>
      </w:pPr>
    </w:p>
    <w:p>
      <w:pPr>
        <w:pStyle w:val="11"/>
        <w:jc w:val="both"/>
        <w:rPr>
          <w:sz w:val="72"/>
          <w:szCs w:val="72"/>
        </w:rPr>
      </w:pPr>
    </w:p>
    <w:p>
      <w:pPr>
        <w:rPr>
          <w:rFonts w:hint="eastAsia"/>
          <w:sz w:val="72"/>
          <w:szCs w:val="72"/>
        </w:rPr>
      </w:pPr>
      <w:r>
        <w:rPr>
          <w:rFonts w:hint="eastAsia"/>
          <w:sz w:val="72"/>
          <w:szCs w:val="72"/>
        </w:rPr>
        <w:br w:type="page"/>
      </w: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财政拨款收入：指本级财政当年拨付的资金。其他收入：指除上述“财政拨款收入”、“上级补助收入”、“事业收入”、“经营收入”、“附属单位上缴收入”等以外的收入。</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节能环保支出（类）：是指用于节能环保支出，包括保障机构正常运转、完成日常和特定的工作任务或事业发展目标的支出。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伙食补助费：反映单位发给职工的伙食补助费，如误餐补助等。绩效工资：反映事业单位工作人员的绩效工资。</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印刷费：反映单位的印刷费支出。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咨询费：反映单位咨询方面的支出。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水费：反映单位支付的水费、污水处理费等支出。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邮电费：反映单位开支的信函、包裹、货物等物品的邮寄费及电话费、电报费、传真费、网络通讯费等。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会议费：反映会议中按规定开支的住宿费、伙食费、会议室租金、交通费、文件印刷费、医药费等。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专用燃料费：反映用作业务工作设备的车、船设施等的油料支出。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公务用车运行维护费：反映单位按规定保留的公务用车燃料费、维修费、过桥过路费、保险费、安全奖励费用等支出。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抚恤金：反映按规定开支的烈士遗属、牺牲病故人员遗属的一次性和定期抚恤金，伤残人员的抚恤金，离退休人员等其他人员的各项抚恤金。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widowControl/>
        <w:ind w:firstLine="640" w:firstLineChars="200"/>
        <w:jc w:val="left"/>
        <w:rPr>
          <w:rFonts w:eastAsia="黑体" w:cs="黑体" w:asciiTheme="minorEastAsia" w:hAnsiTheme="minorEastAsia"/>
          <w:color w:val="000000"/>
          <w:kern w:val="0"/>
          <w:sz w:val="28"/>
          <w:szCs w:val="32"/>
        </w:rPr>
      </w:pPr>
      <w:r>
        <w:rPr>
          <w:rFonts w:hint="eastAsia" w:cs="黑体" w:asciiTheme="minorEastAsia" w:hAnsiTheme="minorEastAsia"/>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r>
        <w:rPr>
          <w:rFonts w:hint="eastAsia" w:asciiTheme="minorEastAsia" w:hAnsiTheme="minorEastAsia"/>
          <w:sz w:val="28"/>
          <w:szCs w:val="32"/>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2、2021年度部门整体支出绩效评价报告</w:t>
      </w: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172A27"/>
    <w:rsid w:val="0002229B"/>
    <w:rsid w:val="000273BD"/>
    <w:rsid w:val="000415B7"/>
    <w:rsid w:val="00041E3F"/>
    <w:rsid w:val="00055DAA"/>
    <w:rsid w:val="00061F7B"/>
    <w:rsid w:val="000658A3"/>
    <w:rsid w:val="00074155"/>
    <w:rsid w:val="000873EF"/>
    <w:rsid w:val="000A3F69"/>
    <w:rsid w:val="000B3240"/>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489"/>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540B"/>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15C5"/>
    <w:rsid w:val="006E5284"/>
    <w:rsid w:val="006F3EB5"/>
    <w:rsid w:val="00702E34"/>
    <w:rsid w:val="00704395"/>
    <w:rsid w:val="00710FE7"/>
    <w:rsid w:val="00717621"/>
    <w:rsid w:val="00720FF1"/>
    <w:rsid w:val="00727A53"/>
    <w:rsid w:val="00751E9E"/>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995"/>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91CCC"/>
    <w:rsid w:val="00DD06FF"/>
    <w:rsid w:val="00DD5FE9"/>
    <w:rsid w:val="00E00C7A"/>
    <w:rsid w:val="00E209CF"/>
    <w:rsid w:val="00E37D6C"/>
    <w:rsid w:val="00E55B68"/>
    <w:rsid w:val="00E63610"/>
    <w:rsid w:val="00E67BE6"/>
    <w:rsid w:val="00E8683C"/>
    <w:rsid w:val="00EA2B72"/>
    <w:rsid w:val="00EE590C"/>
    <w:rsid w:val="00F74360"/>
    <w:rsid w:val="00FA0F0B"/>
    <w:rsid w:val="00FA2D76"/>
    <w:rsid w:val="00FB462F"/>
    <w:rsid w:val="00FE16FA"/>
    <w:rsid w:val="00FE328A"/>
    <w:rsid w:val="00FE6269"/>
    <w:rsid w:val="00FF5CD6"/>
    <w:rsid w:val="02146D9B"/>
    <w:rsid w:val="03845A91"/>
    <w:rsid w:val="049A4BA6"/>
    <w:rsid w:val="054335A5"/>
    <w:rsid w:val="05633A58"/>
    <w:rsid w:val="06B411F0"/>
    <w:rsid w:val="0859085C"/>
    <w:rsid w:val="087403E0"/>
    <w:rsid w:val="08972F24"/>
    <w:rsid w:val="08AE1E9F"/>
    <w:rsid w:val="08BB280E"/>
    <w:rsid w:val="0A6930E2"/>
    <w:rsid w:val="0A876F85"/>
    <w:rsid w:val="0B3348DE"/>
    <w:rsid w:val="0BE56081"/>
    <w:rsid w:val="0D643474"/>
    <w:rsid w:val="102E4A79"/>
    <w:rsid w:val="12495049"/>
    <w:rsid w:val="1305450C"/>
    <w:rsid w:val="136C270C"/>
    <w:rsid w:val="139B53E8"/>
    <w:rsid w:val="13BE003E"/>
    <w:rsid w:val="1430252F"/>
    <w:rsid w:val="14B758D9"/>
    <w:rsid w:val="14DA4197"/>
    <w:rsid w:val="166D5BA5"/>
    <w:rsid w:val="172B73EB"/>
    <w:rsid w:val="178C225E"/>
    <w:rsid w:val="17A87124"/>
    <w:rsid w:val="183D2903"/>
    <w:rsid w:val="1ABF1CEA"/>
    <w:rsid w:val="1B827539"/>
    <w:rsid w:val="1CDD7BFE"/>
    <w:rsid w:val="1D9A1754"/>
    <w:rsid w:val="1E4D5066"/>
    <w:rsid w:val="2085324E"/>
    <w:rsid w:val="20D858B3"/>
    <w:rsid w:val="20F9358F"/>
    <w:rsid w:val="220C2760"/>
    <w:rsid w:val="22992878"/>
    <w:rsid w:val="23E56F43"/>
    <w:rsid w:val="243122C6"/>
    <w:rsid w:val="2485605B"/>
    <w:rsid w:val="24EB2CAE"/>
    <w:rsid w:val="27DB542D"/>
    <w:rsid w:val="291A53C6"/>
    <w:rsid w:val="293F1394"/>
    <w:rsid w:val="29E835CB"/>
    <w:rsid w:val="2D875411"/>
    <w:rsid w:val="2E9A0BAB"/>
    <w:rsid w:val="31D766C2"/>
    <w:rsid w:val="356814A4"/>
    <w:rsid w:val="356D0868"/>
    <w:rsid w:val="366364DD"/>
    <w:rsid w:val="370B6762"/>
    <w:rsid w:val="37C945C1"/>
    <w:rsid w:val="37FE01FA"/>
    <w:rsid w:val="3BE32E2D"/>
    <w:rsid w:val="3BF703C1"/>
    <w:rsid w:val="3D1C29BB"/>
    <w:rsid w:val="3D924A53"/>
    <w:rsid w:val="3FC2534A"/>
    <w:rsid w:val="3FF23721"/>
    <w:rsid w:val="420A7D6E"/>
    <w:rsid w:val="43530F99"/>
    <w:rsid w:val="4415656C"/>
    <w:rsid w:val="451A1056"/>
    <w:rsid w:val="45F9639D"/>
    <w:rsid w:val="46D52711"/>
    <w:rsid w:val="4837750D"/>
    <w:rsid w:val="48567506"/>
    <w:rsid w:val="48B33C17"/>
    <w:rsid w:val="48ED43E7"/>
    <w:rsid w:val="495F1A08"/>
    <w:rsid w:val="4DAE20A0"/>
    <w:rsid w:val="503B1D58"/>
    <w:rsid w:val="52065E75"/>
    <w:rsid w:val="53323C56"/>
    <w:rsid w:val="538D67F9"/>
    <w:rsid w:val="564735D2"/>
    <w:rsid w:val="576E2576"/>
    <w:rsid w:val="5786281B"/>
    <w:rsid w:val="578A6C00"/>
    <w:rsid w:val="598E1EB8"/>
    <w:rsid w:val="59DB6642"/>
    <w:rsid w:val="5B223D51"/>
    <w:rsid w:val="5C4D68C0"/>
    <w:rsid w:val="5CC52489"/>
    <w:rsid w:val="5DEC1E56"/>
    <w:rsid w:val="5E876089"/>
    <w:rsid w:val="60A907EA"/>
    <w:rsid w:val="6145544E"/>
    <w:rsid w:val="63CE5D8F"/>
    <w:rsid w:val="650E4428"/>
    <w:rsid w:val="6550702A"/>
    <w:rsid w:val="66DF04CA"/>
    <w:rsid w:val="66EA4C23"/>
    <w:rsid w:val="67524B62"/>
    <w:rsid w:val="67C3769D"/>
    <w:rsid w:val="6BD41C8F"/>
    <w:rsid w:val="6BFB5F80"/>
    <w:rsid w:val="6C2B3C4B"/>
    <w:rsid w:val="6CB01E6B"/>
    <w:rsid w:val="6E6C623F"/>
    <w:rsid w:val="71856E65"/>
    <w:rsid w:val="743B4BF5"/>
    <w:rsid w:val="75AB270C"/>
    <w:rsid w:val="77BA6C36"/>
    <w:rsid w:val="78E57CE3"/>
    <w:rsid w:val="78ED7920"/>
    <w:rsid w:val="7B0A22D0"/>
    <w:rsid w:val="7B867C36"/>
    <w:rsid w:val="7BB57E40"/>
    <w:rsid w:val="7C7C38A2"/>
    <w:rsid w:val="7D910F7B"/>
    <w:rsid w:val="7DC13C2A"/>
    <w:rsid w:val="7DC96823"/>
    <w:rsid w:val="7EC4338B"/>
    <w:rsid w:val="7EC531C6"/>
    <w:rsid w:val="7EF13C0E"/>
    <w:rsid w:val="7F0A046A"/>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pPr>
    <w:rPr>
      <w:rFonts w:ascii="宋体" w:cs="宋体"/>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7021</Words>
  <Characters>7374</Characters>
  <Lines>53</Lines>
  <Paragraphs>15</Paragraphs>
  <TotalTime>0</TotalTime>
  <ScaleCrop>false</ScaleCrop>
  <LinksUpToDate>false</LinksUpToDate>
  <CharactersWithSpaces>7418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2022-07-27T12:55:00Z</cp:lastPrinted>
  <dcterms:modified xsi:type="dcterms:W3CDTF">2023-09-23T07:29:45Z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35DB91071DE9459BB7CD8F7508259546_13</vt:lpwstr>
  </property>
</Properties>
</file>