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rPr>
          <w:sz w:val="84"/>
          <w:szCs w:val="84"/>
        </w:rPr>
      </w:pPr>
    </w:p>
    <w:p>
      <w:pPr>
        <w:pStyle w:val="8"/>
        <w:jc w:val="center"/>
        <w:rPr>
          <w:rFonts w:hint="eastAsia"/>
          <w:sz w:val="84"/>
          <w:szCs w:val="84"/>
        </w:rPr>
      </w:pPr>
      <w:r>
        <w:rPr>
          <w:rFonts w:hint="eastAsia"/>
          <w:sz w:val="84"/>
          <w:szCs w:val="84"/>
        </w:rPr>
        <w:t>2021年度</w:t>
      </w:r>
    </w:p>
    <w:p>
      <w:pPr>
        <w:pStyle w:val="8"/>
        <w:jc w:val="center"/>
        <w:rPr>
          <w:rFonts w:hint="eastAsia"/>
          <w:sz w:val="84"/>
          <w:szCs w:val="84"/>
        </w:rPr>
      </w:pPr>
      <w:r>
        <w:rPr>
          <w:rFonts w:hint="eastAsia"/>
          <w:sz w:val="84"/>
          <w:szCs w:val="84"/>
        </w:rPr>
        <w:t>岳阳市生态环境局</w:t>
      </w:r>
    </w:p>
    <w:p>
      <w:pPr>
        <w:pStyle w:val="8"/>
        <w:jc w:val="center"/>
        <w:rPr>
          <w:sz w:val="84"/>
          <w:szCs w:val="84"/>
        </w:rPr>
      </w:pPr>
      <w:r>
        <w:rPr>
          <w:rFonts w:hint="eastAsia"/>
          <w:sz w:val="84"/>
          <w:szCs w:val="84"/>
          <w:lang w:val="en-US" w:eastAsia="zh-CN"/>
        </w:rPr>
        <w:t>云溪分局</w:t>
      </w:r>
      <w:r>
        <w:rPr>
          <w:rFonts w:hint="eastAsia"/>
          <w:sz w:val="84"/>
          <w:szCs w:val="84"/>
        </w:rPr>
        <w:t>部门决算</w:t>
      </w:r>
    </w:p>
    <w:p>
      <w:pPr>
        <w:pStyle w:val="8"/>
        <w:jc w:val="center"/>
        <w:rPr>
          <w:sz w:val="56"/>
          <w:szCs w:val="56"/>
        </w:rPr>
      </w:pPr>
    </w:p>
    <w:p>
      <w:pPr>
        <w:pStyle w:val="8"/>
        <w:jc w:val="center"/>
        <w:rPr>
          <w:sz w:val="56"/>
          <w:szCs w:val="56"/>
        </w:rPr>
      </w:pPr>
    </w:p>
    <w:p>
      <w:pPr>
        <w:pStyle w:val="8"/>
        <w:jc w:val="center"/>
        <w:rPr>
          <w:sz w:val="56"/>
          <w:szCs w:val="56"/>
        </w:rPr>
      </w:pPr>
    </w:p>
    <w:p>
      <w:pPr>
        <w:pStyle w:val="8"/>
        <w:jc w:val="center"/>
        <w:rPr>
          <w:sz w:val="56"/>
          <w:szCs w:val="56"/>
        </w:rPr>
      </w:pPr>
    </w:p>
    <w:p>
      <w:pPr>
        <w:pStyle w:val="8"/>
        <w:jc w:val="center"/>
        <w:rPr>
          <w:sz w:val="32"/>
          <w:szCs w:val="32"/>
        </w:rPr>
      </w:pPr>
    </w:p>
    <w:p>
      <w:pPr>
        <w:pStyle w:val="8"/>
        <w:jc w:val="center"/>
        <w:rPr>
          <w:sz w:val="32"/>
          <w:szCs w:val="32"/>
        </w:rPr>
      </w:pPr>
    </w:p>
    <w:p>
      <w:pPr>
        <w:pStyle w:val="8"/>
        <w:jc w:val="center"/>
        <w:rPr>
          <w:sz w:val="32"/>
          <w:szCs w:val="32"/>
        </w:rPr>
      </w:pPr>
    </w:p>
    <w:p>
      <w:pPr>
        <w:pStyle w:val="8"/>
        <w:jc w:val="center"/>
        <w:rPr>
          <w:sz w:val="32"/>
          <w:szCs w:val="32"/>
        </w:rPr>
      </w:pPr>
    </w:p>
    <w:p>
      <w:pPr>
        <w:pStyle w:val="8"/>
        <w:jc w:val="center"/>
        <w:rPr>
          <w:sz w:val="32"/>
          <w:szCs w:val="32"/>
        </w:rPr>
      </w:pPr>
    </w:p>
    <w:p>
      <w:pPr>
        <w:rPr>
          <w:rFonts w:hint="eastAsia"/>
          <w:b/>
          <w:sz w:val="36"/>
          <w:szCs w:val="28"/>
        </w:rPr>
      </w:pPr>
      <w:r>
        <w:rPr>
          <w:rFonts w:hint="eastAsia"/>
          <w:b/>
          <w:sz w:val="36"/>
          <w:szCs w:val="28"/>
        </w:rPr>
        <w:br w:type="page"/>
      </w:r>
    </w:p>
    <w:p>
      <w:pPr>
        <w:pStyle w:val="8"/>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8"/>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rPr>
        <w:t>岳阳市生态环境局</w:t>
      </w:r>
      <w:r>
        <w:rPr>
          <w:rFonts w:hint="eastAsia"/>
          <w:b/>
          <w:sz w:val="28"/>
          <w:szCs w:val="28"/>
          <w:lang w:val="en-US" w:eastAsia="zh-CN"/>
        </w:rPr>
        <w:t>云溪分局</w:t>
      </w:r>
      <w:r>
        <w:rPr>
          <w:rFonts w:hint="eastAsia"/>
          <w:b/>
          <w:sz w:val="28"/>
          <w:szCs w:val="28"/>
        </w:rPr>
        <w:t>概况</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8"/>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8"/>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8"/>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8"/>
        <w:jc w:val="center"/>
        <w:rPr>
          <w:rFonts w:hint="eastAsia"/>
          <w:sz w:val="84"/>
          <w:szCs w:val="84"/>
        </w:rPr>
      </w:pPr>
      <w:r>
        <w:rPr>
          <w:rFonts w:hint="eastAsia"/>
          <w:sz w:val="84"/>
          <w:szCs w:val="84"/>
        </w:rPr>
        <w:t>第一部分</w:t>
      </w:r>
    </w:p>
    <w:p>
      <w:pPr>
        <w:pStyle w:val="8"/>
        <w:jc w:val="center"/>
        <w:rPr>
          <w:rFonts w:hint="eastAsia"/>
          <w:sz w:val="84"/>
          <w:szCs w:val="84"/>
        </w:rPr>
      </w:pPr>
    </w:p>
    <w:p>
      <w:pPr>
        <w:pStyle w:val="8"/>
        <w:jc w:val="center"/>
        <w:rPr>
          <w:rFonts w:hint="default" w:eastAsia="黑体"/>
          <w:sz w:val="84"/>
          <w:szCs w:val="84"/>
          <w:lang w:val="en-US" w:eastAsia="zh-CN"/>
        </w:rPr>
      </w:pPr>
      <w:r>
        <w:rPr>
          <w:rFonts w:hint="eastAsia"/>
          <w:sz w:val="84"/>
          <w:szCs w:val="84"/>
        </w:rPr>
        <w:t>岳阳市生态环境局</w:t>
      </w:r>
      <w:r>
        <w:rPr>
          <w:rFonts w:hint="eastAsia"/>
          <w:sz w:val="84"/>
          <w:szCs w:val="84"/>
          <w:lang w:val="en-US" w:eastAsia="zh-CN"/>
        </w:rPr>
        <w:t>云溪分局</w:t>
      </w:r>
    </w:p>
    <w:p>
      <w:pPr>
        <w:pStyle w:val="8"/>
        <w:jc w:val="center"/>
        <w:rPr>
          <w:sz w:val="84"/>
          <w:szCs w:val="84"/>
        </w:rPr>
      </w:pP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9"/>
        <w:ind w:left="720" w:firstLine="0" w:firstLineChars="0"/>
        <w:jc w:val="left"/>
        <w:rPr>
          <w:rFonts w:ascii="黑体" w:hAnsi="黑体" w:eastAsia="黑体"/>
          <w:sz w:val="32"/>
          <w:szCs w:val="32"/>
        </w:rPr>
      </w:pPr>
    </w:p>
    <w:p>
      <w:pPr>
        <w:pStyle w:val="9"/>
        <w:ind w:left="720" w:firstLine="0" w:firstLineChars="0"/>
        <w:jc w:val="left"/>
        <w:rPr>
          <w:rFonts w:ascii="黑体" w:hAnsi="黑体" w:eastAsia="黑体"/>
          <w:sz w:val="32"/>
          <w:szCs w:val="32"/>
        </w:rPr>
      </w:pPr>
    </w:p>
    <w:p>
      <w:pPr>
        <w:pStyle w:val="9"/>
        <w:ind w:left="720" w:firstLine="0" w:firstLineChars="0"/>
        <w:jc w:val="left"/>
        <w:rPr>
          <w:rFonts w:ascii="黑体" w:hAnsi="黑体" w:eastAsia="黑体"/>
          <w:sz w:val="32"/>
          <w:szCs w:val="32"/>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ascii="黑体" w:hAnsi="黑体" w:eastAsia="黑体"/>
          <w:sz w:val="32"/>
          <w:szCs w:val="32"/>
        </w:rPr>
      </w:pPr>
      <w:r>
        <w:rPr>
          <w:rFonts w:hint="eastAsia" w:ascii="黑体" w:hAnsi="黑体" w:eastAsia="黑体"/>
          <w:sz w:val="32"/>
          <w:szCs w:val="32"/>
          <w:lang w:val="en-US" w:eastAsia="zh-CN"/>
        </w:rPr>
        <w:t>一、</w:t>
      </w:r>
      <w:r>
        <w:rPr>
          <w:rFonts w:ascii="黑体" w:hAnsi="黑体" w:eastAsia="黑体"/>
          <w:sz w:val="32"/>
          <w:szCs w:val="32"/>
        </w:rPr>
        <w:t>部门职责</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宋体" w:hAnsi="宋体" w:eastAsia="宋体" w:cs="宋体"/>
          <w:color w:val="000000"/>
          <w:sz w:val="32"/>
          <w:szCs w:val="32"/>
          <w:highlight w:val="white"/>
        </w:rPr>
      </w:pPr>
      <w:r>
        <w:rPr>
          <w:rFonts w:hint="eastAsia" w:ascii="宋体" w:hAnsi="宋体" w:eastAsia="宋体" w:cs="宋体"/>
          <w:color w:val="000000"/>
          <w:sz w:val="32"/>
          <w:szCs w:val="32"/>
          <w:highlight w:val="white"/>
        </w:rPr>
        <w:t>1、受市生态环境局委托，承担辖区内的生态环境相关工作；承担市生态环境局和县委、县政府交办的其他任务。</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宋体" w:hAnsi="宋体" w:eastAsia="宋体" w:cs="宋体"/>
          <w:color w:val="000000"/>
          <w:sz w:val="32"/>
          <w:szCs w:val="32"/>
          <w:highlight w:val="white"/>
        </w:rPr>
      </w:pPr>
      <w:r>
        <w:rPr>
          <w:rFonts w:hint="eastAsia" w:ascii="宋体" w:hAnsi="宋体" w:eastAsia="宋体" w:cs="宋体"/>
          <w:color w:val="000000"/>
          <w:sz w:val="32"/>
          <w:szCs w:val="32"/>
          <w:highlight w:val="white"/>
        </w:rPr>
        <w:t>2、负责全区生态环境问题的统筹协调和监督管理。牵头协调环境污染事故和生态破坏事件的调查处理</w:t>
      </w:r>
      <w:r>
        <w:rPr>
          <w:rFonts w:hint="eastAsia" w:ascii="宋体" w:hAnsi="宋体" w:eastAsia="宋体" w:cs="宋体"/>
          <w:color w:val="000000"/>
          <w:sz w:val="32"/>
          <w:szCs w:val="32"/>
          <w:highlight w:val="white"/>
          <w:lang w:eastAsia="zh-CN"/>
        </w:rPr>
        <w:t>，</w:t>
      </w:r>
      <w:r>
        <w:rPr>
          <w:rFonts w:hint="eastAsia" w:ascii="宋体" w:hAnsi="宋体" w:eastAsia="宋体" w:cs="宋体"/>
          <w:color w:val="000000"/>
          <w:sz w:val="32"/>
          <w:szCs w:val="32"/>
          <w:highlight w:val="white"/>
        </w:rPr>
        <w:t>指导协调对突发生态环境事件的应急、预警工作</w:t>
      </w:r>
      <w:r>
        <w:rPr>
          <w:rFonts w:hint="eastAsia" w:ascii="宋体" w:hAnsi="宋体" w:eastAsia="宋体" w:cs="宋体"/>
          <w:color w:val="000000"/>
          <w:sz w:val="32"/>
          <w:szCs w:val="32"/>
          <w:highlight w:val="white"/>
          <w:lang w:eastAsia="zh-CN"/>
        </w:rPr>
        <w:t>，</w:t>
      </w:r>
      <w:r>
        <w:rPr>
          <w:rFonts w:hint="eastAsia" w:ascii="宋体" w:hAnsi="宋体" w:eastAsia="宋体" w:cs="宋体"/>
          <w:color w:val="000000"/>
          <w:sz w:val="32"/>
          <w:szCs w:val="32"/>
          <w:highlight w:val="white"/>
        </w:rPr>
        <w:t>牵头实施生态环境损害赔偿制度</w:t>
      </w:r>
      <w:r>
        <w:rPr>
          <w:rFonts w:hint="eastAsia" w:ascii="宋体" w:hAnsi="宋体" w:eastAsia="宋体" w:cs="宋体"/>
          <w:color w:val="000000"/>
          <w:sz w:val="32"/>
          <w:szCs w:val="32"/>
          <w:highlight w:val="white"/>
          <w:lang w:eastAsia="zh-CN"/>
        </w:rPr>
        <w:t>，</w:t>
      </w:r>
      <w:r>
        <w:rPr>
          <w:rFonts w:hint="eastAsia" w:ascii="宋体" w:hAnsi="宋体" w:eastAsia="宋体" w:cs="宋体"/>
          <w:color w:val="000000"/>
          <w:sz w:val="32"/>
          <w:szCs w:val="32"/>
          <w:highlight w:val="white"/>
        </w:rPr>
        <w:t>协调解决环境污染纠纷</w:t>
      </w:r>
      <w:r>
        <w:rPr>
          <w:rFonts w:hint="eastAsia" w:ascii="宋体" w:hAnsi="宋体" w:eastAsia="宋体" w:cs="宋体"/>
          <w:color w:val="000000"/>
          <w:sz w:val="32"/>
          <w:szCs w:val="32"/>
          <w:highlight w:val="white"/>
          <w:lang w:eastAsia="zh-CN"/>
        </w:rPr>
        <w:t>；</w:t>
      </w:r>
      <w:r>
        <w:rPr>
          <w:rFonts w:hint="eastAsia" w:ascii="宋体" w:hAnsi="宋体" w:eastAsia="宋体" w:cs="宋体"/>
          <w:color w:val="000000"/>
          <w:sz w:val="32"/>
          <w:szCs w:val="32"/>
          <w:highlight w:val="white"/>
        </w:rPr>
        <w:t>统筹协调区域、流域生态环境保护工作。</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宋体" w:hAnsi="宋体" w:eastAsia="宋体" w:cs="宋体"/>
          <w:color w:val="000000"/>
          <w:sz w:val="32"/>
          <w:szCs w:val="32"/>
          <w:highlight w:val="white"/>
        </w:rPr>
      </w:pPr>
      <w:r>
        <w:rPr>
          <w:rFonts w:hint="eastAsia" w:ascii="宋体" w:hAnsi="宋体" w:eastAsia="宋体" w:cs="宋体"/>
          <w:color w:val="000000"/>
          <w:sz w:val="32"/>
          <w:szCs w:val="32"/>
          <w:highlight w:val="white"/>
        </w:rPr>
        <w:t>3、负责环境污染防治的监督管理。组织拟订大气、水、土壤、噪声、光、恶臭、固体废物、重金属、化学品、机动车等的污染防治管理制度并监督实施。会同有关部门监督管理饮用水水源地生态环境保护工作</w:t>
      </w:r>
      <w:r>
        <w:rPr>
          <w:rFonts w:hint="eastAsia" w:ascii="宋体" w:hAnsi="宋体" w:eastAsia="宋体" w:cs="宋体"/>
          <w:color w:val="000000"/>
          <w:sz w:val="32"/>
          <w:szCs w:val="32"/>
          <w:highlight w:val="white"/>
          <w:lang w:eastAsia="zh-CN"/>
        </w:rPr>
        <w:t>，</w:t>
      </w:r>
      <w:r>
        <w:rPr>
          <w:rFonts w:hint="eastAsia" w:ascii="宋体" w:hAnsi="宋体" w:eastAsia="宋体" w:cs="宋体"/>
          <w:color w:val="000000"/>
          <w:sz w:val="32"/>
          <w:szCs w:val="32"/>
          <w:highlight w:val="white"/>
        </w:rPr>
        <w:t>组织指导城乡生态环境综合整治工作</w:t>
      </w:r>
      <w:r>
        <w:rPr>
          <w:rFonts w:hint="eastAsia" w:ascii="宋体" w:hAnsi="宋体" w:eastAsia="宋体" w:cs="宋体"/>
          <w:color w:val="000000"/>
          <w:sz w:val="32"/>
          <w:szCs w:val="32"/>
          <w:highlight w:val="white"/>
          <w:lang w:eastAsia="zh-CN"/>
        </w:rPr>
        <w:t>，</w:t>
      </w:r>
      <w:r>
        <w:rPr>
          <w:rFonts w:hint="eastAsia" w:ascii="宋体" w:hAnsi="宋体" w:eastAsia="宋体" w:cs="宋体"/>
          <w:color w:val="000000"/>
          <w:sz w:val="32"/>
          <w:szCs w:val="32"/>
          <w:highlight w:val="white"/>
        </w:rPr>
        <w:t>监督指导农业面源污染治理工作。监督指导区域大气环境保护工作</w:t>
      </w:r>
      <w:r>
        <w:rPr>
          <w:rFonts w:hint="eastAsia" w:ascii="宋体" w:hAnsi="宋体" w:eastAsia="宋体" w:cs="宋体"/>
          <w:color w:val="000000"/>
          <w:sz w:val="32"/>
          <w:szCs w:val="32"/>
          <w:highlight w:val="white"/>
          <w:lang w:eastAsia="zh-CN"/>
        </w:rPr>
        <w:t>，</w:t>
      </w:r>
      <w:r>
        <w:rPr>
          <w:rFonts w:hint="eastAsia" w:ascii="宋体" w:hAnsi="宋体" w:eastAsia="宋体" w:cs="宋体"/>
          <w:color w:val="000000"/>
          <w:sz w:val="32"/>
          <w:szCs w:val="32"/>
          <w:highlight w:val="white"/>
        </w:rPr>
        <w:t>按照国家、省统一部署，做好区域大气污染联防联控协作工作。</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asciiTheme="minorEastAsia" w:hAnsiTheme="minorEastAsia"/>
          <w:i/>
          <w:iCs/>
          <w:sz w:val="32"/>
          <w:szCs w:val="32"/>
        </w:rPr>
      </w:pPr>
      <w:r>
        <w:rPr>
          <w:rFonts w:hint="eastAsia" w:ascii="宋体" w:hAnsi="宋体" w:eastAsia="宋体" w:cs="宋体"/>
          <w:color w:val="000000"/>
          <w:sz w:val="32"/>
          <w:szCs w:val="32"/>
          <w:highlight w:val="white"/>
        </w:rPr>
        <w:t>4、组织指导和协调生态环境宣传教育工作</w:t>
      </w:r>
      <w:r>
        <w:rPr>
          <w:rFonts w:hint="eastAsia" w:ascii="宋体" w:hAnsi="宋体" w:eastAsia="宋体" w:cs="宋体"/>
          <w:color w:val="000000"/>
          <w:sz w:val="32"/>
          <w:szCs w:val="32"/>
          <w:highlight w:val="white"/>
          <w:lang w:eastAsia="zh-CN"/>
        </w:rPr>
        <w:t>，</w:t>
      </w:r>
      <w:r>
        <w:rPr>
          <w:rFonts w:hint="eastAsia" w:ascii="宋体" w:hAnsi="宋体" w:eastAsia="宋体" w:cs="宋体"/>
          <w:color w:val="000000"/>
          <w:sz w:val="32"/>
          <w:szCs w:val="32"/>
          <w:highlight w:val="white"/>
        </w:rPr>
        <w:t>贯彻实施生态环境保护宣传教育纲要</w:t>
      </w:r>
      <w:r>
        <w:rPr>
          <w:rFonts w:hint="eastAsia" w:ascii="宋体" w:hAnsi="宋体" w:eastAsia="宋体" w:cs="宋体"/>
          <w:color w:val="000000"/>
          <w:sz w:val="32"/>
          <w:szCs w:val="32"/>
          <w:highlight w:val="white"/>
          <w:lang w:eastAsia="zh-CN"/>
        </w:rPr>
        <w:t>，</w:t>
      </w:r>
      <w:r>
        <w:rPr>
          <w:rFonts w:hint="eastAsia" w:ascii="宋体" w:hAnsi="宋体" w:eastAsia="宋体" w:cs="宋体"/>
          <w:color w:val="000000"/>
          <w:sz w:val="32"/>
          <w:szCs w:val="32"/>
          <w:highlight w:val="white"/>
        </w:rPr>
        <w:t>推动社会组织和公众参与生态环境保护。开展生态环境科技工作</w:t>
      </w:r>
      <w:r>
        <w:rPr>
          <w:rFonts w:hint="eastAsia" w:ascii="宋体" w:hAnsi="宋体" w:eastAsia="宋体" w:cs="宋体"/>
          <w:color w:val="000000"/>
          <w:sz w:val="32"/>
          <w:szCs w:val="32"/>
          <w:highlight w:val="white"/>
          <w:lang w:eastAsia="zh-CN"/>
        </w:rPr>
        <w:t>，</w:t>
      </w:r>
      <w:r>
        <w:rPr>
          <w:rFonts w:hint="eastAsia" w:ascii="宋体" w:hAnsi="宋体" w:eastAsia="宋体" w:cs="宋体"/>
          <w:color w:val="000000"/>
          <w:sz w:val="32"/>
          <w:szCs w:val="32"/>
          <w:highlight w:val="white"/>
        </w:rPr>
        <w:t>组织生态环境科学研究和技术工程示范、生态环境技术管理体系建设。</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Theme="minorEastAsia" w:hAnsiTheme="minorEastAsia"/>
          <w:bCs/>
          <w:kern w:val="0"/>
          <w:sz w:val="32"/>
          <w:szCs w:val="32"/>
        </w:rPr>
      </w:pPr>
      <w:r>
        <w:rPr>
          <w:rFonts w:hint="eastAsia" w:asciiTheme="minorEastAsia" w:hAnsiTheme="minorEastAsia"/>
          <w:bCs/>
          <w:kern w:val="0"/>
          <w:sz w:val="32"/>
          <w:szCs w:val="32"/>
        </w:rPr>
        <w:t>（一）内设机构设置。</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Theme="minorEastAsia" w:hAnsiTheme="minorEastAsia" w:eastAsiaTheme="minorEastAsia"/>
          <w:bCs/>
          <w:i/>
          <w:iCs/>
          <w:color w:val="FF0000"/>
          <w:kern w:val="0"/>
          <w:sz w:val="32"/>
          <w:szCs w:val="32"/>
          <w:lang w:eastAsia="zh-CN"/>
        </w:rPr>
      </w:pPr>
      <w:r>
        <w:rPr>
          <w:rFonts w:hint="eastAsia" w:asciiTheme="minorEastAsia" w:hAnsiTheme="minorEastAsia"/>
          <w:bCs/>
          <w:kern w:val="0"/>
          <w:sz w:val="32"/>
          <w:szCs w:val="32"/>
        </w:rPr>
        <w:t>岳阳市生态环境局云溪分局（岳阳市云溪生态环境保护综合行政执法局）机关核定全额拨款事业编制</w:t>
      </w:r>
      <w:r>
        <w:rPr>
          <w:rFonts w:hint="eastAsia" w:asciiTheme="minorEastAsia" w:hAnsiTheme="minorEastAsia"/>
          <w:bCs/>
          <w:kern w:val="0"/>
          <w:sz w:val="32"/>
          <w:szCs w:val="32"/>
          <w:lang w:val="en-US" w:eastAsia="zh-CN"/>
        </w:rPr>
        <w:t>23</w:t>
      </w:r>
      <w:r>
        <w:rPr>
          <w:rFonts w:hint="eastAsia" w:asciiTheme="minorEastAsia" w:hAnsiTheme="minorEastAsia"/>
          <w:bCs/>
          <w:kern w:val="0"/>
          <w:sz w:val="32"/>
          <w:szCs w:val="32"/>
        </w:rPr>
        <w:t>名，</w:t>
      </w:r>
      <w:r>
        <w:rPr>
          <w:rFonts w:hint="eastAsia" w:asciiTheme="minorEastAsia" w:hAnsiTheme="minorEastAsia"/>
          <w:bCs/>
          <w:kern w:val="0"/>
          <w:sz w:val="32"/>
          <w:szCs w:val="32"/>
          <w:lang w:val="en-US" w:eastAsia="zh-CN"/>
        </w:rPr>
        <w:t>实有人数为15人。</w:t>
      </w:r>
      <w:r>
        <w:rPr>
          <w:rFonts w:hint="eastAsia" w:asciiTheme="minorEastAsia" w:hAnsiTheme="minorEastAsia"/>
          <w:bCs/>
          <w:kern w:val="0"/>
          <w:sz w:val="32"/>
          <w:szCs w:val="32"/>
        </w:rPr>
        <w:t>其中</w:t>
      </w:r>
      <w:r>
        <w:rPr>
          <w:rFonts w:hint="eastAsia" w:asciiTheme="minorEastAsia" w:hAnsiTheme="minorEastAsia"/>
          <w:bCs/>
          <w:kern w:val="0"/>
          <w:sz w:val="32"/>
          <w:szCs w:val="32"/>
          <w:lang w:eastAsia="zh-CN"/>
        </w:rPr>
        <w:t>：</w:t>
      </w:r>
      <w:r>
        <w:rPr>
          <w:rFonts w:hint="eastAsia" w:asciiTheme="minorEastAsia" w:hAnsiTheme="minorEastAsia"/>
          <w:bCs/>
          <w:kern w:val="0"/>
          <w:sz w:val="32"/>
          <w:szCs w:val="32"/>
        </w:rPr>
        <w:t>局长1名、副局长2名、专职执法副局长1名、副科级纪检员1名。内设办公室 、财务室、管理股、审批股、固废股、综合室、排污权交易办公室、综合行政执法局8个相关股室</w:t>
      </w:r>
      <w:r>
        <w:rPr>
          <w:rFonts w:hint="eastAsia" w:asciiTheme="minorEastAsia" w:hAnsiTheme="minorEastAsia"/>
          <w:bCs/>
          <w:kern w:val="0"/>
          <w:sz w:val="32"/>
          <w:szCs w:val="32"/>
          <w:lang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240" w:lineRule="auto"/>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决算单位构成。</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Theme="minorEastAsia" w:hAnsiTheme="minorEastAsia"/>
          <w:bCs/>
          <w:i/>
          <w:iCs/>
          <w:kern w:val="0"/>
          <w:sz w:val="32"/>
          <w:szCs w:val="32"/>
        </w:rPr>
      </w:pPr>
      <w:r>
        <w:rPr>
          <w:rFonts w:hint="eastAsia" w:asciiTheme="minorEastAsia" w:hAnsiTheme="minorEastAsia"/>
          <w:bCs/>
          <w:kern w:val="0"/>
          <w:sz w:val="32"/>
          <w:szCs w:val="32"/>
        </w:rPr>
        <w:t>岳阳市生态环境局</w:t>
      </w:r>
      <w:r>
        <w:rPr>
          <w:rFonts w:hint="eastAsia" w:asciiTheme="minorEastAsia" w:hAnsiTheme="minorEastAsia"/>
          <w:bCs/>
          <w:kern w:val="0"/>
          <w:sz w:val="32"/>
          <w:szCs w:val="32"/>
          <w:lang w:val="en-US" w:eastAsia="zh-CN"/>
        </w:rPr>
        <w:t>云溪分局</w:t>
      </w:r>
      <w:r>
        <w:rPr>
          <w:rFonts w:hint="eastAsia" w:asciiTheme="minorEastAsia" w:hAnsiTheme="minorEastAsia"/>
          <w:bCs/>
          <w:kern w:val="0"/>
          <w:sz w:val="32"/>
          <w:szCs w:val="32"/>
        </w:rPr>
        <w:t>2021年部门决算公开单位构成包括：岳阳市生态环境局云溪分局局机关本级决算</w:t>
      </w:r>
      <w:r>
        <w:rPr>
          <w:rFonts w:hint="eastAsia" w:asciiTheme="minorEastAsia" w:hAnsiTheme="minorEastAsia"/>
          <w:bCs/>
          <w:kern w:val="0"/>
          <w:sz w:val="32"/>
          <w:szCs w:val="32"/>
          <w:lang w:eastAsia="zh-CN"/>
        </w:rPr>
        <w:t>，</w:t>
      </w:r>
      <w:r>
        <w:rPr>
          <w:rFonts w:hint="eastAsia" w:asciiTheme="minorEastAsia" w:hAnsiTheme="minorEastAsia"/>
          <w:bCs/>
          <w:kern w:val="0"/>
          <w:sz w:val="32"/>
          <w:szCs w:val="32"/>
        </w:rPr>
        <w:t>本单位无</w:t>
      </w:r>
      <w:r>
        <w:rPr>
          <w:rFonts w:hint="eastAsia" w:asciiTheme="minorEastAsia" w:hAnsiTheme="minorEastAsia"/>
          <w:bCs/>
          <w:kern w:val="0"/>
          <w:sz w:val="32"/>
          <w:szCs w:val="32"/>
          <w:lang w:val="en-US" w:eastAsia="zh-CN"/>
        </w:rPr>
        <w:t>独立核算的</w:t>
      </w:r>
      <w:r>
        <w:rPr>
          <w:rFonts w:hint="eastAsia" w:asciiTheme="minorEastAsia" w:hAnsiTheme="minorEastAsia"/>
          <w:bCs/>
          <w:kern w:val="0"/>
          <w:sz w:val="32"/>
          <w:szCs w:val="32"/>
        </w:rPr>
        <w:t>二级机构。</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pStyle w:val="5"/>
        <w:rPr>
          <w:rFonts w:ascii="黑体" w:hAnsi="黑体" w:eastAsia="黑体"/>
          <w:sz w:val="28"/>
          <w:szCs w:val="28"/>
        </w:rPr>
      </w:pPr>
    </w:p>
    <w:p>
      <w:pPr>
        <w:rPr>
          <w:rFonts w:ascii="黑体" w:hAnsi="黑体" w:eastAsia="黑体"/>
          <w:sz w:val="28"/>
          <w:szCs w:val="28"/>
        </w:rPr>
      </w:pPr>
    </w:p>
    <w:p>
      <w:pPr>
        <w:pStyle w:val="5"/>
        <w:rPr>
          <w:rFonts w:ascii="黑体" w:hAnsi="黑体" w:eastAsia="黑体"/>
          <w:sz w:val="28"/>
          <w:szCs w:val="28"/>
        </w:rPr>
      </w:pPr>
    </w:p>
    <w:p>
      <w:pPr>
        <w:rPr>
          <w:rFonts w:ascii="黑体" w:hAnsi="黑体" w:eastAsia="黑体"/>
          <w:sz w:val="28"/>
          <w:szCs w:val="28"/>
        </w:rPr>
      </w:pPr>
    </w:p>
    <w:p>
      <w:pPr>
        <w:pStyle w:val="5"/>
        <w:rPr>
          <w:rFonts w:ascii="黑体" w:hAnsi="黑体" w:eastAsia="黑体"/>
          <w:sz w:val="28"/>
          <w:szCs w:val="28"/>
        </w:rPr>
      </w:pPr>
    </w:p>
    <w:p>
      <w:pPr>
        <w:rPr>
          <w:rFonts w:ascii="黑体" w:hAnsi="黑体" w:eastAsia="黑体"/>
          <w:sz w:val="28"/>
          <w:szCs w:val="28"/>
        </w:rPr>
      </w:pPr>
    </w:p>
    <w:p>
      <w:pPr>
        <w:pStyle w:val="5"/>
      </w:pPr>
    </w:p>
    <w:p>
      <w:pPr>
        <w:jc w:val="center"/>
        <w:rPr>
          <w:rFonts w:ascii="黑体" w:hAnsi="黑体" w:eastAsia="黑体"/>
          <w:sz w:val="28"/>
          <w:szCs w:val="28"/>
        </w:rPr>
      </w:pPr>
    </w:p>
    <w:p>
      <w:pPr>
        <w:jc w:val="both"/>
        <w:rPr>
          <w:sz w:val="72"/>
          <w:szCs w:val="72"/>
        </w:rPr>
      </w:pPr>
    </w:p>
    <w:p>
      <w:pPr>
        <w:jc w:val="center"/>
        <w:rPr>
          <w:sz w:val="72"/>
          <w:szCs w:val="72"/>
        </w:rPr>
      </w:pPr>
    </w:p>
    <w:p>
      <w:pPr>
        <w:jc w:val="center"/>
        <w:rPr>
          <w:rFonts w:hint="eastAsia" w:ascii="黑体" w:hAnsi="黑体" w:eastAsia="黑体" w:cs="黑体"/>
          <w:sz w:val="84"/>
          <w:szCs w:val="84"/>
        </w:rPr>
      </w:pPr>
      <w:r>
        <w:rPr>
          <w:rFonts w:hint="eastAsia" w:ascii="黑体" w:hAnsi="黑体" w:eastAsia="黑体" w:cs="黑体"/>
          <w:sz w:val="84"/>
          <w:szCs w:val="84"/>
        </w:rPr>
        <w:t>第二部分</w:t>
      </w:r>
    </w:p>
    <w:p>
      <w:pPr>
        <w:jc w:val="center"/>
        <w:rPr>
          <w:rFonts w:hint="eastAsia" w:ascii="黑体" w:hAnsi="黑体" w:eastAsia="黑体" w:cs="黑体"/>
          <w:sz w:val="84"/>
          <w:szCs w:val="84"/>
        </w:rPr>
      </w:pPr>
    </w:p>
    <w:p>
      <w:pPr>
        <w:jc w:val="center"/>
        <w:rPr>
          <w:rFonts w:hint="eastAsia" w:ascii="黑体" w:hAnsi="黑体" w:eastAsia="黑体" w:cs="黑体"/>
          <w:sz w:val="84"/>
          <w:szCs w:val="84"/>
        </w:rPr>
      </w:pPr>
      <w:r>
        <w:rPr>
          <w:rFonts w:hint="eastAsia" w:ascii="黑体" w:hAnsi="黑体" w:eastAsia="黑体" w:cs="黑体"/>
          <w:sz w:val="84"/>
          <w:szCs w:val="84"/>
        </w:rPr>
        <w:t>部门决算表</w:t>
      </w:r>
    </w:p>
    <w:p>
      <w:pPr>
        <w:jc w:val="center"/>
        <w:rPr>
          <w:rFonts w:hint="eastAsia" w:ascii="黑体" w:hAnsi="黑体" w:eastAsia="黑体" w:cs="黑体"/>
          <w:sz w:val="84"/>
          <w:szCs w:val="84"/>
          <w:lang w:eastAsia="zh-CN"/>
        </w:rPr>
      </w:pPr>
      <w:r>
        <w:rPr>
          <w:rFonts w:hint="eastAsia" w:ascii="黑体" w:hAnsi="黑体" w:eastAsia="黑体" w:cs="黑体"/>
          <w:sz w:val="84"/>
          <w:szCs w:val="84"/>
          <w:lang w:eastAsia="zh-CN"/>
        </w:rPr>
        <w:t>（见附件）</w:t>
      </w:r>
    </w:p>
    <w:p>
      <w:pPr>
        <w:jc w:val="center"/>
        <w:rPr>
          <w:sz w:val="72"/>
          <w:szCs w:val="72"/>
        </w:rPr>
      </w:pPr>
    </w:p>
    <w:p>
      <w:pPr>
        <w:jc w:val="both"/>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8"/>
        <w:jc w:val="both"/>
        <w:rPr>
          <w:sz w:val="72"/>
          <w:szCs w:val="72"/>
        </w:rPr>
      </w:pPr>
    </w:p>
    <w:p>
      <w:pPr>
        <w:pStyle w:val="8"/>
        <w:jc w:val="center"/>
        <w:rPr>
          <w:sz w:val="72"/>
          <w:szCs w:val="72"/>
        </w:rPr>
      </w:pPr>
    </w:p>
    <w:p>
      <w:pPr>
        <w:pStyle w:val="8"/>
        <w:jc w:val="center"/>
        <w:rPr>
          <w:sz w:val="84"/>
          <w:szCs w:val="84"/>
        </w:rPr>
      </w:pPr>
      <w:r>
        <w:rPr>
          <w:rFonts w:hint="eastAsia"/>
          <w:sz w:val="84"/>
          <w:szCs w:val="84"/>
        </w:rPr>
        <w:t>第三部分</w:t>
      </w:r>
    </w:p>
    <w:p>
      <w:pPr>
        <w:pStyle w:val="8"/>
        <w:jc w:val="center"/>
        <w:rPr>
          <w:sz w:val="84"/>
          <w:szCs w:val="84"/>
        </w:rPr>
      </w:pPr>
    </w:p>
    <w:p>
      <w:pPr>
        <w:pStyle w:val="8"/>
        <w:jc w:val="center"/>
        <w:rPr>
          <w:sz w:val="84"/>
          <w:szCs w:val="84"/>
        </w:rPr>
      </w:pPr>
      <w:r>
        <w:rPr>
          <w:sz w:val="84"/>
          <w:szCs w:val="84"/>
        </w:rPr>
        <w:t>20</w:t>
      </w:r>
      <w:r>
        <w:rPr>
          <w:rFonts w:hint="eastAsia"/>
          <w:sz w:val="84"/>
          <w:szCs w:val="84"/>
        </w:rPr>
        <w:t>21年度部门决算情况说明</w:t>
      </w:r>
    </w:p>
    <w:p>
      <w:pPr>
        <w:widowControl/>
        <w:jc w:val="left"/>
        <w:rPr>
          <w:rFonts w:ascii="黑体" w:eastAsia="黑体" w:cs="黑体"/>
          <w:color w:val="000000"/>
          <w:kern w:val="0"/>
          <w:sz w:val="70"/>
          <w:szCs w:val="70"/>
        </w:rPr>
      </w:pPr>
      <w:r>
        <w:rPr>
          <w:sz w:val="70"/>
          <w:szCs w:val="70"/>
        </w:rPr>
        <w:br w:type="page"/>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一、收入支出决算总体情况说明</w:t>
      </w:r>
    </w:p>
    <w:p>
      <w:pPr>
        <w:ind w:firstLine="640" w:firstLineChars="200"/>
        <w:rPr>
          <w:rFonts w:hint="default" w:ascii="仿宋_GB2312" w:hAnsi="仿宋_GB2312" w:cs="仿宋_GB2312" w:eastAsiaTheme="minorEastAsia"/>
          <w:color w:val="auto"/>
          <w:sz w:val="32"/>
          <w:szCs w:val="32"/>
          <w:highlight w:val="white"/>
          <w:lang w:val="en-US" w:eastAsia="zh-CN"/>
        </w:rPr>
      </w:pPr>
      <w:r>
        <w:rPr>
          <w:rFonts w:hint="eastAsia" w:asciiTheme="minorEastAsia" w:hAnsiTheme="minorEastAsia" w:eastAsiaTheme="minorEastAsia" w:cstheme="minorEastAsia"/>
          <w:color w:val="000000"/>
          <w:sz w:val="32"/>
          <w:szCs w:val="32"/>
          <w:highlight w:val="white"/>
        </w:rPr>
        <w:t>2021年度收、支总计均为558.88万元，与2020年相比，收、支总计各减少68.13万元，下降10.87%。</w:t>
      </w:r>
      <w:r>
        <w:rPr>
          <w:rFonts w:hint="eastAsia" w:asciiTheme="minorEastAsia" w:hAnsiTheme="minorEastAsia" w:eastAsiaTheme="minorEastAsia" w:cstheme="minorEastAsia"/>
          <w:color w:val="auto"/>
          <w:sz w:val="32"/>
          <w:szCs w:val="32"/>
          <w:highlight w:val="white"/>
        </w:rPr>
        <w:t>主要原因是</w:t>
      </w:r>
      <w:r>
        <w:rPr>
          <w:rFonts w:hint="eastAsia" w:asciiTheme="minorEastAsia" w:hAnsiTheme="minorEastAsia" w:cstheme="minorEastAsia"/>
          <w:color w:val="auto"/>
          <w:sz w:val="32"/>
          <w:szCs w:val="32"/>
          <w:highlight w:val="white"/>
          <w:lang w:val="en-US" w:eastAsia="zh-CN"/>
        </w:rPr>
        <w:t>按最新（国发5号文及新制度解释4号）文件要求，今年单位未用完的预算指标不作结转，同时注销账上剩余的财政应返还额度，导致2021年收入减少</w:t>
      </w:r>
      <w:r>
        <w:rPr>
          <w:rFonts w:hint="eastAsia" w:asciiTheme="minorEastAsia" w:hAnsiTheme="minorEastAsia" w:eastAsiaTheme="minorEastAsia"/>
          <w:color w:val="auto"/>
          <w:sz w:val="32"/>
          <w:szCs w:val="32"/>
        </w:rPr>
        <w:t>。</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二、收入决算情况说明</w:t>
      </w:r>
    </w:p>
    <w:p>
      <w:pPr>
        <w:pStyle w:val="8"/>
        <w:ind w:firstLine="640" w:firstLineChars="200"/>
        <w:rPr>
          <w:rFonts w:hint="eastAsia" w:asciiTheme="minorEastAsia" w:hAnsiTheme="minorEastAsia" w:eastAsiaTheme="minorEastAsia"/>
          <w:b w:val="0"/>
          <w:bCs w:val="0"/>
          <w:i/>
          <w:iCs/>
          <w:sz w:val="36"/>
          <w:szCs w:val="36"/>
        </w:rPr>
      </w:pPr>
      <w:r>
        <w:rPr>
          <w:rFonts w:hint="eastAsia" w:asciiTheme="minorEastAsia" w:hAnsiTheme="minorEastAsia" w:eastAsiaTheme="minorEastAsia"/>
          <w:sz w:val="32"/>
          <w:szCs w:val="32"/>
        </w:rPr>
        <w:t>2021年度收入合计491.42万元，其中：财政拨款收入491.42万元，占100%。</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三、支出决算情况说明</w:t>
      </w:r>
    </w:p>
    <w:p>
      <w:pPr>
        <w:pStyle w:val="8"/>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2021年度支出合计558.88万元，其中：基本支出306.48万元，占54.84%；项目支出252.4</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万元，占45.16%。</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四、财政拨款收入支出决算总体情况说明</w:t>
      </w:r>
    </w:p>
    <w:p>
      <w:pPr>
        <w:pStyle w:val="8"/>
        <w:ind w:firstLine="800" w:firstLineChars="250"/>
        <w:rPr>
          <w:rFonts w:hint="default" w:asciiTheme="minorEastAsia" w:hAnsiTheme="minorEastAsia" w:eastAsiaTheme="minorEastAsia"/>
          <w:color w:val="auto"/>
          <w:sz w:val="32"/>
          <w:szCs w:val="32"/>
          <w:lang w:val="en-US"/>
        </w:rPr>
      </w:pPr>
      <w:r>
        <w:rPr>
          <w:rFonts w:hint="eastAsia" w:asciiTheme="minorEastAsia" w:hAnsiTheme="minorEastAsia" w:eastAsiaTheme="minorEastAsia"/>
          <w:sz w:val="32"/>
          <w:szCs w:val="32"/>
        </w:rPr>
        <w:t>2021年度财政拨款收、支总计均为557.15万元，与2020年相比，财政拨款收、支总计各增加3.55万元，增长0.6</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%。主要原因是</w:t>
      </w:r>
      <w:r>
        <w:rPr>
          <w:rFonts w:hint="eastAsia" w:asciiTheme="minorEastAsia" w:hAnsiTheme="minorEastAsia" w:eastAsiaTheme="minorEastAsia"/>
          <w:color w:val="auto"/>
          <w:sz w:val="32"/>
          <w:szCs w:val="32"/>
          <w:lang w:val="en-US" w:eastAsia="zh-CN"/>
        </w:rPr>
        <w:t>2021年财政拨付了一笔省级农村生态环保资金150.00万元，用于云溪区路口镇平湖区农村面源监测预警试点片区建设费用，2021年单位本单位有一位在职死亡人员，付了一笔抚恤金18.35万元。</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五、一般公共预算财政拨款支出决算情况说明</w:t>
      </w:r>
    </w:p>
    <w:p>
      <w:pPr>
        <w:pStyle w:val="8"/>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8"/>
        <w:ind w:firstLine="800" w:firstLineChars="250"/>
        <w:rPr>
          <w:rFonts w:hint="eastAsia" w:asciiTheme="minorEastAsia" w:hAnsiTheme="minorEastAsia" w:eastAsiaTheme="minorEastAsia"/>
          <w:i/>
          <w:iCs/>
          <w:color w:val="auto"/>
          <w:sz w:val="32"/>
          <w:szCs w:val="32"/>
          <w:lang w:eastAsia="zh-CN"/>
        </w:rPr>
      </w:pPr>
      <w:r>
        <w:rPr>
          <w:rFonts w:hint="eastAsia" w:asciiTheme="minorEastAsia" w:hAnsiTheme="minorEastAsia" w:eastAsiaTheme="minorEastAsia"/>
          <w:sz w:val="32"/>
          <w:szCs w:val="32"/>
        </w:rPr>
        <w:t>2021年度财政拨款支出557.15万元，占本年支出合计的99.69%。与2020年度相比，财政拨款支出增加71</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万元，增长14.61%</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rPr>
        <w:t>主要原因是</w:t>
      </w:r>
      <w:r>
        <w:rPr>
          <w:rFonts w:hint="eastAsia" w:asciiTheme="minorEastAsia" w:hAnsiTheme="minorEastAsia" w:eastAsiaTheme="minorEastAsia"/>
          <w:color w:val="auto"/>
          <w:sz w:val="32"/>
          <w:szCs w:val="32"/>
          <w:lang w:val="en-US" w:eastAsia="zh-CN"/>
        </w:rPr>
        <w:t xml:space="preserve"> 2021年财政拨付了一笔省级农村生态环保资金150.00万元，用于云溪区路口镇平湖区农村面源监测预警试点片区建设费用，2021年单位本单位有一位在职死亡人员，付了一笔抚恤金18.35万元 </w:t>
      </w:r>
      <w:r>
        <w:rPr>
          <w:rFonts w:hint="eastAsia" w:asciiTheme="minorEastAsia" w:hAnsiTheme="minorEastAsia" w:eastAsiaTheme="minorEastAsia"/>
          <w:color w:val="auto"/>
          <w:sz w:val="32"/>
          <w:szCs w:val="32"/>
          <w:lang w:eastAsia="zh-CN"/>
        </w:rPr>
        <w:t>。</w:t>
      </w:r>
    </w:p>
    <w:p>
      <w:pPr>
        <w:pStyle w:val="8"/>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8"/>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2021年度财政拨款支出557.15万元，主要用于以下方面：社会保障和就业（类）支出35.98万元，占6.46%；卫生健康（类）支出7.39万元，占1.33%；节能环保（类）支出448.05万元，占80.42%；其他（类）支出65.73万元，占11.</w:t>
      </w:r>
      <w:r>
        <w:rPr>
          <w:rFonts w:hint="eastAsia" w:asciiTheme="minorEastAsia" w:hAnsiTheme="minorEastAsia" w:eastAsiaTheme="minorEastAsia"/>
          <w:sz w:val="32"/>
          <w:szCs w:val="32"/>
          <w:lang w:val="en-US" w:eastAsia="zh-CN"/>
        </w:rPr>
        <w:t>79</w:t>
      </w:r>
      <w:r>
        <w:rPr>
          <w:rFonts w:hint="eastAsia" w:asciiTheme="minorEastAsia" w:hAnsiTheme="minorEastAsia" w:eastAsiaTheme="minorEastAsia"/>
          <w:sz w:val="32"/>
          <w:szCs w:val="32"/>
        </w:rPr>
        <w:t>%。</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8"/>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2021年度财政拨款支出年初预算为</w:t>
      </w:r>
      <w:r>
        <w:rPr>
          <w:rFonts w:hint="eastAsia" w:asciiTheme="minorEastAsia" w:hAnsiTheme="minorEastAsia" w:eastAsiaTheme="minorEastAsia"/>
          <w:sz w:val="32"/>
          <w:szCs w:val="32"/>
          <w:lang w:val="en-US" w:eastAsia="zh-CN"/>
        </w:rPr>
        <w:t>159.19</w:t>
      </w:r>
      <w:r>
        <w:rPr>
          <w:rFonts w:hint="eastAsia" w:asciiTheme="minorEastAsia" w:hAnsiTheme="minorEastAsia" w:eastAsiaTheme="minorEastAsia"/>
          <w:sz w:val="32"/>
          <w:szCs w:val="32"/>
        </w:rPr>
        <w:t>万元，支出决算为557.15万元，完成年初预算的</w:t>
      </w:r>
      <w:r>
        <w:rPr>
          <w:rFonts w:hint="eastAsia" w:asciiTheme="minorEastAsia" w:hAnsiTheme="minorEastAsia" w:eastAsiaTheme="minorEastAsia"/>
          <w:sz w:val="32"/>
          <w:szCs w:val="32"/>
          <w:lang w:val="en-US" w:eastAsia="zh-CN"/>
        </w:rPr>
        <w:t>349.99</w:t>
      </w:r>
      <w:r>
        <w:rPr>
          <w:rFonts w:hint="eastAsia" w:asciiTheme="minorEastAsia" w:hAnsiTheme="minorEastAsia" w:eastAsiaTheme="minorEastAsia"/>
          <w:sz w:val="32"/>
          <w:szCs w:val="32"/>
        </w:rPr>
        <w:t xml:space="preserve">%。其中：      </w:t>
      </w:r>
    </w:p>
    <w:p>
      <w:pPr>
        <w:pStyle w:val="8"/>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社会保障和就业支出（类）行政事业单位养老支出（款）机关事业单位基本养老保险缴费支出（项）。年初预算为15.98万元，支出决算为15.98万元，完成年初预算的100%</w:t>
      </w:r>
      <w:r>
        <w:rPr>
          <w:rFonts w:hint="eastAsia" w:asciiTheme="minorEastAsia" w:hAnsiTheme="minorEastAsia" w:eastAsiaTheme="minorEastAsia"/>
          <w:sz w:val="32"/>
          <w:szCs w:val="32"/>
          <w:lang w:eastAsia="zh-CN"/>
        </w:rPr>
        <w:t>，决算数与年初预算数持平的主要原因是：我单位严格按预算执行决算</w:t>
      </w:r>
      <w:r>
        <w:rPr>
          <w:rFonts w:hint="eastAsia" w:asciiTheme="minorEastAsia" w:hAnsiTheme="minorEastAsia" w:eastAsiaTheme="minorEastAsia"/>
          <w:sz w:val="32"/>
          <w:szCs w:val="32"/>
        </w:rPr>
        <w:t>。</w:t>
      </w:r>
    </w:p>
    <w:p>
      <w:pPr>
        <w:pStyle w:val="8"/>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社会保障和就业支出（类）抚恤（款）其他优抚支出（项）。年初预算为0万元，支出决算为</w:t>
      </w:r>
      <w:r>
        <w:rPr>
          <w:rFonts w:hint="eastAsia" w:ascii="宋体" w:hAnsi="宋体"/>
          <w:color w:val="auto"/>
          <w:sz w:val="32"/>
          <w:szCs w:val="24"/>
          <w:lang w:val="en-US"/>
        </w:rPr>
        <w:t>18.35</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 xml:space="preserve">决算数大于预算数的主要原因是年中追加抚恤金支出预算。    </w:t>
      </w:r>
    </w:p>
    <w:p>
      <w:pPr>
        <w:pStyle w:val="8"/>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社会保障和就业支出（类）残疾人事业（款）其他残疾人事业支出（项）。年初预算为</w:t>
      </w:r>
      <w:r>
        <w:rPr>
          <w:rFonts w:hint="eastAsia" w:ascii="宋体" w:hAnsi="宋体"/>
          <w:color w:val="auto"/>
          <w:sz w:val="32"/>
          <w:szCs w:val="24"/>
          <w:lang w:val="en-US"/>
        </w:rPr>
        <w:t>1.65</w:t>
      </w:r>
      <w:r>
        <w:rPr>
          <w:rFonts w:hint="eastAsia" w:asciiTheme="minorEastAsia" w:hAnsiTheme="minorEastAsia" w:eastAsiaTheme="minorEastAsia"/>
          <w:sz w:val="32"/>
          <w:szCs w:val="32"/>
        </w:rPr>
        <w:t>万元，支出决算为</w:t>
      </w:r>
      <w:r>
        <w:rPr>
          <w:rFonts w:hint="eastAsia" w:ascii="宋体" w:hAnsi="宋体"/>
          <w:color w:val="auto"/>
          <w:sz w:val="32"/>
          <w:szCs w:val="24"/>
          <w:lang w:val="en-US"/>
        </w:rPr>
        <w:t>1.65</w:t>
      </w:r>
      <w:r>
        <w:rPr>
          <w:rFonts w:hint="eastAsia" w:asciiTheme="minorEastAsia" w:hAnsiTheme="minorEastAsia" w:eastAsiaTheme="minorEastAsia"/>
          <w:sz w:val="32"/>
          <w:szCs w:val="32"/>
        </w:rPr>
        <w:t>万元，完成年初预算的100%</w:t>
      </w:r>
      <w:r>
        <w:rPr>
          <w:rFonts w:hint="eastAsia" w:asciiTheme="minorEastAsia" w:hAnsiTheme="minorEastAsia" w:eastAsiaTheme="minorEastAsia"/>
          <w:sz w:val="32"/>
          <w:szCs w:val="32"/>
          <w:lang w:eastAsia="zh-CN"/>
        </w:rPr>
        <w:t>，决算数与年初预算数持平的主要原因是：我单位严格按预算执行决算</w:t>
      </w:r>
      <w:r>
        <w:rPr>
          <w:rFonts w:hint="eastAsia" w:asciiTheme="minorEastAsia" w:hAnsiTheme="minorEastAsia" w:eastAsiaTheme="minorEastAsia"/>
          <w:sz w:val="32"/>
          <w:szCs w:val="32"/>
        </w:rPr>
        <w:t xml:space="preserve">。     </w:t>
      </w:r>
    </w:p>
    <w:p>
      <w:pPr>
        <w:pStyle w:val="8"/>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卫生健康支出（类）行政事业单位医疗（款）行政单位医疗（项）。年初预算为</w:t>
      </w:r>
      <w:r>
        <w:rPr>
          <w:rFonts w:hint="eastAsia" w:ascii="宋体" w:hAnsi="宋体"/>
          <w:color w:val="auto"/>
          <w:sz w:val="32"/>
          <w:szCs w:val="24"/>
          <w:lang w:val="en-US"/>
        </w:rPr>
        <w:t>7.39</w:t>
      </w:r>
      <w:r>
        <w:rPr>
          <w:rFonts w:hint="eastAsia" w:asciiTheme="minorEastAsia" w:hAnsiTheme="minorEastAsia" w:eastAsiaTheme="minorEastAsia"/>
          <w:sz w:val="32"/>
          <w:szCs w:val="32"/>
        </w:rPr>
        <w:t>万元，支出决算为</w:t>
      </w:r>
      <w:r>
        <w:rPr>
          <w:rFonts w:hint="eastAsia" w:ascii="宋体" w:hAnsi="宋体"/>
          <w:color w:val="auto"/>
          <w:sz w:val="32"/>
          <w:szCs w:val="24"/>
          <w:lang w:val="en-US"/>
        </w:rPr>
        <w:t>7.39</w:t>
      </w:r>
      <w:r>
        <w:rPr>
          <w:rFonts w:hint="eastAsia" w:asciiTheme="minorEastAsia" w:hAnsiTheme="minorEastAsia" w:eastAsiaTheme="minorEastAsia"/>
          <w:sz w:val="32"/>
          <w:szCs w:val="32"/>
        </w:rPr>
        <w:t>万元，完成年初预算的100%</w:t>
      </w:r>
      <w:r>
        <w:rPr>
          <w:rFonts w:hint="eastAsia" w:asciiTheme="minorEastAsia" w:hAnsiTheme="minorEastAsia" w:eastAsiaTheme="minorEastAsia"/>
          <w:sz w:val="32"/>
          <w:szCs w:val="32"/>
          <w:lang w:eastAsia="zh-CN"/>
        </w:rPr>
        <w:t>，决算数与年初预算数持平的主要原因是：我单位严格按预算执行决算</w:t>
      </w:r>
      <w:r>
        <w:rPr>
          <w:rFonts w:hint="eastAsia" w:asciiTheme="minorEastAsia" w:hAnsiTheme="minorEastAsia" w:eastAsiaTheme="minorEastAsia"/>
          <w:sz w:val="32"/>
          <w:szCs w:val="32"/>
        </w:rPr>
        <w:t xml:space="preserve">。     </w:t>
      </w:r>
    </w:p>
    <w:p>
      <w:pPr>
        <w:pStyle w:val="8"/>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节能环保支出（类）环境保护管理事务（款）行政运行（项）。年初预算为</w:t>
      </w:r>
      <w:r>
        <w:rPr>
          <w:rFonts w:hint="eastAsia" w:asciiTheme="minorEastAsia" w:hAnsiTheme="minorEastAsia" w:eastAsiaTheme="minorEastAsia"/>
          <w:sz w:val="32"/>
          <w:szCs w:val="32"/>
          <w:lang w:val="en-US" w:eastAsia="zh-CN"/>
        </w:rPr>
        <w:t>134.17</w:t>
      </w:r>
      <w:r>
        <w:rPr>
          <w:rFonts w:hint="eastAsia" w:asciiTheme="minorEastAsia" w:hAnsiTheme="minorEastAsia" w:eastAsiaTheme="minorEastAsia"/>
          <w:sz w:val="32"/>
          <w:szCs w:val="32"/>
        </w:rPr>
        <w:t>万元，支出决算为</w:t>
      </w:r>
      <w:r>
        <w:rPr>
          <w:rFonts w:hint="eastAsia" w:ascii="宋体" w:hAnsi="宋体"/>
          <w:color w:val="auto"/>
          <w:sz w:val="32"/>
          <w:szCs w:val="24"/>
          <w:lang w:val="en-US"/>
        </w:rPr>
        <w:t>139.79</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决算数大于预算数的主要原因是按规定使用了上年结余</w:t>
      </w:r>
      <w:r>
        <w:rPr>
          <w:rFonts w:hint="eastAsia" w:asciiTheme="minorEastAsia" w:hAnsiTheme="minorEastAsia" w:eastAsiaTheme="minorEastAsia"/>
          <w:sz w:val="32"/>
          <w:szCs w:val="32"/>
        </w:rPr>
        <w:t xml:space="preserve">。 </w:t>
      </w:r>
    </w:p>
    <w:p>
      <w:pPr>
        <w:pStyle w:val="8"/>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节能环保支出（类）环境监测与监察（款）其他环境监测与监察支出（项）。年初预算为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大</w:t>
      </w:r>
      <w:r>
        <w:rPr>
          <w:rFonts w:hint="eastAsia" w:asciiTheme="minorEastAsia" w:hAnsiTheme="minorEastAsia" w:eastAsiaTheme="minorEastAsia"/>
          <w:sz w:val="32"/>
          <w:szCs w:val="32"/>
        </w:rPr>
        <w:t>于预算数的主要原因是</w:t>
      </w:r>
      <w:r>
        <w:rPr>
          <w:rFonts w:hint="eastAsia" w:asciiTheme="minorEastAsia" w:hAnsiTheme="minorEastAsia" w:eastAsiaTheme="minorEastAsia"/>
          <w:sz w:val="32"/>
          <w:szCs w:val="32"/>
          <w:lang w:val="en-US" w:eastAsia="zh-CN"/>
        </w:rPr>
        <w:t>此项专项经费由市局统一进行预算。</w:t>
      </w:r>
      <w:r>
        <w:rPr>
          <w:rFonts w:hint="eastAsia" w:asciiTheme="minorEastAsia" w:hAnsiTheme="minorEastAsia" w:eastAsiaTheme="minorEastAsia"/>
          <w:sz w:val="32"/>
          <w:szCs w:val="32"/>
        </w:rPr>
        <w:t xml:space="preserve">  </w:t>
      </w:r>
    </w:p>
    <w:p>
      <w:pPr>
        <w:pStyle w:val="8"/>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节能环保支出（类）自然生态保护（款）农村环境保护（项）。年初预算为0万元，支出决算为170万元，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决算数大于预算数的主要原因是</w:t>
      </w:r>
      <w:r>
        <w:rPr>
          <w:rFonts w:hint="eastAsia" w:asciiTheme="minorEastAsia" w:hAnsiTheme="minorEastAsia" w:eastAsiaTheme="minorEastAsia"/>
          <w:sz w:val="32"/>
          <w:szCs w:val="32"/>
          <w:lang w:val="en-US" w:eastAsia="zh-CN"/>
        </w:rPr>
        <w:t>按规定使用了上年度结余资金及上级专项资金。</w:t>
      </w:r>
      <w:r>
        <w:rPr>
          <w:rFonts w:hint="eastAsia" w:asciiTheme="minorEastAsia" w:hAnsiTheme="minorEastAsia" w:eastAsiaTheme="minorEastAsia"/>
          <w:sz w:val="32"/>
          <w:szCs w:val="32"/>
        </w:rPr>
        <w:t xml:space="preserve">   </w:t>
      </w:r>
    </w:p>
    <w:p>
      <w:pPr>
        <w:pStyle w:val="8"/>
        <w:ind w:firstLine="800" w:firstLineChars="25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节能环保支出（类）污染减排（款）生态环境执法监察（项）。年初预算为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宋体" w:hAnsi="宋体"/>
          <w:color w:val="auto"/>
          <w:sz w:val="32"/>
          <w:szCs w:val="24"/>
          <w:lang w:val="en-US"/>
        </w:rPr>
        <w:t>62.73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决算数大于预算数的主要原因是</w:t>
      </w:r>
      <w:r>
        <w:rPr>
          <w:rFonts w:hint="eastAsia" w:asciiTheme="minorEastAsia" w:hAnsiTheme="minorEastAsia" w:eastAsiaTheme="minorEastAsia"/>
          <w:sz w:val="32"/>
          <w:szCs w:val="32"/>
          <w:lang w:val="en-US" w:eastAsia="zh-CN"/>
        </w:rPr>
        <w:t>此项专项经费由市局统一进行预算。</w:t>
      </w:r>
    </w:p>
    <w:p>
      <w:pPr>
        <w:pStyle w:val="8"/>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节能环保支出（类）其他节能环保支出（款）其他节能环保支出（项）。年初预算为0万元，支出决算为55.53万元，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决算数大于预算数的主要原因是</w:t>
      </w:r>
      <w:r>
        <w:rPr>
          <w:rFonts w:hint="eastAsia" w:asciiTheme="minorEastAsia" w:hAnsiTheme="minorEastAsia" w:eastAsiaTheme="minorEastAsia"/>
          <w:sz w:val="32"/>
          <w:szCs w:val="32"/>
          <w:lang w:val="en-US" w:eastAsia="zh-CN"/>
        </w:rPr>
        <w:t>年中追加2021年绩效奖金、平安建设奖金、十三个月工资奖金等。</w:t>
      </w:r>
      <w:r>
        <w:rPr>
          <w:rFonts w:hint="eastAsia" w:asciiTheme="minorEastAsia" w:hAnsiTheme="minorEastAsia" w:eastAsiaTheme="minorEastAsia"/>
          <w:sz w:val="32"/>
          <w:szCs w:val="32"/>
        </w:rPr>
        <w:t xml:space="preserve">  </w:t>
      </w:r>
    </w:p>
    <w:p>
      <w:pPr>
        <w:pStyle w:val="8"/>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其他支出（类）其他支出（款）其他支出（项）。年初预算为0万元，支出决算为65.73万元，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决算数大于预算数的主要原因是</w:t>
      </w:r>
      <w:r>
        <w:rPr>
          <w:rFonts w:hint="eastAsia" w:asciiTheme="minorEastAsia" w:hAnsiTheme="minorEastAsia" w:eastAsiaTheme="minorEastAsia"/>
          <w:sz w:val="32"/>
          <w:szCs w:val="32"/>
          <w:lang w:val="en-US" w:eastAsia="zh-CN"/>
        </w:rPr>
        <w:t>区财政等拨入其他资金户引起的其他资金支出。</w:t>
      </w:r>
      <w:r>
        <w:rPr>
          <w:rFonts w:hint="eastAsia" w:asciiTheme="minorEastAsia" w:hAnsiTheme="minorEastAsia" w:eastAsiaTheme="minorEastAsia"/>
          <w:sz w:val="32"/>
          <w:szCs w:val="32"/>
        </w:rPr>
        <w:t xml:space="preserve"> </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六、一般公共预算财政拨款基本支出决算情况说明</w:t>
      </w:r>
    </w:p>
    <w:p>
      <w:pPr>
        <w:pStyle w:val="8"/>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2021年度财政拨款基本支出304.76万元，其中</w:t>
      </w:r>
      <w:r>
        <w:rPr>
          <w:rFonts w:hint="eastAsia" w:asciiTheme="minorEastAsia" w:hAnsiTheme="minorEastAsia" w:eastAsiaTheme="minorEastAsia"/>
          <w:sz w:val="32"/>
          <w:szCs w:val="32"/>
          <w:lang w:eastAsia="zh-CN"/>
        </w:rPr>
        <w:t>：</w:t>
      </w:r>
    </w:p>
    <w:p>
      <w:pPr>
        <w:pStyle w:val="8"/>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人员经费221.39万元，占基本支出的72.64%，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p>
    <w:p>
      <w:pPr>
        <w:pStyle w:val="8"/>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公用经费83.37万元，占基本支出的27.36%，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七、一般公共预算财政拨款“三公”经费支出决算情况说明</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8"/>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2021年度“三公”经费财政拨款支出预算为15</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万元，支出决算为5.39万元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完成预算的35.93%，其中：</w:t>
      </w:r>
    </w:p>
    <w:p>
      <w:pPr>
        <w:pStyle w:val="8"/>
        <w:ind w:firstLine="640" w:firstLineChars="200"/>
        <w:rPr>
          <w:rFonts w:hint="eastAsia" w:asciiTheme="minorEastAsia" w:hAnsiTheme="minorEastAsia" w:eastAsiaTheme="minorEastAsia"/>
          <w:sz w:val="32"/>
          <w:szCs w:val="32"/>
        </w:rPr>
      </w:pPr>
      <w:r>
        <w:rPr>
          <w:rFonts w:hint="eastAsia" w:ascii="仿宋_GB2312" w:hAnsi="仿宋_GB2312" w:eastAsia="仿宋_GB2312" w:cs="仿宋_GB2312"/>
          <w:sz w:val="32"/>
          <w:szCs w:val="32"/>
        </w:rPr>
        <w:t>因公出国（境）费支出预算为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0，无法计算完成百分比，主要原因是本年未安排因公出国（境）；与上年相比无变化，主要原因是未安排外事出访活动。</w:t>
      </w:r>
      <w:r>
        <w:rPr>
          <w:rFonts w:hint="eastAsia" w:asciiTheme="minorEastAsia" w:hAnsiTheme="minorEastAsia" w:eastAsiaTheme="minorEastAsia"/>
          <w:sz w:val="32"/>
          <w:szCs w:val="32"/>
        </w:rPr>
        <w:t xml:space="preserve">   </w:t>
      </w:r>
    </w:p>
    <w:p>
      <w:pPr>
        <w:pStyle w:val="8"/>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0，无法计算完成百分比，</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本年未购置公务用车；与上年相比无变化，主要原因为两年均未购置公务用车</w:t>
      </w:r>
      <w:r>
        <w:rPr>
          <w:rFonts w:hint="eastAsia" w:ascii="仿宋_GB2312" w:hAnsi="仿宋_GB2312" w:eastAsia="仿宋_GB2312" w:cs="仿宋_GB2312"/>
          <w:sz w:val="32"/>
          <w:szCs w:val="32"/>
        </w:rPr>
        <w:t>。</w:t>
      </w:r>
    </w:p>
    <w:p>
      <w:pPr>
        <w:pStyle w:val="8"/>
        <w:ind w:firstLine="640" w:firstLineChars="200"/>
        <w:rPr>
          <w:rFonts w:hint="eastAsia" w:asciiTheme="minorEastAsia" w:hAnsiTheme="minorEastAsia" w:eastAsiaTheme="minorEastAsia"/>
          <w:sz w:val="32"/>
          <w:szCs w:val="32"/>
        </w:rPr>
      </w:pPr>
      <w:bookmarkStart w:id="0" w:name="_GoBack"/>
      <w:bookmarkEnd w:id="0"/>
      <w:r>
        <w:rPr>
          <w:rFonts w:hint="eastAsia" w:asciiTheme="minorEastAsia" w:hAnsiTheme="minorEastAsia" w:eastAsiaTheme="minorEastAsia"/>
          <w:sz w:val="32"/>
          <w:szCs w:val="32"/>
        </w:rPr>
        <w:t>公务用车运行维护费支出预算为10</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万元，支出决算为5.39万元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完成预算的53.9</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决算数小于预算数的主要原因是认真贯彻落实中央“八项规定”精神和厉行节约要求，从严控制“三公”经费开支，全年实际支出比预算有所节约。与上年相比减少0</w:t>
      </w:r>
      <w:r>
        <w:rPr>
          <w:rFonts w:hint="eastAsia" w:asciiTheme="minorEastAsia" w:hAnsiTheme="minorEastAsia" w:eastAsiaTheme="minorEastAsia"/>
          <w:sz w:val="32"/>
          <w:szCs w:val="32"/>
          <w:lang w:val="en-US" w:eastAsia="zh-CN"/>
        </w:rPr>
        <w:t>.08</w:t>
      </w:r>
      <w:r>
        <w:rPr>
          <w:rFonts w:hint="eastAsia" w:asciiTheme="minorEastAsia" w:hAnsiTheme="minorEastAsia" w:eastAsiaTheme="minorEastAsia"/>
          <w:sz w:val="32"/>
          <w:szCs w:val="32"/>
        </w:rPr>
        <w:t>万元，下降1.44%</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减少主要原因是认真贯彻落实中央“八项规定”精神和厉行节约要求，从严控制“三公”经费开支，全年实际支出比预算有所节约。</w:t>
      </w:r>
    </w:p>
    <w:p>
      <w:pPr>
        <w:pStyle w:val="8"/>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公务接待费支出预算为5</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万元，支出决算为0万元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完成预算的0%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与上年相比减少1</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万元，下降100%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减少主要原因是认真贯彻落实中央“八项规定”精神和厉行节约要求，从严控制“三公”经费开支，全年实际支出比预算有所节约。</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8"/>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2021年度“三公”经费财政拨款支出决算中，因公出国（境）费支出决算0万元，占0%；</w:t>
      </w:r>
    </w:p>
    <w:p>
      <w:pPr>
        <w:pStyle w:val="8"/>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公务用车购置费及运行维护费支出决算5.39万元，占100%；</w:t>
      </w:r>
    </w:p>
    <w:p>
      <w:pPr>
        <w:pStyle w:val="8"/>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公务接待费支出决算0万元，占0%；其中：</w:t>
      </w:r>
    </w:p>
    <w:p>
      <w:pPr>
        <w:pStyle w:val="8"/>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因公出国（境）费支出决算0万元，全年安排因公出国（境）团组0个，累计0人次。</w:t>
      </w:r>
    </w:p>
    <w:p>
      <w:pPr>
        <w:pStyle w:val="8"/>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及运行维护费支出决算为5.39万元，其中：公务用车购置支出0万元，更新公务用车0辆。公务用车运行费支出5.39万元。主要是按规定保留的公务用车的燃料费、维修费、过桥过路费、保险费、安全奖励费用等支出。截至2021年12月31日，我单位开支财政拨款的公务用车保有量为1辆。</w:t>
      </w:r>
    </w:p>
    <w:p>
      <w:pPr>
        <w:pStyle w:val="8"/>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公务接待费支出决算为0万元，其中：其他国内公务接待支出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万元。2021年共接待国内公务接待批次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个、接待人次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人次（不包括陪同人员）。</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八、政府性基金预算收入支出决算情况</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2021年本单位没有使用政府性基金预算财政拨款安排的收支。</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ind w:firstLine="640" w:firstLineChars="200"/>
        <w:textAlignment w:val="auto"/>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8"/>
        <w:ind w:firstLine="640" w:firstLineChars="200"/>
        <w:rPr>
          <w:rFonts w:hint="default" w:hAnsi="黑体"/>
          <w:b/>
          <w:sz w:val="32"/>
          <w:szCs w:val="32"/>
          <w:lang w:val="en-US" w:eastAsia="zh-CN"/>
        </w:rPr>
      </w:pPr>
      <w:r>
        <w:rPr>
          <w:rFonts w:hint="eastAsia" w:asciiTheme="minorEastAsia" w:hAnsiTheme="minorEastAsia" w:eastAsiaTheme="minorEastAsia"/>
          <w:sz w:val="32"/>
          <w:szCs w:val="32"/>
        </w:rPr>
        <w:t>2021年本单位没有使用国有资本经营预算安排的支出。</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十、机关运行经费支出说明</w:t>
      </w:r>
    </w:p>
    <w:p>
      <w:pPr>
        <w:pStyle w:val="8"/>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2021年度机关运行经费支出83.37万元。比</w:t>
      </w:r>
      <w:r>
        <w:rPr>
          <w:rFonts w:hint="eastAsia" w:asciiTheme="minorEastAsia" w:hAnsiTheme="minorEastAsia" w:eastAsiaTheme="minorEastAsia"/>
          <w:sz w:val="32"/>
          <w:szCs w:val="32"/>
          <w:lang w:val="en-US" w:eastAsia="zh-CN"/>
        </w:rPr>
        <w:t>上年决算</w:t>
      </w:r>
      <w:r>
        <w:rPr>
          <w:rFonts w:hint="eastAsia" w:asciiTheme="minorEastAsia" w:hAnsiTheme="minorEastAsia" w:eastAsiaTheme="minorEastAsia"/>
          <w:sz w:val="32"/>
          <w:szCs w:val="32"/>
        </w:rPr>
        <w:t>数</w:t>
      </w:r>
      <w:r>
        <w:rPr>
          <w:rFonts w:hint="eastAsia" w:asciiTheme="minorEastAsia" w:hAnsiTheme="minorEastAsia" w:eastAsiaTheme="minorEastAsia"/>
          <w:sz w:val="32"/>
          <w:szCs w:val="32"/>
          <w:lang w:val="en-US" w:eastAsia="zh-CN"/>
        </w:rPr>
        <w:t>减少158.74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减少65.56</w:t>
      </w:r>
      <w:r>
        <w:rPr>
          <w:rFonts w:hint="eastAsia" w:asciiTheme="minorEastAsia" w:hAnsiTheme="minorEastAsia" w:eastAsiaTheme="minorEastAsia"/>
          <w:sz w:val="32"/>
          <w:szCs w:val="32"/>
        </w:rPr>
        <w:t>%，主要原因是本</w:t>
      </w:r>
      <w:r>
        <w:rPr>
          <w:rFonts w:hint="eastAsia" w:asciiTheme="minorEastAsia" w:hAnsiTheme="minorEastAsia" w:eastAsiaTheme="minorEastAsia"/>
          <w:sz w:val="32"/>
          <w:szCs w:val="32"/>
          <w:lang w:val="en-US" w:eastAsia="zh-CN"/>
        </w:rPr>
        <w:t>单位</w:t>
      </w:r>
      <w:r>
        <w:rPr>
          <w:rFonts w:hint="eastAsia" w:asciiTheme="minorEastAsia" w:hAnsiTheme="minorEastAsia" w:eastAsiaTheme="minorEastAsia"/>
          <w:sz w:val="32"/>
          <w:szCs w:val="32"/>
        </w:rPr>
        <w:t>严格落实过“紧日子”要求，持续压减一般性支出。</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十一、一般性支出情况说明</w:t>
      </w:r>
    </w:p>
    <w:p>
      <w:pPr>
        <w:pStyle w:val="8"/>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2021年本部门会议费0万元，召开0会议，人数0人，内容为0万元；培训费0万元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未组织培训</w:t>
      </w:r>
      <w:r>
        <w:rPr>
          <w:rFonts w:hint="eastAsia" w:asciiTheme="minorEastAsia" w:hAnsiTheme="minorEastAsia" w:eastAsiaTheme="minorEastAsia"/>
          <w:sz w:val="32"/>
          <w:szCs w:val="32"/>
        </w:rPr>
        <w:t>，人数0人，内容为0万元</w:t>
      </w:r>
      <w:r>
        <w:rPr>
          <w:rFonts w:hint="eastAsia" w:asciiTheme="minorEastAsia" w:hAnsiTheme="minorEastAsia" w:eastAsiaTheme="minorEastAsia"/>
          <w:sz w:val="32"/>
          <w:szCs w:val="32"/>
          <w:lang w:eastAsia="zh-CN"/>
        </w:rPr>
        <w:t>。</w:t>
      </w:r>
      <w:r>
        <w:rPr>
          <w:rFonts w:hint="eastAsia" w:ascii="仿宋" w:hAnsi="仿宋" w:eastAsia="仿宋" w:cs="仿宋"/>
          <w:sz w:val="32"/>
          <w:szCs w:val="32"/>
          <w:lang w:val="en-US" w:eastAsia="zh-CN"/>
        </w:rPr>
        <w:t>202</w:t>
      </w:r>
      <w:r>
        <w:rPr>
          <w:rFonts w:hint="eastAsia" w:asciiTheme="minorEastAsia" w:hAnsiTheme="minorEastAsia" w:eastAsiaTheme="minorEastAsia"/>
          <w:sz w:val="32"/>
          <w:szCs w:val="32"/>
          <w:lang w:val="en-US" w:eastAsia="zh-CN"/>
        </w:rPr>
        <w:t>1年本部门未举办节庆、晚会、论坛、赛事活动，开支0万元</w:t>
      </w:r>
      <w:r>
        <w:rPr>
          <w:rFonts w:hint="eastAsia" w:asciiTheme="minorEastAsia" w:hAnsiTheme="minorEastAsia" w:eastAsiaTheme="minorEastAsia"/>
          <w:sz w:val="32"/>
          <w:szCs w:val="32"/>
        </w:rPr>
        <w:t>。</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十二、政府采购支出说明</w:t>
      </w:r>
    </w:p>
    <w:p>
      <w:pPr>
        <w:pStyle w:val="8"/>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2021年度政府采购支出总额78</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万元，其中：政府采购货物支出0万元；政府采购工程支出0万元；政府采购服务支出78</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万元；授予中小企业合同金额78</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万元，占政府采购支出总额的100%，</w:t>
      </w:r>
    </w:p>
    <w:p>
      <w:pPr>
        <w:pStyle w:val="8"/>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100%。</w:t>
      </w:r>
    </w:p>
    <w:p>
      <w:pPr>
        <w:pStyle w:val="8"/>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十三、国有资产占用情况说明</w:t>
      </w:r>
    </w:p>
    <w:p>
      <w:pPr>
        <w:pStyle w:val="8"/>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岳阳市生态环境局云溪分局共有车辆1辆。其中：其他用车1辆，其他用车主要是用于机要通信和应急保障之外公务用途的车辆；年末无单价50万元(含)以上通用设备，年末无单价100万元(含)以上通用设备。</w:t>
      </w:r>
    </w:p>
    <w:p>
      <w:pPr>
        <w:pStyle w:val="8"/>
        <w:ind w:firstLine="640" w:firstLineChars="200"/>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为进一步规范财政资金管理，强化财政支出绩效理念，切实提高财政资金使用效益，根据《岳阳市财政局关于做好2022年度预算绩效目标编审工作的通知》（岳财预〔2021〕165号）要求</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我单位科学确定全年绩效目标，将绩效管理融入预算编制、执行全过程。</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2021年度本部门绩效任务有效执行，三公经费有效控制，行政效率有效提高。单位紧扣目标任务对部门整体支出全面开展绩效自评，自评率100%，自评综合得分</w:t>
      </w:r>
      <w:r>
        <w:rPr>
          <w:rFonts w:hint="eastAsia" w:cs="黑体" w:asciiTheme="minorEastAsia" w:hAnsiTheme="minorEastAsia"/>
          <w:color w:val="000000"/>
          <w:kern w:val="0"/>
          <w:sz w:val="32"/>
          <w:szCs w:val="32"/>
          <w:lang w:val="en-US" w:eastAsia="zh-CN"/>
        </w:rPr>
        <w:t>100</w:t>
      </w:r>
      <w:r>
        <w:rPr>
          <w:rFonts w:hint="eastAsia" w:cs="黑体" w:asciiTheme="minorEastAsia" w:hAnsiTheme="minorEastAsia"/>
          <w:color w:val="000000"/>
          <w:kern w:val="0"/>
          <w:sz w:val="32"/>
          <w:szCs w:val="32"/>
        </w:rPr>
        <w:t>分，评价等次为优秀。</w:t>
      </w:r>
    </w:p>
    <w:p>
      <w:pPr>
        <w:pStyle w:val="5"/>
        <w:keepNext w:val="0"/>
        <w:keepLines w:val="0"/>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1.生态环境质量总体稳定。2021年，全区环境空气质量达标率为89.5%，较2020年空气质量达标率89.8%基本持平；水质达标率为100%，省控断面长江陆城断面长期稳定在Ⅱ类以上；“农村生活污水处理率”为72%，固体废物及危险废物综合处置利用率100%，均达到市政府目标值。</w:t>
      </w:r>
    </w:p>
    <w:p>
      <w:pPr>
        <w:pStyle w:val="5"/>
        <w:keepNext w:val="0"/>
        <w:keepLines w:val="0"/>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突出环境问题整改全力落实。2021年我区共有29个突出生态环境问题，包括5个第二轮中央生态环境保护督察反馈问题、11个第二轮中央环保督查信访件、1个全国人大执法检查反馈问题、3个2020年省级环保督察“回头看”反馈问题、7个2020年省环保督查“回头看”信访件、2个2021年省级生态环境警示片披露问题。截止目前，除“东洞庭湖水环境治理任务依然繁重”“内湖污染问题依然突出”“污水收集处理尚有差距”等3个问题正按要求有序推进外，其他问题已全部完成整改销号。</w:t>
      </w:r>
    </w:p>
    <w:p>
      <w:pPr>
        <w:pStyle w:val="5"/>
        <w:keepNext w:val="0"/>
        <w:keepLines w:val="0"/>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3.“洞庭清波”专项行动扎实推进。为认真落实省、市纪监委“洞庭清波”专项行动交办的各项任务，我区建立了云溪区“洞庭清波”专项整治工作联席会议制度，制定了专项行动方案及问题清单，主要整改任务45个，现已销号36个，完成整治5个，按时序推进整治2个（污水收集处理尚有差距和污水管网建设滞后问题），申请剔除2个（“两高”项目上马冲动现象及化解过剩产能不够有力问题）。</w:t>
      </w:r>
    </w:p>
    <w:p>
      <w:pPr>
        <w:pStyle w:val="5"/>
        <w:keepNext w:val="0"/>
        <w:keepLines w:val="0"/>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4.污染防治攻坚战全面打响。开展水体污染防治。按要求定期对区级重点河湖、1个千人以上饮用水水源及2个千吨万人饮用水水源开展水质检测，汇总分析水质情况；团湖水环境整治工程项目已完成实施方案编制，正准备招投标工作。推进大气污染防治。已督促东方雨虹等5家重点企业完成挥发性有机废气综合整治，长岭催化剂公司完成工业炉窑综合治理；指导东方雨虹挥发性有机废气治理项目争取到中央环保专项资金150万。实施土壤污染防治。云溪区三角坪化工污染场地修复项目已完成实施方案编制，正进行招投标工作；岳阳云溪天顺化工厂污染场地土壤修复项目拟申请中央土壤污染防治专项资金支持；完成了我区98家重点行业企业地块信息核实反馈，督促13家土壤污染重点监管单位开展土壤和地下水隐患排查以及自行监测。污染防治攻坚战“夏季攻势”任务15项整改任务已完成11项整改工作销号，余下4项预计年底前完成。其中绿色化工园VOCS气体治理项目在前期企业自查基础上，聘请第三方环境治理公司和相关专家对园区34家涉气重点企业开展专项排查，把脉问诊，找到症结所在，并约谈企业负责人，督促落实主体责任，制定整改方案，采取针对性污染防控措施，重点强化无组织废气收集处理。排查共发现问题104条，已整改完成88条，下步，将督促未完成整改企业落实到位。</w:t>
      </w:r>
    </w:p>
    <w:p>
      <w:pPr>
        <w:pStyle w:val="5"/>
        <w:keepNext w:val="0"/>
        <w:keepLines w:val="0"/>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5.环境监管和执法力度持续加大。严守项目审批关。认真执行国家产业政策和环保政策，今年来，否决环境风险大、不符合区域发展要求的项目12个。坚持对生态环境违法行为“零容忍”，始终保持高压执法态势，2021年全区生态环境行政处罚立案件数13件，其中移送拘留2起，行政拘留3人，罚款197.3万元。加大生态环境信访调处力度，有效化解群众身边的突出环境问题，2021年共受理各类环境污染投诉举报322件，均按时办结。规范固危废管理。规范化检查47家涉危单位，发现并督促120个问题完成整改；大力开展危险废物专项整治三年行动，检查“一废一库一品”企业127家，发现问题411个，均已下达整改要求，正持续跟踪监督，限期整改到位；开展高温期间危险废物、废弃危险化学品环境安全管理监督核查，已完成28家重点危险废物、废弃危险化学品企业开展现场检查，保障特殊气候条件下固危废处置安全。</w:t>
      </w:r>
    </w:p>
    <w:p>
      <w:pPr>
        <w:autoSpaceDE w:val="0"/>
        <w:autoSpaceDN w:val="0"/>
        <w:adjustRightInd w:val="0"/>
        <w:ind w:firstLine="640" w:firstLineChars="200"/>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详情见附件内容。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eastAsia="zh-CN"/>
        </w:rPr>
        <w:t>本单位无重点项目，故未开展重点项目自评，无重点项目自评结果。</w:t>
      </w:r>
    </w:p>
    <w:p>
      <w:pPr>
        <w:pStyle w:val="5"/>
        <w:rPr>
          <w:rFonts w:hint="eastAsia"/>
          <w:lang w:val="en-US" w:eastAsia="zh-CN"/>
        </w:rPr>
      </w:pPr>
    </w:p>
    <w:p>
      <w:pPr>
        <w:pStyle w:val="8"/>
        <w:jc w:val="both"/>
        <w:rPr>
          <w:sz w:val="72"/>
          <w:szCs w:val="72"/>
        </w:rPr>
      </w:pPr>
    </w:p>
    <w:p>
      <w:pPr>
        <w:pStyle w:val="8"/>
        <w:jc w:val="both"/>
        <w:rPr>
          <w:sz w:val="72"/>
          <w:szCs w:val="72"/>
        </w:rPr>
      </w:pPr>
    </w:p>
    <w:p>
      <w:pPr>
        <w:pStyle w:val="8"/>
        <w:jc w:val="both"/>
        <w:rPr>
          <w:sz w:val="72"/>
          <w:szCs w:val="72"/>
        </w:rPr>
      </w:pPr>
    </w:p>
    <w:p>
      <w:pPr>
        <w:pStyle w:val="8"/>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财政拨款收入：指本级财政当年拨付的资金。其他收入：指除上述“财政拨款收入”、“上级补助收入”、“事业收入”、“经营收入”、“附属单位上缴收入”等以外的收入。</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上年结转和结余：指以前年度尚未完成、结转到本年按有关规定继续使用的资金。</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卫生健康支出（类）：是指用于医疗卫生与计划生育方面的支出，包括保障机构正常运转、完成日常和特定的工作任务或事业发展目标的支出。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节能环保支出（类）：是指用于节能环保支出，包括保障机构正常运转、完成日常和特定的工作任务或事业发展目标的支出。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其他支出（类）：是指用于反映除上述项目以外其他不能划分到具体功能科目中的支出项目，包括保障机构正常运转、完成日常和特定的工作任务或事业发展目标的支出。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基本支出：指保障机构正常运转、完成支日常工作任务而发生的人员支出和公用支出。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项目支出：指在基本支出之外为完成特定行政任务和事业发展目标所发生的支出。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工资福利支出：反映单位开支的在职职工和编制外长期聘用人员的各类劳动报酬，以及为上述人员缴纳的各项社会保险费等。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津贴补贴：反映经国家批准建立的机关事业单位艰苦边远地区津贴、机关工作人员地区附加津贴、机关工作人员岗位津贴、事业单位工作人员特殊岗位津贴补贴等。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奖金：反映机关工作人员年终一次性奖金。</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伙食补助费：反映单位发给职工的伙食补助费，如误餐补助等。绩效工资：反映事业单位工作人员的绩效工资。</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机关事业单位基本养老保险缴费：反映机关事业单位缴纳的基本养老保险费。由单位代扣的工作人员基本养老保险缴费，不在此科目反映。</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职业年金缴费：反映机关事业单位实际缴纳的职业年金支出。由单位代扣的工作人员职业年金缴费，不在此科目反映。</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职工基本医疗保险缴费：反映单位为职工缴纳的基本医疗保险费。</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其他社会保障缴费：反映单位为职工缴纳的基本医疗、失业、工伤、生育等社会保险费，残疾人就业保障金，军队（含武警）为军人缴纳的伤亡、退役医疗等社会保险费。</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住房公积金：反映行政事业单位按人力资源和社会保障部、财政部规定的基本工资和津贴补贴以及规定比例为职工缴纳的住房公积金。</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医疗费：反映未参加医疗保险单位的医疗经费和单位按规定为职工支出的其他医疗费用。</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商品和服务支出：反映单位购买商品和服务的支出（不包括用于购置固定资产的支出、战略性和应急储备支出）。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办公费：反映单位购买按财务会计制度规定不符合固定资产确认标准的日常办公用品、书报杂志等支出。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印刷费：反映单位的印刷费支出。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咨询费：反映单位咨询方面的支出。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水费：反映单位支付的水费、污水处理费等支出。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电费：反映单位的电费支出。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邮电费：反映单位开支的信函、包裹、货物等物品的邮寄费及电话费、电报费、传真费、网络通讯费等。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差旅费：反映单位工作人员出差发生的城市间交通费、住宿费、伙食补贴费和市内交通费。</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维修(护)费：反映单位日常开支的固定资产（不包括车船等交通工具）修理和维护费用，网络信息系统运行与维护费用，以及按规定提取的修购基金。</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会议费：反映会议中按规定开支的住宿费、伙食费、会议室租金、交通费、文件印刷费、医药费等。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培训费：反映除因公出国（境）培训费以外的各类培训支出。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专用燃料费：反映用作业务工作设备的车、船设施等的油料支出。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劳务费：反映支付给单位和个人的劳务费用，如临时聘用人员、钟点工工资，稿费、翻译费，评审费等。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工会经费：反映单位按规定提取的工会经费。</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公务用车运行维护费：反映单位按规定保留的公务用车燃料费、维修费、过桥过路费、保险费、安全奖励费用等支出。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其他交通费用：反映单位除公务用车运行维护费以外的其他交通费用。如公务交通补贴，租车费用、出租车费用，飞机、船舶等的燃料费、维修费、保险费等。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对个人和家庭的补助：反映政府用于对个人和家庭的补助支出。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退休费：反映行政事业单位和军队移交政府安置的退休人员的退休费和其他补贴。</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抚恤金：反映按规定开支的烈士遗属、牺牲病故人员遗属的一次性和定期抚恤金，伤残人员的抚恤金，离退休人员等其他人员的各项抚恤金。</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eastAsia="黑体" w:cs="黑体" w:asciiTheme="minorEastAsia" w:hAnsiTheme="minorEastAsia"/>
          <w:color w:val="000000"/>
          <w:kern w:val="0"/>
          <w:sz w:val="28"/>
          <w:szCs w:val="32"/>
        </w:rPr>
      </w:pPr>
      <w:r>
        <w:rPr>
          <w:rFonts w:hint="eastAsia" w:cs="黑体" w:asciiTheme="minorEastAsia" w:hAnsiTheme="minorEastAsia"/>
          <w:color w:val="000000"/>
          <w:kern w:val="0"/>
          <w:sz w:val="32"/>
          <w:szCs w:val="32"/>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r>
        <w:rPr>
          <w:rFonts w:hint="eastAsia" w:asciiTheme="minorEastAsia" w:hAnsiTheme="minorEastAsia"/>
          <w:sz w:val="28"/>
          <w:szCs w:val="32"/>
        </w:rPr>
        <w:t>）</w:t>
      </w:r>
    </w:p>
    <w:p>
      <w:pPr>
        <w:pStyle w:val="8"/>
        <w:jc w:val="center"/>
        <w:rPr>
          <w:sz w:val="72"/>
          <w:szCs w:val="72"/>
        </w:rPr>
      </w:pPr>
    </w:p>
    <w:p>
      <w:pPr>
        <w:pStyle w:val="8"/>
        <w:jc w:val="center"/>
        <w:rPr>
          <w:sz w:val="72"/>
          <w:szCs w:val="72"/>
        </w:rPr>
      </w:pPr>
    </w:p>
    <w:p>
      <w:pPr>
        <w:pStyle w:val="8"/>
        <w:jc w:val="center"/>
        <w:rPr>
          <w:sz w:val="72"/>
          <w:szCs w:val="72"/>
        </w:rPr>
      </w:pPr>
    </w:p>
    <w:p>
      <w:pPr>
        <w:pStyle w:val="8"/>
        <w:jc w:val="center"/>
        <w:rPr>
          <w:sz w:val="72"/>
          <w:szCs w:val="72"/>
        </w:rPr>
      </w:pPr>
    </w:p>
    <w:p>
      <w:pPr>
        <w:pStyle w:val="8"/>
        <w:jc w:val="center"/>
        <w:rPr>
          <w:sz w:val="72"/>
          <w:szCs w:val="72"/>
        </w:rPr>
      </w:pPr>
    </w:p>
    <w:p>
      <w:pPr>
        <w:pStyle w:val="8"/>
        <w:jc w:val="both"/>
        <w:rPr>
          <w:sz w:val="72"/>
          <w:szCs w:val="72"/>
        </w:rPr>
      </w:pPr>
    </w:p>
    <w:p>
      <w:pPr>
        <w:pStyle w:val="8"/>
        <w:jc w:val="center"/>
        <w:rPr>
          <w:sz w:val="72"/>
          <w:szCs w:val="72"/>
        </w:rPr>
      </w:pPr>
    </w:p>
    <w:p>
      <w:pPr>
        <w:pStyle w:val="8"/>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p>
    <w:p>
      <w:pPr>
        <w:pStyle w:val="8"/>
        <w:jc w:val="center"/>
        <w:rPr>
          <w:sz w:val="72"/>
          <w:szCs w:val="7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FC5F40D2"/>
    <w:multiLevelType w:val="singleLevel"/>
    <w:tmpl w:val="FC5F40D2"/>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2BE1426E"/>
    <w:rsid w:val="014C6541"/>
    <w:rsid w:val="06935222"/>
    <w:rsid w:val="07A75D79"/>
    <w:rsid w:val="084367D4"/>
    <w:rsid w:val="0B397063"/>
    <w:rsid w:val="127E32F7"/>
    <w:rsid w:val="12E55CB0"/>
    <w:rsid w:val="193C7053"/>
    <w:rsid w:val="1F8E0C3C"/>
    <w:rsid w:val="21800548"/>
    <w:rsid w:val="228D0920"/>
    <w:rsid w:val="250D28BF"/>
    <w:rsid w:val="261868A0"/>
    <w:rsid w:val="2B68108F"/>
    <w:rsid w:val="2BE1426E"/>
    <w:rsid w:val="2EB060C2"/>
    <w:rsid w:val="364D16F2"/>
    <w:rsid w:val="376912C4"/>
    <w:rsid w:val="3B781F8C"/>
    <w:rsid w:val="3DDB3D1C"/>
    <w:rsid w:val="3E8F4FE3"/>
    <w:rsid w:val="3FC90AB1"/>
    <w:rsid w:val="41E41EB2"/>
    <w:rsid w:val="4AA737BC"/>
    <w:rsid w:val="4BF82C6C"/>
    <w:rsid w:val="53013525"/>
    <w:rsid w:val="55CE2776"/>
    <w:rsid w:val="58392391"/>
    <w:rsid w:val="585F037B"/>
    <w:rsid w:val="713A2FED"/>
    <w:rsid w:val="7167604E"/>
    <w:rsid w:val="75531CD2"/>
    <w:rsid w:val="783F42BF"/>
    <w:rsid w:val="799E45C2"/>
    <w:rsid w:val="7BB91CA0"/>
    <w:rsid w:val="7DB408AF"/>
    <w:rsid w:val="7EDB66A6"/>
    <w:rsid w:val="7F9E6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unhideWhenUsed/>
    <w:qFormat/>
    <w:uiPriority w:val="99"/>
    <w:pPr>
      <w:spacing w:after="120"/>
    </w:pPr>
  </w:style>
  <w:style w:type="paragraph" w:styleId="4">
    <w:name w:val="toc 5"/>
    <w:basedOn w:val="1"/>
    <w:next w:val="1"/>
    <w:unhideWhenUsed/>
    <w:qFormat/>
    <w:uiPriority w:val="0"/>
    <w:pPr>
      <w:spacing w:beforeLines="0" w:afterLines="0"/>
      <w:ind w:left="1680" w:leftChars="800"/>
    </w:pPr>
    <w:rPr>
      <w:rFonts w:hint="eastAsia"/>
      <w:sz w:val="21"/>
      <w:szCs w:val="24"/>
    </w:rPr>
  </w:style>
  <w:style w:type="paragraph" w:styleId="5">
    <w:name w:val="toa heading"/>
    <w:basedOn w:val="1"/>
    <w:next w:val="1"/>
    <w:qFormat/>
    <w:uiPriority w:val="99"/>
    <w:pPr>
      <w:spacing w:before="120" w:after="200" w:line="276" w:lineRule="auto"/>
    </w:pPr>
    <w:rPr>
      <w:rFonts w:ascii="Arial" w:hAnsi="Arial"/>
      <w:sz w:val="24"/>
    </w:rPr>
  </w:style>
  <w:style w:type="paragraph" w:customStyle="1" w:styleId="8">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7471</Words>
  <Characters>7908</Characters>
  <Lines>0</Lines>
  <Paragraphs>0</Paragraphs>
  <TotalTime>1</TotalTime>
  <ScaleCrop>false</ScaleCrop>
  <LinksUpToDate>false</LinksUpToDate>
  <CharactersWithSpaces>7964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2023-05-16T08:35:00Z</dcterms:created>
  <dc:creator>Administrator</dc:creator>
  <cp:lastModifiedBy>红蜻蜓</cp:lastModifiedBy>
  <dcterms:modified xsi:type="dcterms:W3CDTF">2023-09-23T06:40:06Z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B9D4B0B3FC5E4693B677648D78D2C7F6_11</vt:lpwstr>
  </property>
</Properties>
</file>