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hint="eastAsia" w:eastAsia="方正小标宋简体"/>
          <w:bCs/>
          <w:sz w:val="46"/>
          <w:szCs w:val="46"/>
        </w:rPr>
      </w:pPr>
      <w:r>
        <w:rPr>
          <w:rFonts w:hint="eastAsia" w:eastAsia="方正小标宋简体"/>
          <w:bCs/>
          <w:sz w:val="46"/>
          <w:szCs w:val="46"/>
        </w:rPr>
        <w:t>岳阳市20</w:t>
      </w:r>
      <w:r>
        <w:rPr>
          <w:rFonts w:hint="eastAsia" w:eastAsia="方正小标宋简体"/>
          <w:bCs/>
          <w:sz w:val="46"/>
          <w:szCs w:val="46"/>
          <w:u w:val="single"/>
          <w:lang w:val="en-US" w:eastAsia="zh-CN"/>
        </w:rPr>
        <w:t>21</w:t>
      </w:r>
      <w:r>
        <w:rPr>
          <w:rFonts w:hint="eastAsia" w:eastAsia="方正小标宋简体"/>
          <w:bCs/>
          <w:sz w:val="46"/>
          <w:szCs w:val="46"/>
        </w:rPr>
        <w:t>年度部门整体支出</w:t>
      </w:r>
    </w:p>
    <w:p>
      <w:pPr>
        <w:spacing w:line="800" w:lineRule="exact"/>
        <w:jc w:val="center"/>
        <w:rPr>
          <w:rFonts w:hint="eastAsia" w:eastAsia="方正小标宋简体"/>
          <w:bCs/>
          <w:sz w:val="46"/>
          <w:szCs w:val="46"/>
        </w:rPr>
      </w:pPr>
      <w:r>
        <w:rPr>
          <w:rFonts w:hint="eastAsia" w:eastAsia="方正小标宋简体"/>
          <w:bCs/>
          <w:sz w:val="46"/>
          <w:szCs w:val="46"/>
        </w:rPr>
        <w:t>绩效评价自评报告</w:t>
      </w:r>
    </w:p>
    <w:p>
      <w:pPr>
        <w:rPr>
          <w:rFonts w:hint="eastAsia" w:eastAsia="仿宋_GB2312"/>
          <w:b/>
          <w:sz w:val="32"/>
        </w:rPr>
      </w:pPr>
    </w:p>
    <w:p>
      <w:pPr>
        <w:rPr>
          <w:rFonts w:hint="eastAsia" w:eastAsia="仿宋_GB2312"/>
          <w:b/>
          <w:sz w:val="32"/>
        </w:rPr>
      </w:pPr>
    </w:p>
    <w:p>
      <w:pPr>
        <w:rPr>
          <w:rFonts w:hint="eastAsia" w:eastAsia="仿宋_GB2312"/>
          <w:b/>
          <w:sz w:val="32"/>
        </w:rPr>
      </w:pPr>
    </w:p>
    <w:p>
      <w:pPr>
        <w:spacing w:before="301" w:beforeLines="50" w:line="348" w:lineRule="auto"/>
        <w:ind w:firstLine="476" w:firstLineChars="1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eastAsia="zh-CN"/>
        </w:rPr>
        <w:t>岳阳市生态环境局南湖新区分局</w:t>
      </w:r>
      <w:r>
        <w:rPr>
          <w:rFonts w:hint="eastAsia" w:eastAsia="仿宋_GB2312"/>
          <w:sz w:val="32"/>
          <w:szCs w:val="32"/>
          <w:u w:val="single"/>
        </w:rPr>
        <w:t xml:space="preserve">                                  </w:t>
      </w:r>
    </w:p>
    <w:p>
      <w:pPr>
        <w:spacing w:before="301" w:beforeLines="50" w:line="348" w:lineRule="auto"/>
        <w:ind w:firstLine="476" w:firstLineChars="150"/>
        <w:rPr>
          <w:rFonts w:hint="eastAsia"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90307</w:t>
      </w:r>
      <w:r>
        <w:rPr>
          <w:rFonts w:hint="eastAsia" w:eastAsia="仿宋_GB2312"/>
          <w:spacing w:val="20"/>
          <w:sz w:val="32"/>
          <w:szCs w:val="32"/>
          <w:u w:val="single"/>
        </w:rPr>
        <w:t xml:space="preserve">                        </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评价方式：部门（单位）绩效自评</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348" w:lineRule="auto"/>
        <w:jc w:val="center"/>
        <w:rPr>
          <w:rFonts w:hint="eastAsia" w:eastAsia="仿宋_GB2312"/>
          <w:sz w:val="32"/>
        </w:rPr>
      </w:pPr>
      <w:r>
        <w:rPr>
          <w:rFonts w:hint="eastAsia" w:eastAsia="仿宋_GB2312"/>
          <w:sz w:val="32"/>
        </w:rPr>
        <w:t xml:space="preserve">报告日期： </w:t>
      </w:r>
      <w:r>
        <w:rPr>
          <w:rFonts w:hint="eastAsia" w:eastAsia="仿宋_GB2312"/>
          <w:sz w:val="32"/>
          <w:lang w:val="en-US" w:eastAsia="zh-CN"/>
        </w:rPr>
        <w:t>2022</w:t>
      </w:r>
      <w:r>
        <w:rPr>
          <w:rFonts w:hint="eastAsia" w:eastAsia="仿宋_GB2312"/>
          <w:sz w:val="32"/>
        </w:rPr>
        <w:t xml:space="preserve">年 </w:t>
      </w:r>
      <w:r>
        <w:rPr>
          <w:rFonts w:hint="eastAsia" w:eastAsia="仿宋_GB2312"/>
          <w:sz w:val="32"/>
          <w:lang w:val="en-US" w:eastAsia="zh-CN"/>
        </w:rPr>
        <w:t>5</w:t>
      </w:r>
      <w:r>
        <w:rPr>
          <w:rFonts w:hint="eastAsia" w:eastAsia="仿宋_GB2312"/>
          <w:sz w:val="32"/>
        </w:rPr>
        <w:t xml:space="preserve">月 </w:t>
      </w:r>
      <w:r>
        <w:rPr>
          <w:rFonts w:hint="eastAsia" w:eastAsia="仿宋_GB2312"/>
          <w:sz w:val="32"/>
          <w:lang w:val="en-US" w:eastAsia="zh-CN"/>
        </w:rPr>
        <w:t>26</w:t>
      </w:r>
      <w:r>
        <w:rPr>
          <w:rFonts w:hint="eastAsia" w:eastAsia="仿宋_GB2312"/>
          <w:sz w:val="32"/>
        </w:rPr>
        <w:t xml:space="preserve"> 日</w:t>
      </w:r>
    </w:p>
    <w:p>
      <w:pPr>
        <w:autoSpaceDN w:val="0"/>
        <w:jc w:val="center"/>
        <w:textAlignment w:val="center"/>
        <w:rPr>
          <w:rFonts w:hint="eastAsia" w:eastAsia="仿宋_GB2312"/>
          <w:sz w:val="32"/>
          <w:szCs w:val="32"/>
        </w:rPr>
        <w:sectPr>
          <w:footerReference r:id="rId3" w:type="default"/>
          <w:footerReference r:id="rId4" w:type="even"/>
          <w:pgSz w:w="11906" w:h="16838"/>
          <w:pgMar w:top="1588" w:right="1588" w:bottom="1588" w:left="1588" w:header="851" w:footer="992" w:gutter="0"/>
          <w:pgNumType w:fmt="decimal" w:start="7"/>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6"/>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226"/>
        <w:gridCol w:w="196"/>
        <w:gridCol w:w="72"/>
        <w:gridCol w:w="1155"/>
        <w:gridCol w:w="377"/>
        <w:gridCol w:w="139"/>
        <w:gridCol w:w="189"/>
        <w:gridCol w:w="7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廖小玲</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13975001221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25"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5"/>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Style w:val="8"/>
                <w:rFonts w:hint="default" w:ascii="Times New Roman" w:hAnsi="Times New Roman" w:eastAsia="楷体_GB2312" w:cs="楷体_GB2312"/>
                <w:sz w:val="28"/>
                <w:szCs w:val="28"/>
              </w:rPr>
              <w:t>贯彻落实国家有关环境保护政策，执行国家环保法律法规。 负责辖区内环境规划 环境管理 环境宣传教育 环境监察等工作。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56" w:firstLineChars="200"/>
              <w:jc w:val="both"/>
              <w:textAlignment w:val="auto"/>
              <w:rPr>
                <w:rFonts w:hint="eastAsia" w:ascii="仿宋_GB2312" w:hAnsi="仿宋_GB2312" w:eastAsia="仿宋_GB2312" w:cs="仿宋_GB2312"/>
                <w:b w:val="0"/>
                <w:bCs w:val="0"/>
                <w:spacing w:val="-6"/>
                <w:sz w:val="24"/>
                <w:szCs w:val="24"/>
                <w:lang w:val="en-US" w:eastAsia="zh-CN"/>
              </w:rPr>
            </w:pPr>
            <w:r>
              <w:rPr>
                <w:rFonts w:hint="eastAsia" w:ascii="仿宋_GB2312" w:hAnsi="仿宋_GB2312" w:eastAsia="仿宋_GB2312" w:cs="仿宋_GB2312"/>
                <w:b w:val="0"/>
                <w:bCs w:val="0"/>
                <w:spacing w:val="-6"/>
                <w:sz w:val="24"/>
                <w:szCs w:val="24"/>
                <w:lang w:val="en-US" w:eastAsia="zh-CN"/>
              </w:rPr>
              <w:t>任务1：突出环境问题整改全领域推进。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56" w:firstLineChars="200"/>
              <w:jc w:val="both"/>
              <w:textAlignment w:val="auto"/>
              <w:rPr>
                <w:rFonts w:hint="eastAsia" w:ascii="仿宋_GB2312" w:hAnsi="仿宋_GB2312" w:eastAsia="仿宋_GB2312" w:cs="仿宋_GB2312"/>
                <w:b w:val="0"/>
                <w:bCs w:val="0"/>
                <w:spacing w:val="-6"/>
                <w:sz w:val="24"/>
                <w:szCs w:val="24"/>
                <w:lang w:val="en-US" w:eastAsia="zh-CN"/>
              </w:rPr>
            </w:pPr>
            <w:r>
              <w:rPr>
                <w:rFonts w:hint="eastAsia" w:ascii="仿宋_GB2312" w:hAnsi="仿宋_GB2312" w:eastAsia="仿宋_GB2312" w:cs="仿宋_GB2312"/>
                <w:b w:val="0"/>
                <w:bCs w:val="0"/>
                <w:spacing w:val="-6"/>
                <w:sz w:val="24"/>
                <w:szCs w:val="24"/>
                <w:lang w:val="en-US" w:eastAsia="zh-CN"/>
              </w:rPr>
              <w:t>任务2：污染防治攻坚“夏季攻势”“洞庭清波”任务全链条压实。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56" w:firstLineChars="200"/>
              <w:jc w:val="both"/>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b w:val="0"/>
                <w:bCs w:val="0"/>
                <w:spacing w:val="-6"/>
                <w:sz w:val="24"/>
                <w:szCs w:val="24"/>
                <w:lang w:val="en-US" w:eastAsia="zh-CN"/>
              </w:rPr>
              <w:t>任务3：争资争项全要素保障。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075"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56" w:firstLineChars="200"/>
              <w:jc w:val="both"/>
              <w:textAlignment w:val="auto"/>
              <w:rPr>
                <w:rFonts w:hint="eastAsia" w:ascii="仿宋_GB2312" w:hAnsi="仿宋_GB2312" w:eastAsia="仿宋_GB2312" w:cs="仿宋_GB2312"/>
                <w:b w:val="0"/>
                <w:bCs w:val="0"/>
                <w:spacing w:val="-6"/>
                <w:sz w:val="24"/>
                <w:szCs w:val="24"/>
                <w:lang w:val="en-US" w:eastAsia="zh-CN"/>
              </w:rPr>
            </w:pPr>
            <w:r>
              <w:rPr>
                <w:rFonts w:hint="eastAsia" w:ascii="仿宋_GB2312" w:hAnsi="仿宋_GB2312" w:eastAsia="仿宋_GB2312" w:cs="仿宋_GB2312"/>
                <w:b w:val="0"/>
                <w:bCs w:val="0"/>
                <w:spacing w:val="-6"/>
                <w:sz w:val="24"/>
                <w:szCs w:val="24"/>
                <w:lang w:val="en-US" w:eastAsia="zh-CN"/>
              </w:rPr>
              <w:t>1.全区各类突出环境问题共计33件（包括信访件25件，交办问题8件），其中8个交办问题已办结4件，另外4件市相关部门已决定推迟销号；25个信访件已全部完成。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56" w:firstLineChars="200"/>
              <w:jc w:val="both"/>
              <w:textAlignment w:val="auto"/>
              <w:rPr>
                <w:rFonts w:hint="default" w:ascii="仿宋_GB2312" w:hAnsi="仿宋_GB2312" w:eastAsia="仿宋_GB2312" w:cs="仿宋_GB2312"/>
                <w:b w:val="0"/>
                <w:bCs w:val="0"/>
                <w:spacing w:val="-6"/>
                <w:sz w:val="24"/>
                <w:szCs w:val="24"/>
                <w:lang w:val="en-US" w:eastAsia="zh-CN"/>
              </w:rPr>
            </w:pPr>
            <w:r>
              <w:rPr>
                <w:rFonts w:hint="eastAsia" w:ascii="仿宋_GB2312" w:hAnsi="仿宋_GB2312" w:eastAsia="仿宋_GB2312" w:cs="仿宋_GB2312"/>
                <w:b w:val="0"/>
                <w:bCs w:val="0"/>
                <w:spacing w:val="-6"/>
                <w:sz w:val="24"/>
                <w:szCs w:val="24"/>
                <w:lang w:val="en-US" w:eastAsia="zh-CN"/>
              </w:rPr>
              <w:t>2.积极参与南湖水环境整治，扎实推进各项措施落实落地。大力实施水环境整治工程，开展重点河湖入河（湖）排污口排查、整治、建档工作（共44个排口），</w:t>
            </w:r>
            <w:r>
              <w:rPr>
                <w:rFonts w:hint="eastAsia" w:ascii="仿宋_GB2312" w:hAnsi="仿宋_GB2312" w:eastAsia="仿宋_GB2312" w:cs="仿宋_GB2312"/>
                <w:color w:val="000000"/>
                <w:sz w:val="24"/>
                <w:lang w:val="en-US" w:eastAsia="zh-CN"/>
              </w:rPr>
              <w:t>提前实现南湖水质达Ш类标准。</w:t>
            </w:r>
            <w:r>
              <w:rPr>
                <w:rFonts w:hint="eastAsia" w:ascii="仿宋_GB2312" w:hAnsi="仿宋_GB2312" w:eastAsia="仿宋_GB2312" w:cs="仿宋_GB2312"/>
                <w:b w:val="0"/>
                <w:bCs w:val="0"/>
                <w:spacing w:val="-6"/>
                <w:sz w:val="24"/>
                <w:szCs w:val="24"/>
                <w:lang w:val="en-US" w:eastAsia="zh-CN"/>
              </w:rPr>
              <w:t>深入开展大气污染防治行动，将辖区内21家工地、33条道路纳入清单管理，加强对道路扬尘和建筑扬尘的管控力度，提高防尘抑尘效率，加强对辖区包装印刷厂、加油站、4S店钣喷中心vocs的监测和监管，对湖滨包装厂、金鹗加油站、郭镇汽车城钣喷中心等单位重点加强监管，确保达标排放，加强焚烧垃圾、秸秆和燃放炮竹等行为的监管，使辖区空气优良率达到了90%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56" w:firstLineChars="200"/>
              <w:jc w:val="both"/>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b w:val="0"/>
                <w:bCs w:val="0"/>
                <w:spacing w:val="-6"/>
                <w:sz w:val="24"/>
                <w:szCs w:val="24"/>
                <w:lang w:val="en-US" w:eastAsia="zh-CN"/>
              </w:rPr>
              <w:t>3.配合市里推进洞庭湖岸线治污治岸治渔，强化综合治理、系统治理、源头治理。向上争资立项，我局已将月形湖治理项目和月山湖滨带治理项目申报纳入国家项目库，拟争取中央资金6700万元。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pPr>
              <w:spacing w:line="32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南湖新区分局</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383.6</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98.60</w:t>
            </w: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160</w:t>
            </w:r>
          </w:p>
        </w:tc>
        <w:tc>
          <w:tcPr>
            <w:tcW w:w="1705"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lang w:val="en-US" w:eastAsia="zh-CN"/>
              </w:rPr>
              <w:t xml:space="preserve">                                                                                                                                                                                                                                                                                                                                                                                                                                                                                                                                                                                                                                                                                                                                                                                                                                                                                                                                                                                                                                                                                                                                                                                                                                                                                                                                                                                                                                                                                                                                                                                                                                                                                                                                                                                                                                                                                                                                                                                                                                                                                                                                                                                                                                                                                                                                                                                                                                                                                                                                                                                                                                                                                                                                                                                 </w:t>
            </w: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napToGri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563" w:type="dxa"/>
            <w:gridSpan w:val="9"/>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457"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053" w:type="dxa"/>
            <w:gridSpan w:val="6"/>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155" w:type="dxa"/>
            <w:vMerge w:val="restart"/>
            <w:tcBorders>
              <w:top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05" w:type="dxa"/>
            <w:gridSpan w:val="3"/>
            <w:vMerge w:val="restart"/>
            <w:tcBorders>
              <w:top w:val="single" w:color="auto" w:sz="4" w:space="0"/>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752" w:type="dxa"/>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973"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155"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05" w:type="dxa"/>
            <w:gridSpan w:val="3"/>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52" w:type="dxa"/>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南湖新区分局</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274.21</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274.21</w:t>
            </w:r>
          </w:p>
        </w:tc>
        <w:tc>
          <w:tcPr>
            <w:tcW w:w="1080" w:type="dxa"/>
            <w:gridSpan w:val="2"/>
            <w:noWrap w:val="0"/>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115.05</w:t>
            </w:r>
          </w:p>
        </w:tc>
        <w:tc>
          <w:tcPr>
            <w:tcW w:w="1973"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159.16</w:t>
            </w:r>
          </w:p>
        </w:tc>
        <w:tc>
          <w:tcPr>
            <w:tcW w:w="1155" w:type="dxa"/>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705" w:type="dxa"/>
            <w:gridSpan w:val="3"/>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10.79</w:t>
            </w:r>
          </w:p>
        </w:tc>
        <w:tc>
          <w:tcPr>
            <w:tcW w:w="752" w:type="dxa"/>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109.39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973"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612"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南湖新区分局</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3.81</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0.17</w:t>
            </w: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3.64</w:t>
            </w:r>
          </w:p>
        </w:tc>
        <w:tc>
          <w:tcPr>
            <w:tcW w:w="1973"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612"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南湖新区分局</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17.27</w:t>
            </w:r>
          </w:p>
        </w:tc>
        <w:tc>
          <w:tcPr>
            <w:tcW w:w="2435" w:type="dxa"/>
            <w:gridSpan w:val="4"/>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17.27</w:t>
            </w: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230"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3774" w:type="dxa"/>
            <w:gridSpan w:val="7"/>
            <w:noWrap w:val="0"/>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560" w:lineRule="exact"/>
              <w:ind w:left="0" w:leftChars="0" w:firstLine="480" w:firstLineChars="200"/>
              <w:jc w:val="both"/>
              <w:textAlignment w:val="auto"/>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目标1：污染防治攻坚战及“夏季攻势”清单任务全面完成</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560" w:lineRule="exact"/>
              <w:ind w:left="0" w:leftChars="0" w:firstLine="480" w:firstLineChars="200"/>
              <w:jc w:val="both"/>
              <w:textAlignment w:val="auto"/>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目标2：突出环境问题和省级环保督查“回头看”问题按时办结</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560" w:lineRule="exact"/>
              <w:ind w:left="0" w:leftChars="0" w:firstLine="480" w:firstLineChars="200"/>
              <w:jc w:val="both"/>
              <w:textAlignment w:val="auto"/>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目标3：“洞庭清波”专项行动整改任务按时完成</w:t>
            </w:r>
          </w:p>
          <w:p>
            <w:pPr>
              <w:autoSpaceDN w:val="0"/>
              <w:spacing w:line="320" w:lineRule="exact"/>
              <w:ind w:firstLine="480" w:firstLineChars="200"/>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b w:val="0"/>
                <w:bCs w:val="0"/>
                <w:color w:val="000000"/>
                <w:kern w:val="0"/>
                <w:sz w:val="24"/>
                <w:szCs w:val="24"/>
                <w:lang w:val="en-US" w:eastAsia="zh-CN" w:bidi="ar"/>
              </w:rPr>
              <w:t>目标4：深入学习贯彻习近平生态文明思想</w:t>
            </w:r>
          </w:p>
        </w:tc>
        <w:tc>
          <w:tcPr>
            <w:tcW w:w="4585" w:type="dxa"/>
            <w:gridSpan w:val="9"/>
            <w:noWrap w:val="0"/>
            <w:vAlign w:val="center"/>
          </w:tcPr>
          <w:p>
            <w:pPr>
              <w:pStyle w:val="9"/>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line="290" w:lineRule="exact"/>
              <w:ind w:left="0" w:leftChars="0" w:right="0" w:rightChars="0" w:firstLine="456" w:firstLineChars="200"/>
              <w:jc w:val="both"/>
              <w:textAlignment w:val="auto"/>
              <w:rPr>
                <w:rFonts w:hint="default" w:ascii="Times New Roman" w:hAnsi="Times New Roman"/>
                <w:kern w:val="2"/>
                <w:sz w:val="21"/>
                <w:szCs w:val="24"/>
                <w:lang w:val="en-US" w:eastAsia="zh-CN" w:bidi="ar-SA"/>
              </w:rPr>
            </w:pPr>
            <w:r>
              <w:rPr>
                <w:rFonts w:hint="eastAsia" w:ascii="仿宋_GB2312" w:hAnsi="仿宋_GB2312" w:eastAsia="仿宋_GB2312" w:cs="仿宋_GB2312"/>
                <w:b w:val="0"/>
                <w:bCs w:val="0"/>
                <w:spacing w:val="-6"/>
                <w:sz w:val="24"/>
                <w:szCs w:val="24"/>
                <w:lang w:val="en-US" w:eastAsia="zh-CN"/>
              </w:rPr>
              <w:t>积极参与南湖水环境整治，扎实推进各项措施落实落地。大力实施水环境整治工程，开展重点河湖入河（湖）排污口排查、整治、建档工作（共44个排口），</w:t>
            </w:r>
            <w:r>
              <w:rPr>
                <w:rFonts w:hint="eastAsia" w:ascii="仿宋_GB2312" w:hAnsi="仿宋_GB2312" w:eastAsia="仿宋_GB2312" w:cs="仿宋_GB2312"/>
                <w:color w:val="000000"/>
                <w:kern w:val="2"/>
                <w:sz w:val="24"/>
                <w:szCs w:val="24"/>
                <w:u w:val="none"/>
                <w:shd w:val="clear" w:color="auto" w:fill="auto"/>
                <w:lang w:val="en-US" w:eastAsia="zh-CN" w:bidi="ar-SA"/>
              </w:rPr>
              <w:t>提前实了现南湖水质Ш类标准。联合交警部门对柴油货车开展路检路查工作，对尾气超标排放的车辆进行处罚，共检查柴油货车40台，处罚6台。发放非道路移动机械源牌照38张，提前完成年度目标任务。辖区空气优良率达到了90%，推动原蓝天冶炼厂土壤污染防治项目和龙山55亩镉污染耕地整治项目实施完成；污染地块安全利用率达到91%以上。督促全区23家企业完成危险废物申报登记和危险废物管理计划备案工作；指导和督促相关企业整改问题55条。全面完成了中央省市级突出生态环境问题整改销号29个。洞庭清波”专项行动涉及我局问题2项，均已完成整改销号。在区党工委理论学习中心组集中学习和全区生态环境保护工作会议上组织学习《习近平在全国生态环境保护大会上的讲话》和《湖南省生态环境保护工作责任规定》等3个重要文件，加大生态文明思想在全社会的宣传贯彻力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提高环境监测、环境监察能力</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全面加强环境执法监管，提高了监管能力。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完成2万元罚没征缴任务</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已</w:t>
            </w:r>
            <w:r>
              <w:rPr>
                <w:rFonts w:hint="eastAsia" w:ascii="仿宋_GB2312" w:hAnsi="仿宋_GB2312" w:eastAsia="仿宋_GB2312" w:cs="仿宋_GB2312"/>
                <w:b/>
                <w:color w:val="000000"/>
                <w:sz w:val="24"/>
                <w:lang w:eastAsia="zh-CN"/>
              </w:rPr>
              <w:t>超额</w:t>
            </w:r>
            <w:r>
              <w:rPr>
                <w:rFonts w:hint="eastAsia" w:ascii="仿宋_GB2312" w:hAnsi="仿宋_GB2312" w:eastAsia="仿宋_GB2312" w:cs="仿宋_GB2312"/>
                <w:b/>
                <w:color w:val="000000"/>
                <w:sz w:val="24"/>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突出环境问题整改落实</w:t>
            </w:r>
          </w:p>
        </w:tc>
        <w:tc>
          <w:tcPr>
            <w:tcW w:w="2684" w:type="dxa"/>
            <w:gridSpan w:val="6"/>
            <w:noWrap w:val="0"/>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eastAsia="zh-CN"/>
              </w:rPr>
              <w:t>已完成</w:t>
            </w:r>
            <w:r>
              <w:rPr>
                <w:rFonts w:hint="eastAsia" w:ascii="仿宋_GB2312" w:hAnsi="仿宋_GB2312" w:eastAsia="仿宋_GB2312" w:cs="仿宋_GB2312"/>
                <w:b/>
                <w:color w:val="000000"/>
                <w:sz w:val="24"/>
                <w:lang w:val="en-US" w:eastAsia="zh-CN"/>
              </w:rPr>
              <w:t>29件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35"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信访工作无集体投诉事件</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全年处理书面信访</w:t>
            </w:r>
            <w:r>
              <w:rPr>
                <w:rFonts w:hint="eastAsia" w:ascii="仿宋_GB2312" w:hAnsi="仿宋_GB2312" w:eastAsia="仿宋_GB2312" w:cs="仿宋_GB2312"/>
                <w:b/>
                <w:color w:val="000000"/>
                <w:sz w:val="24"/>
                <w:lang w:val="en-US" w:eastAsia="zh-CN"/>
              </w:rPr>
              <w:t>36</w:t>
            </w:r>
            <w:r>
              <w:rPr>
                <w:rFonts w:hint="eastAsia" w:ascii="仿宋_GB2312" w:hAnsi="仿宋_GB2312" w:eastAsia="仿宋_GB2312" w:cs="仿宋_GB2312"/>
                <w:b/>
                <w:color w:val="000000"/>
                <w:sz w:val="24"/>
              </w:rPr>
              <w:t>件，无集体上访事件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环保</w:t>
            </w:r>
            <w:r>
              <w:rPr>
                <w:rFonts w:hint="eastAsia" w:ascii="仿宋_GB2312" w:hAnsi="仿宋_GB2312" w:eastAsia="仿宋_GB2312" w:cs="仿宋_GB2312"/>
                <w:color w:val="000000"/>
                <w:sz w:val="24"/>
                <w:lang w:eastAsia="zh-CN"/>
              </w:rPr>
              <w:t>专项</w:t>
            </w:r>
            <w:r>
              <w:rPr>
                <w:rFonts w:hint="eastAsia" w:ascii="仿宋_GB2312" w:hAnsi="仿宋_GB2312" w:eastAsia="仿宋_GB2312" w:cs="仿宋_GB2312"/>
                <w:color w:val="000000"/>
                <w:sz w:val="24"/>
              </w:rPr>
              <w:t>督察</w:t>
            </w:r>
          </w:p>
        </w:tc>
        <w:tc>
          <w:tcPr>
            <w:tcW w:w="2684" w:type="dxa"/>
            <w:gridSpan w:val="6"/>
            <w:noWrap w:val="0"/>
            <w:vAlign w:val="center"/>
          </w:tcPr>
          <w:p>
            <w:pPr>
              <w:keepNext w:val="0"/>
              <w:keepLines w:val="0"/>
              <w:pageBreakBefore w:val="0"/>
              <w:widowControl w:val="0"/>
              <w:kinsoku/>
              <w:wordWrap/>
              <w:overflowPunct/>
              <w:topLinePunct w:val="0"/>
              <w:autoSpaceDE/>
              <w:bidi w:val="0"/>
              <w:adjustRightInd/>
              <w:snapToGrid/>
              <w:spacing w:line="360" w:lineRule="exact"/>
              <w:rPr>
                <w:rFonts w:hint="eastAsia" w:ascii="宋体" w:hAnsi="Times New Roman"/>
                <w:kern w:val="2"/>
                <w:sz w:val="24"/>
                <w:szCs w:val="24"/>
                <w:lang w:val="en-US" w:eastAsia="zh-CN" w:bidi="ar-SA"/>
              </w:rPr>
            </w:pPr>
            <w:r>
              <w:rPr>
                <w:rFonts w:hint="eastAsia" w:ascii="仿宋_GB2312" w:hAnsi="仿宋_GB2312" w:eastAsia="仿宋_GB2312" w:cs="仿宋_GB2312"/>
                <w:b/>
                <w:color w:val="000000"/>
                <w:sz w:val="24"/>
              </w:rPr>
              <w:t>各项工作均达到了序时进度要求。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全年支出控制在预算内</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全部控制在预算内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改善环境质量，提高环保意识</w:t>
            </w:r>
          </w:p>
        </w:tc>
        <w:tc>
          <w:tcPr>
            <w:tcW w:w="2684" w:type="dxa"/>
            <w:gridSpan w:val="6"/>
            <w:noWrap w:val="0"/>
            <w:vAlign w:val="center"/>
          </w:tcPr>
          <w:p>
            <w:pPr>
              <w:autoSpaceDN w:val="0"/>
              <w:spacing w:line="320" w:lineRule="exact"/>
              <w:jc w:val="left"/>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lang w:eastAsia="zh-CN"/>
              </w:rPr>
              <w:t>着力解决影响科学发展和群众健康的环境突出问题，攻坚克难，锐意进取，全区生态环境短板持续改善，生态环境质量持续量化。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创建旅游度假区</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lang w:eastAsia="zh-CN"/>
              </w:rPr>
            </w:pPr>
            <w:r>
              <w:rPr>
                <w:rFonts w:hint="eastAsia" w:ascii="仿宋_GB2312" w:hAnsi="仿宋_GB2312" w:eastAsia="仿宋_GB2312" w:cs="仿宋_GB2312"/>
                <w:b/>
                <w:color w:val="000000"/>
                <w:sz w:val="24"/>
                <w:lang w:eastAsia="zh-CN"/>
              </w:rPr>
              <w:t>国家级旅游度假区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地表水环境质量得到明显改善</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空气质量</w:t>
            </w:r>
            <w:r>
              <w:rPr>
                <w:rFonts w:hint="eastAsia" w:ascii="仿宋_GB2312" w:hAnsi="仿宋_GB2312" w:eastAsia="仿宋_GB2312" w:cs="仿宋_GB2312"/>
                <w:color w:val="000000"/>
                <w:sz w:val="24"/>
                <w:lang w:eastAsia="zh-CN"/>
              </w:rPr>
              <w:t>优良</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地表水全年稳定在Ш</w:t>
            </w:r>
            <w:r>
              <w:rPr>
                <w:rFonts w:hint="eastAsia" w:ascii="仿宋_GB2312" w:hAnsi="仿宋_GB2312" w:eastAsia="仿宋_GB2312" w:cs="仿宋_GB2312"/>
                <w:b/>
                <w:color w:val="000000"/>
                <w:sz w:val="24"/>
                <w:lang w:eastAsia="zh-CN"/>
              </w:rPr>
              <w:t>类</w:t>
            </w:r>
            <w:r>
              <w:rPr>
                <w:rFonts w:hint="eastAsia" w:ascii="仿宋_GB2312" w:hAnsi="仿宋_GB2312" w:eastAsia="仿宋_GB2312" w:cs="仿宋_GB2312"/>
                <w:b/>
                <w:color w:val="000000"/>
                <w:sz w:val="24"/>
              </w:rPr>
              <w:t>，空气</w:t>
            </w:r>
            <w:r>
              <w:rPr>
                <w:rFonts w:hint="eastAsia" w:ascii="仿宋_GB2312" w:hAnsi="仿宋_GB2312" w:eastAsia="仿宋_GB2312" w:cs="仿宋_GB2312"/>
                <w:b/>
                <w:color w:val="000000"/>
                <w:sz w:val="24"/>
                <w:lang w:eastAsia="zh-CN"/>
              </w:rPr>
              <w:t>质量优良率达到</w:t>
            </w:r>
            <w:r>
              <w:rPr>
                <w:rFonts w:hint="eastAsia" w:ascii="仿宋_GB2312" w:hAnsi="仿宋_GB2312" w:eastAsia="仿宋_GB2312" w:cs="仿宋_GB2312"/>
                <w:b/>
                <w:color w:val="000000"/>
                <w:sz w:val="24"/>
                <w:lang w:val="en-US" w:eastAsia="zh-CN"/>
              </w:rPr>
              <w:t>90</w:t>
            </w:r>
            <w:r>
              <w:rPr>
                <w:rFonts w:hint="eastAsia" w:ascii="宋体" w:hAnsi="宋体" w:eastAsia="宋体" w:cs="宋体"/>
                <w:b/>
                <w:color w:val="000000"/>
                <w:sz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社会公众比较满意</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99</w:t>
            </w:r>
            <w:r>
              <w:rPr>
                <w:rFonts w:hint="eastAsia" w:ascii="仿宋_GB2312" w:hAnsi="仿宋_GB2312" w:eastAsia="仿宋_GB2312" w:cs="仿宋_GB2312"/>
                <w:b/>
                <w:color w:val="000000"/>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黄</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lang w:eastAsia="zh-CN"/>
              </w:rPr>
              <w:t>震</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局长</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南湖分局</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余汉钦</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副局长</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南湖分局</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杨克雄</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办公室主任</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南湖分局</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廖小玲</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出纳</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南湖分局</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7"/>
            <w:noWrap w:val="0"/>
            <w:vAlign w:val="center"/>
          </w:tcPr>
          <w:p>
            <w:pPr>
              <w:spacing w:line="320" w:lineRule="exact"/>
              <w:rPr>
                <w:rFonts w:hint="eastAsia" w:eastAsia="仿宋_GB2312"/>
                <w:sz w:val="24"/>
              </w:rPr>
            </w:pPr>
            <w:r>
              <w:rPr>
                <w:rFonts w:hint="eastAsia" w:eastAsia="仿宋_GB2312"/>
                <w:sz w:val="24"/>
              </w:rPr>
              <w:t>财政部门归口业务科室意见：</w:t>
            </w: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eastAsia="zh-CN"/>
        </w:rPr>
        <w:t>廖小玲</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13975001221</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黑体" w:hAnsi="黑体" w:eastAsia="黑体" w:cs="黑体"/>
                <w:bCs/>
                <w:sz w:val="28"/>
                <w:szCs w:val="28"/>
              </w:rPr>
            </w:pPr>
            <w:r>
              <w:rPr>
                <w:rFonts w:hint="eastAsia" w:ascii="黑体" w:hAnsi="黑体" w:eastAsia="黑体" w:cs="黑体"/>
                <w:bCs/>
                <w:sz w:val="28"/>
                <w:szCs w:val="28"/>
              </w:rPr>
              <w:t>五、评价报告综述（文字部分）</w:t>
            </w:r>
          </w:p>
          <w:p>
            <w:pPr>
              <w:keepNext w:val="0"/>
              <w:keepLines w:val="0"/>
              <w:pageBreakBefore w:val="0"/>
              <w:kinsoku/>
              <w:overflowPunct/>
              <w:topLinePunct w:val="0"/>
              <w:autoSpaceDE/>
              <w:autoSpaceDN/>
              <w:bidi w:val="0"/>
              <w:adjustRightInd/>
              <w:spacing w:line="600" w:lineRule="exact"/>
              <w:ind w:firstLine="640" w:firstLineChars="200"/>
              <w:textAlignment w:val="auto"/>
              <w:rPr>
                <w:rFonts w:hint="eastAsia" w:eastAsia="仿宋_GB2312"/>
                <w:sz w:val="32"/>
                <w:szCs w:val="32"/>
              </w:rPr>
            </w:pPr>
          </w:p>
          <w:p>
            <w:pPr>
              <w:keepNext w:val="0"/>
              <w:keepLines w:val="0"/>
              <w:pageBreakBefore w:val="0"/>
              <w:kinsoku/>
              <w:overflowPunct/>
              <w:topLinePunct w:val="0"/>
              <w:autoSpaceDE/>
              <w:autoSpaceDN/>
              <w:bidi w:val="0"/>
              <w:adjustRightInd/>
              <w:spacing w:line="600" w:lineRule="exact"/>
              <w:ind w:firstLine="560" w:firstLineChars="200"/>
              <w:textAlignment w:val="auto"/>
              <w:rPr>
                <w:rFonts w:hint="eastAsia" w:ascii="黑体" w:hAnsi="黑体" w:eastAsia="黑体" w:cs="黑体"/>
                <w:bCs/>
                <w:sz w:val="28"/>
                <w:szCs w:val="28"/>
              </w:rPr>
            </w:pPr>
            <w:r>
              <w:rPr>
                <w:rFonts w:hint="eastAsia" w:ascii="黑体" w:hAnsi="黑体" w:eastAsia="黑体" w:cs="黑体"/>
                <w:bCs/>
                <w:sz w:val="28"/>
                <w:szCs w:val="28"/>
              </w:rPr>
              <w:t>一、部门（单位）概况</w:t>
            </w:r>
          </w:p>
          <w:p>
            <w:pPr>
              <w:pStyle w:val="5"/>
              <w:keepNext w:val="0"/>
              <w:keepLines w:val="0"/>
              <w:pageBreakBefore w:val="0"/>
              <w:widowControl/>
              <w:kinsoku/>
              <w:wordWrap w:val="0"/>
              <w:overflowPunct/>
              <w:topLinePunct w:val="0"/>
              <w:autoSpaceDE/>
              <w:autoSpaceDN/>
              <w:bidi w:val="0"/>
              <w:adjustRightInd/>
              <w:spacing w:before="150" w:after="150" w:line="600" w:lineRule="exact"/>
              <w:ind w:firstLine="960" w:firstLineChars="300"/>
              <w:textAlignment w:val="auto"/>
              <w:rPr>
                <w:rFonts w:ascii="仿宋_GB2312" w:hAnsi="仿宋_GB2312" w:eastAsia="仿宋_GB2312" w:cs="Times New Roman"/>
                <w:sz w:val="32"/>
                <w:szCs w:val="32"/>
              </w:rPr>
            </w:pPr>
            <w:r>
              <w:rPr>
                <w:rFonts w:hint="eastAsia" w:ascii="仿宋_GB2312" w:hAnsi="仿宋_GB2312" w:eastAsia="仿宋_GB2312" w:cs="仿宋_GB2312"/>
                <w:sz w:val="32"/>
                <w:szCs w:val="32"/>
                <w:lang w:eastAsia="zh-CN"/>
              </w:rPr>
              <w:t>南湖新区</w:t>
            </w:r>
            <w:r>
              <w:rPr>
                <w:rFonts w:hint="eastAsia" w:ascii="仿宋_GB2312" w:hAnsi="仿宋_GB2312" w:eastAsia="仿宋_GB2312" w:cs="仿宋_GB2312"/>
                <w:sz w:val="32"/>
                <w:szCs w:val="32"/>
              </w:rPr>
              <w:t>生</w:t>
            </w:r>
            <w:r>
              <w:rPr>
                <w:rFonts w:hint="eastAsia" w:ascii="仿宋_GB2312" w:hAnsi="仿宋_GB2312" w:eastAsia="仿宋_GB2312" w:cs="仿宋_GB2312"/>
                <w:sz w:val="32"/>
                <w:szCs w:val="32"/>
                <w:lang w:val="en-US" w:eastAsia="zh-CN"/>
              </w:rPr>
              <w:t>态</w:t>
            </w:r>
            <w:r>
              <w:rPr>
                <w:rFonts w:hint="eastAsia" w:ascii="仿宋_GB2312" w:hAnsi="仿宋_GB2312" w:eastAsia="仿宋_GB2312" w:cs="仿宋_GB2312"/>
                <w:sz w:val="32"/>
                <w:szCs w:val="32"/>
              </w:rPr>
              <w:t>环</w:t>
            </w:r>
            <w:r>
              <w:rPr>
                <w:rFonts w:hint="eastAsia" w:ascii="仿宋_GB2312" w:hAnsi="仿宋_GB2312" w:eastAsia="仿宋_GB2312" w:cs="仿宋_GB2312"/>
                <w:sz w:val="32"/>
                <w:szCs w:val="32"/>
                <w:lang w:val="en-US" w:eastAsia="zh-CN"/>
              </w:rPr>
              <w:t>境</w:t>
            </w:r>
            <w:r>
              <w:rPr>
                <w:rFonts w:hint="eastAsia" w:ascii="仿宋_GB2312" w:hAnsi="仿宋_GB2312" w:eastAsia="仿宋_GB2312" w:cs="仿宋_GB2312"/>
                <w:sz w:val="32"/>
                <w:szCs w:val="32"/>
              </w:rPr>
              <w:t>分局属岳阳市生态环境局二级机构。根据分局的整体情况，分局下设</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个股室（办公室、监察大队、管理股、）。分局目前</w:t>
            </w:r>
            <w:r>
              <w:rPr>
                <w:rFonts w:hint="eastAsia" w:ascii="仿宋_GB2312" w:hAnsi="仿宋_GB2312" w:eastAsia="仿宋_GB2312" w:cs="仿宋_GB2312"/>
                <w:sz w:val="32"/>
                <w:szCs w:val="32"/>
                <w:lang w:val="en-US" w:eastAsia="zh-CN"/>
              </w:rPr>
              <w:t>实</w:t>
            </w:r>
            <w:r>
              <w:rPr>
                <w:rFonts w:hint="eastAsia" w:ascii="仿宋_GB2312" w:hAnsi="仿宋_GB2312" w:eastAsia="仿宋_GB2312" w:cs="仿宋_GB2312"/>
                <w:sz w:val="32"/>
                <w:szCs w:val="32"/>
              </w:rPr>
              <w:t>有工作人员</w:t>
            </w: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人，其中在编人员</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人，临聘人员</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人。</w:t>
            </w:r>
          </w:p>
          <w:p>
            <w:pPr>
              <w:keepNext w:val="0"/>
              <w:keepLines w:val="0"/>
              <w:pageBreakBefore w:val="0"/>
              <w:kinsoku/>
              <w:overflowPunct/>
              <w:topLinePunct w:val="0"/>
              <w:autoSpaceDE/>
              <w:autoSpaceDN/>
              <w:bidi w:val="0"/>
              <w:adjustRightInd/>
              <w:spacing w:line="600" w:lineRule="exact"/>
              <w:ind w:firstLine="560" w:firstLineChars="200"/>
              <w:textAlignment w:val="auto"/>
              <w:rPr>
                <w:rFonts w:hint="eastAsia" w:ascii="黑体" w:hAnsi="黑体" w:eastAsia="黑体" w:cs="黑体"/>
                <w:bCs/>
                <w:sz w:val="28"/>
                <w:szCs w:val="28"/>
              </w:rPr>
            </w:pPr>
            <w:r>
              <w:rPr>
                <w:rFonts w:hint="eastAsia" w:ascii="黑体" w:hAnsi="黑体" w:eastAsia="黑体" w:cs="黑体"/>
                <w:bCs/>
                <w:sz w:val="28"/>
                <w:szCs w:val="28"/>
              </w:rPr>
              <w:t>二、部门（单位）整体支出管理及使用情况</w:t>
            </w:r>
          </w:p>
          <w:p>
            <w:pPr>
              <w:pStyle w:val="5"/>
              <w:keepNext w:val="0"/>
              <w:keepLines w:val="0"/>
              <w:pageBreakBefore w:val="0"/>
              <w:widowControl/>
              <w:kinsoku/>
              <w:wordWrap w:val="0"/>
              <w:overflowPunct/>
              <w:topLinePunct w:val="0"/>
              <w:autoSpaceDE/>
              <w:autoSpaceDN/>
              <w:bidi w:val="0"/>
              <w:adjustRightInd/>
              <w:snapToGrid w:val="0"/>
              <w:spacing w:before="150" w:after="150" w:line="600" w:lineRule="exact"/>
              <w:ind w:firstLine="640" w:firstLineChars="200"/>
              <w:textAlignment w:val="auto"/>
              <w:rPr>
                <w:rFonts w:ascii="仿宋_GB2312" w:hAnsi="仿宋_GB2312" w:eastAsia="仿宋_GB2312" w:cs="Times New Roman"/>
                <w:sz w:val="32"/>
                <w:szCs w:val="32"/>
              </w:rPr>
            </w:pPr>
            <w:r>
              <w:rPr>
                <w:rFonts w:hint="eastAsia" w:ascii="仿宋_GB2312" w:hAnsi="仿宋_GB2312" w:eastAsia="仿宋_GB2312" w:cs="仿宋_GB2312"/>
                <w:sz w:val="32"/>
                <w:szCs w:val="32"/>
              </w:rPr>
              <w:t>本单位</w:t>
            </w: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021</w:t>
            </w:r>
            <w:r>
              <w:rPr>
                <w:rFonts w:hint="eastAsia" w:ascii="仿宋_GB2312" w:hAnsi="仿宋_GB2312" w:eastAsia="仿宋_GB2312" w:cs="仿宋_GB2312"/>
                <w:sz w:val="32"/>
                <w:szCs w:val="32"/>
              </w:rPr>
              <w:t>年度基本支出</w:t>
            </w:r>
            <w:r>
              <w:rPr>
                <w:rFonts w:hint="eastAsia" w:ascii="仿宋_GB2312" w:hAnsi="仿宋_GB2312" w:eastAsia="仿宋_GB2312" w:cs="仿宋_GB2312"/>
                <w:sz w:val="32"/>
                <w:szCs w:val="32"/>
                <w:lang w:val="en-US" w:eastAsia="zh-CN"/>
              </w:rPr>
              <w:t>274.21</w:t>
            </w:r>
            <w:r>
              <w:rPr>
                <w:rFonts w:hint="eastAsia" w:ascii="仿宋_GB2312" w:hAnsi="仿宋_GB2312" w:eastAsia="仿宋_GB2312" w:cs="仿宋_GB2312"/>
                <w:sz w:val="32"/>
                <w:szCs w:val="32"/>
              </w:rPr>
              <w:t>万元，其中：工资福利</w:t>
            </w:r>
            <w:r>
              <w:rPr>
                <w:rFonts w:hint="eastAsia" w:ascii="仿宋_GB2312" w:hAnsi="仿宋_GB2312" w:eastAsia="仿宋_GB2312" w:cs="仿宋_GB2312"/>
                <w:spacing w:val="-20"/>
                <w:sz w:val="32"/>
                <w:szCs w:val="32"/>
              </w:rPr>
              <w:t>支出</w:t>
            </w:r>
            <w:r>
              <w:rPr>
                <w:rFonts w:hint="eastAsia" w:ascii="仿宋_GB2312" w:hAnsi="仿宋_GB2312" w:eastAsia="仿宋_GB2312" w:cs="仿宋_GB2312"/>
                <w:spacing w:val="-20"/>
                <w:sz w:val="32"/>
                <w:szCs w:val="32"/>
                <w:lang w:val="en-US" w:eastAsia="zh-CN"/>
              </w:rPr>
              <w:t>115.05</w:t>
            </w:r>
            <w:r>
              <w:rPr>
                <w:rFonts w:hint="eastAsia" w:ascii="仿宋_GB2312" w:hAnsi="仿宋_GB2312" w:eastAsia="仿宋_GB2312" w:cs="仿宋_GB2312"/>
                <w:spacing w:val="-20"/>
                <w:sz w:val="32"/>
                <w:szCs w:val="32"/>
              </w:rPr>
              <w:t>万元；商品服务支出</w:t>
            </w:r>
            <w:r>
              <w:rPr>
                <w:rFonts w:hint="eastAsia" w:ascii="仿宋_GB2312" w:hAnsi="仿宋_GB2312" w:eastAsia="仿宋_GB2312" w:cs="仿宋_GB2312"/>
                <w:spacing w:val="-20"/>
                <w:sz w:val="32"/>
                <w:szCs w:val="32"/>
                <w:lang w:val="en-US" w:eastAsia="zh-CN"/>
              </w:rPr>
              <w:t>147.03</w:t>
            </w:r>
            <w:r>
              <w:rPr>
                <w:rFonts w:hint="eastAsia" w:ascii="仿宋_GB2312" w:hAnsi="仿宋_GB2312" w:eastAsia="仿宋_GB2312" w:cs="仿宋_GB2312"/>
                <w:spacing w:val="-20"/>
                <w:sz w:val="32"/>
                <w:szCs w:val="32"/>
              </w:rPr>
              <w:t>万元；资本性支出</w:t>
            </w:r>
            <w:r>
              <w:rPr>
                <w:rFonts w:hint="eastAsia" w:ascii="仿宋_GB2312" w:hAnsi="仿宋_GB2312" w:eastAsia="仿宋_GB2312" w:cs="仿宋_GB2312"/>
                <w:spacing w:val="-20"/>
                <w:sz w:val="32"/>
                <w:szCs w:val="32"/>
                <w:lang w:val="en-US" w:eastAsia="zh-CN"/>
              </w:rPr>
              <w:t>12.13</w:t>
            </w:r>
            <w:r>
              <w:rPr>
                <w:rFonts w:hint="eastAsia" w:ascii="仿宋_GB2312" w:hAnsi="仿宋_GB2312" w:eastAsia="仿宋_GB2312" w:cs="仿宋_GB2312"/>
                <w:spacing w:val="-20"/>
                <w:sz w:val="32"/>
                <w:szCs w:val="32"/>
              </w:rPr>
              <w:t>万元。</w:t>
            </w:r>
            <w:r>
              <w:rPr>
                <w:rFonts w:hint="eastAsia" w:ascii="仿宋_GB2312" w:hAnsi="仿宋_GB2312" w:eastAsia="仿宋_GB2312" w:cs="仿宋_GB2312"/>
                <w:sz w:val="32"/>
                <w:szCs w:val="32"/>
              </w:rPr>
              <w:t>其中：“三公”经费公务用车运行维护费</w:t>
            </w:r>
            <w:r>
              <w:rPr>
                <w:rFonts w:hint="eastAsia" w:ascii="仿宋_GB2312" w:hAnsi="仿宋_GB2312" w:eastAsia="仿宋_GB2312" w:cs="仿宋_GB2312"/>
                <w:sz w:val="32"/>
                <w:szCs w:val="32"/>
                <w:lang w:val="en-US" w:eastAsia="zh-CN"/>
              </w:rPr>
              <w:t>3.64</w:t>
            </w:r>
            <w:r>
              <w:rPr>
                <w:rFonts w:hint="eastAsia" w:ascii="仿宋_GB2312" w:hAnsi="仿宋_GB2312" w:eastAsia="仿宋_GB2312" w:cs="仿宋_GB2312"/>
                <w:sz w:val="32"/>
                <w:szCs w:val="32"/>
              </w:rPr>
              <w:t>万元较上年度</w:t>
            </w:r>
            <w:r>
              <w:rPr>
                <w:rFonts w:hint="eastAsia" w:ascii="仿宋_GB2312" w:hAnsi="仿宋_GB2312" w:eastAsia="仿宋_GB2312" w:cs="仿宋_GB2312"/>
                <w:sz w:val="32"/>
                <w:szCs w:val="32"/>
                <w:lang w:val="en-US" w:eastAsia="zh-CN"/>
              </w:rPr>
              <w:t>4.69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22.39</w:t>
            </w:r>
            <w:r>
              <w:rPr>
                <w:rFonts w:hint="eastAsia" w:ascii="宋体" w:hAnsi="宋体" w:eastAsia="宋体" w:cs="宋体"/>
                <w:sz w:val="32"/>
                <w:szCs w:val="32"/>
                <w:lang w:val="en-US" w:eastAsia="zh-CN"/>
              </w:rPr>
              <w:t>％</w:t>
            </w:r>
            <w:r>
              <w:rPr>
                <w:rFonts w:hint="eastAsia" w:ascii="宋体" w:hAnsi="宋体" w:cs="宋体"/>
                <w:sz w:val="32"/>
                <w:szCs w:val="32"/>
                <w:lang w:val="en-US" w:eastAsia="zh-CN"/>
              </w:rPr>
              <w:t>，</w:t>
            </w:r>
            <w:r>
              <w:rPr>
                <w:rFonts w:hint="eastAsia" w:ascii="仿宋_GB2312" w:hAnsi="仿宋_GB2312" w:eastAsia="仿宋_GB2312" w:cs="仿宋_GB2312"/>
                <w:sz w:val="32"/>
                <w:szCs w:val="32"/>
              </w:rPr>
              <w:t>实现了厉行节约的宗旨；公务接待费</w:t>
            </w:r>
            <w:r>
              <w:rPr>
                <w:rFonts w:hint="eastAsia" w:ascii="仿宋_GB2312" w:hAnsi="仿宋_GB2312" w:eastAsia="仿宋_GB2312" w:cs="仿宋_GB2312"/>
                <w:sz w:val="32"/>
                <w:szCs w:val="32"/>
                <w:lang w:val="en-US" w:eastAsia="zh-CN"/>
              </w:rPr>
              <w:t>0.17</w:t>
            </w:r>
            <w:r>
              <w:rPr>
                <w:rFonts w:hint="eastAsia" w:ascii="仿宋_GB2312" w:hAnsi="仿宋_GB2312" w:eastAsia="仿宋_GB2312" w:cs="仿宋_GB2312"/>
                <w:sz w:val="32"/>
                <w:szCs w:val="32"/>
              </w:rPr>
              <w:t>万元较上年度</w:t>
            </w:r>
            <w:r>
              <w:rPr>
                <w:rFonts w:hint="eastAsia" w:ascii="仿宋_GB2312" w:hAnsi="仿宋_GB2312" w:eastAsia="仿宋_GB2312" w:cs="仿宋_GB2312"/>
                <w:sz w:val="32"/>
                <w:szCs w:val="32"/>
                <w:lang w:val="en-US" w:eastAsia="zh-CN"/>
              </w:rPr>
              <w:t>0.13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基本持平</w:t>
            </w:r>
            <w:r>
              <w:rPr>
                <w:rFonts w:hint="eastAsia" w:ascii="仿宋_GB2312" w:hAnsi="仿宋_GB2312" w:eastAsia="仿宋_GB2312" w:cs="仿宋_GB2312"/>
                <w:sz w:val="32"/>
                <w:szCs w:val="32"/>
              </w:rPr>
              <w:t>。</w:t>
            </w:r>
          </w:p>
          <w:p>
            <w:pPr>
              <w:keepNext w:val="0"/>
              <w:keepLines w:val="0"/>
              <w:pageBreakBefore w:val="0"/>
              <w:kinsoku/>
              <w:overflowPunct/>
              <w:topLinePunct w:val="0"/>
              <w:autoSpaceDE/>
              <w:autoSpaceDN/>
              <w:bidi w:val="0"/>
              <w:adjustRightInd/>
              <w:spacing w:line="600" w:lineRule="exact"/>
              <w:ind w:firstLine="560" w:firstLineChars="200"/>
              <w:textAlignment w:val="auto"/>
              <w:rPr>
                <w:rFonts w:hint="eastAsia" w:ascii="黑体" w:hAnsi="黑体" w:eastAsia="黑体" w:cs="黑体"/>
                <w:bCs/>
                <w:sz w:val="28"/>
                <w:szCs w:val="28"/>
              </w:rPr>
            </w:pPr>
            <w:r>
              <w:rPr>
                <w:rFonts w:hint="eastAsia" w:ascii="黑体" w:hAnsi="黑体" w:eastAsia="黑体" w:cs="黑体"/>
                <w:bCs/>
                <w:sz w:val="28"/>
                <w:szCs w:val="28"/>
              </w:rPr>
              <w:t>三、部门（单位）整体支出绩效情况</w:t>
            </w:r>
          </w:p>
          <w:p>
            <w:pPr>
              <w:pStyle w:val="5"/>
              <w:keepNext w:val="0"/>
              <w:keepLines w:val="0"/>
              <w:pageBreakBefore w:val="0"/>
              <w:widowControl/>
              <w:kinsoku/>
              <w:wordWrap w:val="0"/>
              <w:overflowPunct/>
              <w:topLinePunct w:val="0"/>
              <w:autoSpaceDE/>
              <w:autoSpaceDN/>
              <w:bidi w:val="0"/>
              <w:adjustRightInd/>
              <w:snapToGrid w:val="0"/>
              <w:spacing w:before="150" w:after="150" w:line="600" w:lineRule="exact"/>
              <w:ind w:firstLine="560" w:firstLineChars="200"/>
              <w:textAlignment w:val="auto"/>
              <w:rPr>
                <w:rFonts w:ascii="仿宋_GB2312" w:hAnsi="仿宋_GB2312" w:eastAsia="仿宋_GB2312" w:cs="Times New Roman"/>
                <w:sz w:val="32"/>
                <w:szCs w:val="32"/>
              </w:rPr>
            </w:pPr>
            <w:r>
              <w:rPr>
                <w:rFonts w:hint="eastAsia" w:ascii="仿宋_GB2312" w:hAnsi="仿宋_GB2312" w:eastAsia="仿宋_GB2312" w:cs="仿宋_GB2312"/>
                <w:bCs/>
                <w:sz w:val="28"/>
                <w:szCs w:val="28"/>
                <w:lang w:eastAsia="zh-CN"/>
              </w:rPr>
              <w:tab/>
            </w:r>
            <w:r>
              <w:rPr>
                <w:rFonts w:hint="eastAsia" w:ascii="仿宋_GB2312" w:hAnsi="仿宋_GB2312" w:eastAsia="仿宋_GB2312" w:cs="仿宋_GB2312"/>
                <w:sz w:val="32"/>
                <w:szCs w:val="32"/>
              </w:rPr>
              <w:t>财政拨款安排支出主要用于保障单位正常运转、完成日常工作任务及相关工作；基本支出包括工资福利支出、商品和服务支出以及对个人和家庭的补助。用于保障单位正常运转的日常开支，包括基本工资、对个人和家庭补助等人员经费以及办公费、印刷费、邮电费、加班餐费、劳务费、培训费、咨询费等其他局正常运转所需开支。　　</w:t>
            </w:r>
          </w:p>
          <w:p>
            <w:pPr>
              <w:pStyle w:val="5"/>
              <w:keepNext w:val="0"/>
              <w:keepLines w:val="0"/>
              <w:pageBreakBefore w:val="0"/>
              <w:widowControl/>
              <w:kinsoku/>
              <w:wordWrap w:val="0"/>
              <w:overflowPunct/>
              <w:topLinePunct w:val="0"/>
              <w:autoSpaceDE/>
              <w:autoSpaceDN/>
              <w:bidi w:val="0"/>
              <w:adjustRightInd/>
              <w:spacing w:before="150" w:after="150" w:line="600" w:lineRule="exact"/>
              <w:ind w:firstLine="640" w:firstLineChars="200"/>
              <w:textAlignment w:val="auto"/>
              <w:rPr>
                <w:rFonts w:hint="eastAsia" w:ascii="仿宋_GB2312" w:hAnsi="仿宋_GB2312" w:eastAsia="仿宋_GB2312" w:cs="Times New Roman"/>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机关厉行节约</w:t>
            </w:r>
            <w:r>
              <w:rPr>
                <w:rFonts w:hint="eastAsia" w:ascii="仿宋_GB2312" w:hAnsi="仿宋_GB2312" w:eastAsia="仿宋_GB2312" w:cs="仿宋_GB2312"/>
                <w:sz w:val="32"/>
                <w:szCs w:val="32"/>
                <w:lang w:eastAsia="zh-CN"/>
              </w:rPr>
              <w:t>情况</w:t>
            </w:r>
          </w:p>
          <w:p>
            <w:pPr>
              <w:pStyle w:val="5"/>
              <w:keepNext w:val="0"/>
              <w:keepLines w:val="0"/>
              <w:pageBreakBefore w:val="0"/>
              <w:widowControl/>
              <w:kinsoku/>
              <w:wordWrap w:val="0"/>
              <w:overflowPunct/>
              <w:topLinePunct w:val="0"/>
              <w:autoSpaceDE/>
              <w:autoSpaceDN/>
              <w:bidi w:val="0"/>
              <w:adjustRightInd/>
              <w:spacing w:before="150" w:after="150" w:line="600" w:lineRule="exact"/>
              <w:textAlignment w:val="auto"/>
              <w:rPr>
                <w:rFonts w:ascii="仿宋_GB2312" w:hAnsi="仿宋_GB2312" w:eastAsia="仿宋_GB2312" w:cs="Times New Roman"/>
                <w:sz w:val="32"/>
                <w:szCs w:val="32"/>
              </w:rPr>
            </w:pPr>
            <w:r>
              <w:rPr>
                <w:rFonts w:hint="eastAsia" w:ascii="仿宋_GB2312" w:hAnsi="仿宋_GB2312" w:eastAsia="仿宋_GB2312" w:cs="仿宋_GB2312"/>
                <w:sz w:val="32"/>
                <w:szCs w:val="32"/>
              </w:rPr>
              <w:t>　　我局认真贯彻落实财政相关规定，厉行节约，严格控制因公出国（境）费用、会议费、车辆运行费用和公务接待经费，同比</w:t>
            </w:r>
            <w:r>
              <w:rPr>
                <w:rFonts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年，支出减少了</w:t>
            </w:r>
            <w:r>
              <w:rPr>
                <w:rFonts w:hint="eastAsia" w:ascii="仿宋_GB2312" w:hAnsi="仿宋_GB2312" w:eastAsia="仿宋_GB2312" w:cs="仿宋_GB2312"/>
                <w:sz w:val="32"/>
                <w:szCs w:val="32"/>
                <w:lang w:val="en-US" w:eastAsia="zh-CN"/>
              </w:rPr>
              <w:t>22.73</w:t>
            </w:r>
            <w:r>
              <w:rPr>
                <w:rFonts w:hint="eastAsia" w:ascii="仿宋_GB2312" w:hAnsi="仿宋_GB2312" w:eastAsia="仿宋_GB2312" w:cs="仿宋_GB2312"/>
                <w:sz w:val="32"/>
                <w:szCs w:val="32"/>
              </w:rPr>
              <w:t>%。</w:t>
            </w:r>
          </w:p>
          <w:p>
            <w:pPr>
              <w:pStyle w:val="5"/>
              <w:keepNext w:val="0"/>
              <w:keepLines w:val="0"/>
              <w:pageBreakBefore w:val="0"/>
              <w:widowControl/>
              <w:kinsoku/>
              <w:wordWrap w:val="0"/>
              <w:overflowPunct/>
              <w:topLinePunct w:val="0"/>
              <w:autoSpaceDE/>
              <w:autoSpaceDN/>
              <w:bidi w:val="0"/>
              <w:adjustRightInd/>
              <w:spacing w:before="150" w:after="150" w:line="600" w:lineRule="exact"/>
              <w:textAlignment w:val="auto"/>
              <w:rPr>
                <w:rFonts w:ascii="仿宋_GB2312" w:hAnsi="仿宋_GB2312" w:eastAsia="仿宋_GB2312" w:cs="Times New Roman"/>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财务管理情况</w:t>
            </w:r>
          </w:p>
          <w:p>
            <w:pPr>
              <w:pStyle w:val="5"/>
              <w:keepNext w:val="0"/>
              <w:keepLines w:val="0"/>
              <w:pageBreakBefore w:val="0"/>
              <w:widowControl/>
              <w:kinsoku/>
              <w:wordWrap w:val="0"/>
              <w:overflowPunct/>
              <w:topLinePunct w:val="0"/>
              <w:autoSpaceDE/>
              <w:autoSpaceDN/>
              <w:bidi w:val="0"/>
              <w:adjustRightInd/>
              <w:spacing w:before="150" w:after="150" w:line="600" w:lineRule="exact"/>
              <w:textAlignment w:val="auto"/>
              <w:rPr>
                <w:rFonts w:ascii="仿宋_GB2312" w:hAnsi="仿宋_GB2312" w:eastAsia="仿宋_GB2312" w:cs="Times New Roman"/>
                <w:sz w:val="32"/>
                <w:szCs w:val="32"/>
              </w:rPr>
            </w:pPr>
            <w:r>
              <w:rPr>
                <w:rFonts w:hint="eastAsia" w:ascii="仿宋_GB2312" w:hAnsi="仿宋_GB2312" w:eastAsia="仿宋_GB2312" w:cs="仿宋_GB2312"/>
                <w:sz w:val="32"/>
                <w:szCs w:val="32"/>
              </w:rPr>
              <w:t>　　</w:t>
            </w:r>
            <w:r>
              <w:rPr>
                <w:rFonts w:ascii="仿宋_GB2312" w:hAnsi="仿宋_GB2312" w:eastAsia="仿宋_GB2312" w:cs="Times New Roman"/>
                <w:sz w:val="32"/>
                <w:szCs w:val="32"/>
              </w:rPr>
              <w:t> </w:t>
            </w:r>
            <w:r>
              <w:rPr>
                <w:rFonts w:hint="eastAsia" w:ascii="仿宋_GB2312" w:hAnsi="仿宋_GB2312" w:eastAsia="仿宋_GB2312" w:cs="仿宋_GB2312"/>
                <w:sz w:val="32"/>
                <w:szCs w:val="32"/>
              </w:rPr>
              <w:t>我局财务管理制度健全，执行制度严格合规，会计核算符合相关规定，资金专款专用，资金支付依据和开支标准合法合规，严格执行政府采购。</w:t>
            </w:r>
          </w:p>
          <w:p>
            <w:pPr>
              <w:pStyle w:val="5"/>
              <w:keepNext w:val="0"/>
              <w:keepLines w:val="0"/>
              <w:pageBreakBefore w:val="0"/>
              <w:widowControl/>
              <w:kinsoku/>
              <w:wordWrap w:val="0"/>
              <w:overflowPunct/>
              <w:topLinePunct w:val="0"/>
              <w:autoSpaceDE/>
              <w:autoSpaceDN/>
              <w:bidi w:val="0"/>
              <w:adjustRightInd/>
              <w:snapToGrid w:val="0"/>
              <w:spacing w:before="150" w:after="150" w:line="600" w:lineRule="exact"/>
              <w:textAlignment w:val="auto"/>
              <w:rPr>
                <w:rFonts w:ascii="仿宋_GB2312" w:hAnsi="仿宋_GB2312" w:eastAsia="仿宋_GB2312" w:cs="Times New Roman"/>
                <w:sz w:val="32"/>
                <w:szCs w:val="32"/>
              </w:rPr>
            </w:pPr>
            <w:r>
              <w:rPr>
                <w:rFonts w:hint="eastAsia" w:ascii="仿宋_GB2312" w:hAnsi="仿宋_GB2312" w:eastAsia="仿宋_GB2312" w:cs="仿宋_GB2312"/>
                <w:snapToGrid w:val="0"/>
                <w:sz w:val="32"/>
                <w:szCs w:val="32"/>
              </w:rPr>
              <w:t>　　</w:t>
            </w:r>
            <w:r>
              <w:rPr>
                <w:rFonts w:hint="eastAsia" w:ascii="黑体" w:hAnsi="黑体" w:eastAsia="黑体" w:cs="黑体"/>
                <w:snapToGrid w:val="0"/>
                <w:sz w:val="32"/>
                <w:szCs w:val="32"/>
              </w:rPr>
              <w:t>四</w:t>
            </w:r>
            <w:r>
              <w:rPr>
                <w:rFonts w:hint="eastAsia" w:ascii="黑体" w:hAnsi="黑体" w:eastAsia="黑体" w:cs="黑体"/>
                <w:sz w:val="32"/>
                <w:szCs w:val="32"/>
              </w:rPr>
              <w:t>、存在的主要问题及改进措施和有关建议</w:t>
            </w:r>
          </w:p>
          <w:p>
            <w:pPr>
              <w:pStyle w:val="5"/>
              <w:keepNext w:val="0"/>
              <w:keepLines w:val="0"/>
              <w:pageBreakBefore w:val="0"/>
              <w:widowControl/>
              <w:kinsoku/>
              <w:wordWrap w:val="0"/>
              <w:overflowPunct/>
              <w:topLinePunct w:val="0"/>
              <w:autoSpaceDE/>
              <w:autoSpaceDN/>
              <w:bidi w:val="0"/>
              <w:adjustRightInd/>
              <w:spacing w:before="150" w:after="150" w:line="600" w:lineRule="exact"/>
              <w:textAlignment w:val="auto"/>
              <w:rPr>
                <w:rFonts w:ascii="仿宋_GB2312" w:hAnsi="仿宋_GB2312" w:eastAsia="仿宋_GB2312" w:cs="Times New Roman"/>
                <w:sz w:val="32"/>
                <w:szCs w:val="32"/>
              </w:rPr>
            </w:pPr>
            <w:r>
              <w:rPr>
                <w:rFonts w:hint="eastAsia" w:ascii="仿宋_GB2312" w:hAnsi="仿宋_GB2312" w:eastAsia="仿宋_GB2312" w:cs="仿宋_GB2312"/>
                <w:sz w:val="32"/>
                <w:szCs w:val="32"/>
              </w:rPr>
              <w:t>　　我局</w:t>
            </w: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年部门支出与年初预算基本一致，达到预期绩效目标。但预算编制还需进一笔细化，针对我局预算存在的问题，提出以下建议：</w:t>
            </w:r>
          </w:p>
          <w:p>
            <w:pPr>
              <w:pStyle w:val="5"/>
              <w:keepNext w:val="0"/>
              <w:keepLines w:val="0"/>
              <w:pageBreakBefore w:val="0"/>
              <w:widowControl/>
              <w:kinsoku/>
              <w:wordWrap w:val="0"/>
              <w:overflowPunct/>
              <w:topLinePunct w:val="0"/>
              <w:autoSpaceDE/>
              <w:autoSpaceDN/>
              <w:bidi w:val="0"/>
              <w:adjustRightInd/>
              <w:spacing w:before="150" w:after="150" w:line="600" w:lineRule="exact"/>
              <w:textAlignment w:val="auto"/>
              <w:rPr>
                <w:rFonts w:ascii="仿宋_GB2312" w:hAnsi="仿宋_GB2312" w:eastAsia="仿宋_GB2312" w:cs="Times New Roman"/>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严格编制政府采购年初预算和计划，遵循现有预算、后又支出的原则，加强财务管理和内部控制监督制度。严禁超预算和无预算安排支出，严格开支范围和标准，严格支出报销审核，不报销任何超范围、超标准的范围。</w:t>
            </w:r>
          </w:p>
          <w:p>
            <w:pPr>
              <w:pStyle w:val="5"/>
              <w:keepNext w:val="0"/>
              <w:keepLines w:val="0"/>
              <w:pageBreakBefore w:val="0"/>
              <w:widowControl/>
              <w:kinsoku/>
              <w:wordWrap w:val="0"/>
              <w:overflowPunct/>
              <w:topLinePunct w:val="0"/>
              <w:autoSpaceDE/>
              <w:autoSpaceDN/>
              <w:bidi w:val="0"/>
              <w:adjustRightInd/>
              <w:spacing w:before="150" w:after="150" w:line="600" w:lineRule="exact"/>
              <w:textAlignment w:val="auto"/>
              <w:rPr>
                <w:rFonts w:ascii="仿宋_GB2312" w:hAnsi="仿宋_GB2312" w:eastAsia="仿宋_GB2312" w:cs="Times New Roman"/>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、严格控制</w:t>
            </w:r>
            <w:r>
              <w:rPr>
                <w:rFonts w:ascii="仿宋_GB2312" w:hAnsi="仿宋_GB2312" w:eastAsia="仿宋_GB2312" w:cs="Times New Roman"/>
                <w:sz w:val="32"/>
                <w:szCs w:val="32"/>
              </w:rPr>
              <w:t>“</w:t>
            </w:r>
            <w:r>
              <w:rPr>
                <w:rFonts w:hint="eastAsia" w:ascii="仿宋_GB2312" w:hAnsi="仿宋_GB2312" w:eastAsia="仿宋_GB2312" w:cs="仿宋_GB2312"/>
                <w:sz w:val="32"/>
                <w:szCs w:val="32"/>
              </w:rPr>
              <w:t>三公</w:t>
            </w:r>
            <w:r>
              <w:rPr>
                <w:rFonts w:ascii="仿宋_GB2312" w:hAnsi="仿宋_GB2312" w:eastAsia="仿宋_GB2312" w:cs="Times New Roman"/>
                <w:sz w:val="32"/>
                <w:szCs w:val="32"/>
              </w:rPr>
              <w:t>”</w:t>
            </w:r>
            <w:r>
              <w:rPr>
                <w:rFonts w:hint="eastAsia" w:ascii="仿宋_GB2312" w:hAnsi="仿宋_GB2312" w:eastAsia="仿宋_GB2312" w:cs="仿宋_GB2312"/>
                <w:sz w:val="32"/>
                <w:szCs w:val="32"/>
              </w:rPr>
              <w:t>经费的规模和比例，认真贯彻落实中央，市委市政府和财政部门相关规定，严格“三公”经费支出的审核和审批。杜绝挪用和挤占其他预算资金行为；进一步细化</w:t>
            </w:r>
            <w:r>
              <w:rPr>
                <w:rFonts w:ascii="仿宋_GB2312" w:hAnsi="仿宋_GB2312" w:eastAsia="仿宋_GB2312" w:cs="Times New Roman"/>
                <w:sz w:val="32"/>
                <w:szCs w:val="32"/>
              </w:rPr>
              <w:t>“</w:t>
            </w:r>
            <w:r>
              <w:rPr>
                <w:rFonts w:hint="eastAsia" w:ascii="仿宋_GB2312" w:hAnsi="仿宋_GB2312" w:eastAsia="仿宋_GB2312" w:cs="仿宋_GB2312"/>
                <w:sz w:val="32"/>
                <w:szCs w:val="32"/>
              </w:rPr>
              <w:t>三公</w:t>
            </w:r>
            <w:r>
              <w:rPr>
                <w:rFonts w:ascii="仿宋_GB2312" w:hAnsi="仿宋_GB2312" w:eastAsia="仿宋_GB2312" w:cs="Times New Roman"/>
                <w:sz w:val="32"/>
                <w:szCs w:val="32"/>
              </w:rPr>
              <w:t>”</w:t>
            </w:r>
            <w:r>
              <w:rPr>
                <w:rFonts w:hint="eastAsia" w:ascii="仿宋_GB2312" w:hAnsi="仿宋_GB2312" w:eastAsia="仿宋_GB2312" w:cs="仿宋_GB2312"/>
                <w:sz w:val="32"/>
                <w:szCs w:val="32"/>
              </w:rPr>
              <w:t>经费的管理，合理压缩</w:t>
            </w:r>
            <w:r>
              <w:rPr>
                <w:rFonts w:ascii="仿宋_GB2312" w:hAnsi="仿宋_GB2312" w:eastAsia="仿宋_GB2312" w:cs="Times New Roman"/>
                <w:sz w:val="32"/>
                <w:szCs w:val="32"/>
              </w:rPr>
              <w:t>“</w:t>
            </w:r>
            <w:r>
              <w:rPr>
                <w:rFonts w:hint="eastAsia" w:ascii="仿宋_GB2312" w:hAnsi="仿宋_GB2312" w:eastAsia="仿宋_GB2312" w:cs="仿宋_GB2312"/>
                <w:sz w:val="32"/>
                <w:szCs w:val="32"/>
              </w:rPr>
              <w:t>三公</w:t>
            </w:r>
            <w:r>
              <w:rPr>
                <w:rFonts w:ascii="仿宋_GB2312" w:hAnsi="仿宋_GB2312" w:eastAsia="仿宋_GB2312" w:cs="Times New Roman"/>
                <w:sz w:val="32"/>
                <w:szCs w:val="32"/>
              </w:rPr>
              <w:t>”</w:t>
            </w:r>
            <w:r>
              <w:rPr>
                <w:rFonts w:hint="eastAsia" w:ascii="仿宋_GB2312" w:hAnsi="仿宋_GB2312" w:eastAsia="仿宋_GB2312" w:cs="仿宋_GB2312"/>
                <w:sz w:val="32"/>
                <w:szCs w:val="32"/>
              </w:rPr>
              <w:t>经费支出。</w:t>
            </w:r>
          </w:p>
          <w:p>
            <w:pPr>
              <w:keepNext w:val="0"/>
              <w:keepLines w:val="0"/>
              <w:pageBreakBefore w:val="0"/>
              <w:tabs>
                <w:tab w:val="left" w:pos="734"/>
              </w:tabs>
              <w:kinsoku/>
              <w:overflowPunct/>
              <w:topLinePunct w:val="0"/>
              <w:autoSpaceDE/>
              <w:autoSpaceDN/>
              <w:bidi w:val="0"/>
              <w:adjustRightInd/>
              <w:spacing w:line="600" w:lineRule="exact"/>
              <w:ind w:firstLine="560" w:firstLineChars="200"/>
              <w:textAlignment w:val="auto"/>
              <w:rPr>
                <w:rFonts w:hint="eastAsia" w:ascii="仿宋_GB2312" w:hAnsi="仿宋_GB2312" w:eastAsia="仿宋_GB2312" w:cs="仿宋_GB2312"/>
                <w:bCs/>
                <w:sz w:val="28"/>
                <w:szCs w:val="28"/>
                <w:lang w:eastAsia="zh-CN"/>
              </w:rPr>
            </w:pPr>
          </w:p>
          <w:p>
            <w:pPr>
              <w:rPr>
                <w:rFonts w:eastAsia="楷体_GB2312"/>
                <w:bCs/>
                <w:sz w:val="28"/>
                <w:szCs w:val="2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hYWI1NDJiNTZlMWRjNTIyMDVlMjRjYWQwZTQyZTQifQ=="/>
  </w:docVars>
  <w:rsids>
    <w:rsidRoot w:val="46523D86"/>
    <w:rsid w:val="46523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oc 5"/>
    <w:basedOn w:val="1"/>
    <w:next w:val="1"/>
    <w:qFormat/>
    <w:uiPriority w:val="0"/>
    <w:pPr>
      <w:ind w:left="1680" w:leftChars="8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spacing w:line="432" w:lineRule="auto"/>
      <w:jc w:val="left"/>
    </w:pPr>
    <w:rPr>
      <w:rFonts w:ascii="Calibri" w:hAnsi="Calibri" w:cs="Calibri"/>
      <w:kern w:val="0"/>
      <w:sz w:val="24"/>
      <w:szCs w:val="24"/>
    </w:rPr>
  </w:style>
  <w:style w:type="character" w:customStyle="1" w:styleId="8">
    <w:name w:val="15"/>
    <w:basedOn w:val="7"/>
    <w:qFormat/>
    <w:uiPriority w:val="0"/>
    <w:rPr>
      <w:rFonts w:hint="default" w:ascii="Times New Roman" w:hAnsi="Times New Roman" w:eastAsia="楷体_GB2312" w:cs="楷体_GB2312"/>
      <w:sz w:val="28"/>
      <w:szCs w:val="28"/>
    </w:rPr>
  </w:style>
  <w:style w:type="paragraph" w:customStyle="1" w:styleId="9">
    <w:name w:val="Body text|1"/>
    <w:basedOn w:val="1"/>
    <w:qFormat/>
    <w:uiPriority w:val="0"/>
    <w:pPr>
      <w:widowControl w:val="0"/>
      <w:shd w:val="clear" w:color="auto" w:fill="auto"/>
      <w:spacing w:line="379"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2022-09-26T04:36:00Z</dcterms:created>
  <dc:creator>廖小玲</dc:creator>
  <cp:lastModifiedBy>廖小玲</cp:lastModifiedBy>
  <dcterms:modified xsi:type="dcterms:W3CDTF">2022-09-26T04:39:18Z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D1BBA12F20564834B2FFFB683B15E487</vt:lpwstr>
  </property>
</Properties>
</file>