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2021年度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岳阳市纪委监委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部门决算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目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第一部分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  岳阳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市纪委监委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单位概况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一、部门职责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二、机构设置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及决算单位构成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第二部分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2021年度部门决算表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二、收入决算表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四、财政拨款收入支出决算总表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五、一般公共预算财政拨款支出决算表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六、一般公共预算财政拨款基本支出决算明细表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七、一般公共预算财政拨款“三公”经费支出决算表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八、政府性基金预算财政拨款收入支出决算表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九、国有资本经营预算财政拨款支出决算表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第三部分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2021年度部门决算情况说明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七、一般公共预算财政拨款“三公”经费支出决算情况说明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八、政府性基金预算收入支出决算情况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九、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国有资本经营预算财政拨款支出决算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十二、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政府采购支出说明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十三、国有资产占用情况说明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2021年度预算绩效情况说明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第四部分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名词解释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第五部分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rPr>
          <w:rFonts w:hint="eastAsia"/>
          <w:sz w:val="48"/>
          <w:szCs w:val="48"/>
        </w:rPr>
      </w:pPr>
    </w:p>
    <w:p>
      <w:pPr>
        <w:pStyle w:val="2"/>
        <w:bidi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第一部分 </w:t>
      </w:r>
    </w:p>
    <w:p>
      <w:pPr>
        <w:pStyle w:val="2"/>
        <w:bidi w:val="0"/>
        <w:rPr>
          <w:rFonts w:hint="eastAsia"/>
          <w:sz w:val="48"/>
          <w:szCs w:val="48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岳阳市纪委监委</w:t>
      </w:r>
      <w:r>
        <w:rPr>
          <w:rFonts w:hint="eastAsia"/>
        </w:rPr>
        <w:t>概况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部门职责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岳阳市纪律检查委员会（简称市纪委）与岳阳市监察委员会（简称市监委）合署办公，在省纪委省监委和市委的双重领导下进行工作，履行党的纪律检查和国家监察两项职责，实行一套工作机构、两个机关名称，共同设立内设机构。</w:t>
      </w:r>
    </w:p>
    <w:p>
      <w:pPr>
        <w:keepNext/>
        <w:keepLines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中国共产党章程》规定，党的各级纪律检查委员会是党内监督专责机关，主要任务是：维护党的章程和其他党内法规，检查党的路线、方针、政策和决议的执行情况，协助党的委员会推进全面从严治党、加强党风建设和组织协调反腐败工作。</w:t>
      </w:r>
    </w:p>
    <w:p>
      <w:pPr>
        <w:keepNext/>
        <w:keepLines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中华人民共和国监察法》规定，各级监察委员会是行使国家监察职能的专责机关，依照本法对所有行使公权力的公职人员进行监察，调查职务违法和职务犯罪，开展廉政建设和反腐败工作，维护宪法和法律的尊严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二、机构设置及决算单位构成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（一）内设机构设置。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市纪委监委机关设置19个副处级内设机构和2个正科级内设机构。19个副处级机构：综合部门4个，即办公室、组织部、宣传部、调研法规室；监督执纪部门15个，即党风政风监督室、信访室、案件监督管理室、第一至第十纪检监察室、案件审理室、纪检监察干部监督室。2个正科级内设机构：信息技术保障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室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、财务科。市纪委监委机关下设正科级事业单位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案件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管理中心。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机关党委、机关纪委按章程设置，机关工会、离退休人员管理服务科按相关规定设置。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市委巡察工作领导小组办公室是市委工作部门，由市纪委代管。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市纪委监委设置26个派驻纪检监察组：驻市委办公室纪检监察组、驻市委组织部纪检监察组、驻市委宣传部纪检监察组、驻市委政法委员会纪检监察组、驻市委统战部纪检监察组、驻市人大常委会机关纪检监察组、驻市人民政府办公室纪检监察组、驻市政协机关纪检监察组、驻市发展和改革委员会纪检监察组、驻市农业农村局纪检监察组、驻市工业和信息化局纪检监察组、驻市交通运输局纪检监察组、驻市住房和城乡建设局纪检监察组、驻市城市管理和综合执法局纪检监察组、驻市民政局纪检监察组、驻市卫生健康委员会纪检监察组、驻市财政局纪检监察组、驻市市场监督管理局纪检监察组、驻市自然资源和规划局纪检监察组、驻市水利局纪检监察组、驻市人民政府国有资产监督管理委员会纪检监察组、驻市人力资源和社会保障局纪检监察组、驻市教育体育局纪检监察组、驻市公安局纪检监察组、驻市人民检察院纪检监察组、驻市中级人民法院纪检监察组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决算单位构成。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市纪委监委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2021年部门决算汇总公开单位构成包括：市纪委监委机关、市委巡察办、派驻纪检监察组、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案件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管理中心。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pStyle w:val="2"/>
        <w:bidi w:val="0"/>
        <w:rPr>
          <w:rFonts w:hint="eastAsia"/>
          <w:sz w:val="48"/>
          <w:szCs w:val="48"/>
        </w:rPr>
      </w:pPr>
    </w:p>
    <w:p>
      <w:pPr>
        <w:pStyle w:val="2"/>
        <w:bidi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第二部分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部门决算表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（见附件）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1871" w:right="1474" w:bottom="1587" w:left="1587" w:header="851" w:footer="992" w:gutter="0"/>
          <w:cols w:space="0" w:num="1"/>
          <w:rtlGutter w:val="0"/>
          <w:docGrid w:type="linesAndChars" w:linePitch="312" w:charSpace="121"/>
        </w:sectPr>
      </w:pP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bidi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第三部分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2021年度部门决算情况说明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（由于决算编制时金额明细到了“分”，而公开表格显示和公开文档取数只到了“万元”，可能导致0.01的尾数差异。）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一、收入支出决算总体情况说明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2021年度收、支总计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8434.48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万元。与上年相比，减少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166.29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1.93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%，主要是因为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综合绩效奖金下拨金额减少。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二、收入决算情况说明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2021年度收入合计7969.95万元，其中：财政拨款收入7594.8万元，占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95.29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%；其他收入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375.15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4.71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三、支出决算情况说明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2021年度支出合计8183.32万元，其中：基本支出3360.28万元，占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41.06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%；项目支出4823.04万元，占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58.94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四、财政拨款收入支出决算总体情况说明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2021年度财政拨款收、支总计7904.67万元，与上年相比，减少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616.1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万元,减少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%，主要是因为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综合绩效奖金下拨金额减少。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五、一般公共预算财政拨款支出决算情况说明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（一）财政拨款支出决算总体情况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2021年度财政拨款支出7902.97万元，占本年支出合计的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96.57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%，与上年相比，财政拨款支出减少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199.06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2.46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%，主要是因为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综合绩效奖金下拨金额减少。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（二）财政拨款支出决算结构情况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2021年度财政拨款支出7902.97万元，主要用于以下方面：一般公共服务（类）支出7465.69万元，占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94.47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%；社会保障和就业支出支出309.89万元，占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3.92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%；卫生健康支出127.38万元，占1.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（三）财政拨款支出决算具体情况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2021年度财政拨款支出年初预算数为4705.71万元，支出决算数为7902.97万元，完成年初预算的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167.94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%，其中：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1、一般公共服务支出（类）纪检监察事务（款）行政运行（项）。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年初预算为2255.39 万元，支出决算为3209.81万元，完成年初预算的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142.32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%，决算数大于年初预算数的主要原因是：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主要是案件管理中心的运转费用增加。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2、一般公共服务支出（类）纪检监察事务（款）一般行政管理事务（项）。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年初预算为1739.70 万元，支出决算为4255.73万元，完成年初预算的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244.62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%，决算数大于年初预算数的主要原因是：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我委案件管理中心的运转费用未纳入年初预算，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2021年市财政追加2500万元办案经费，主要用于案件管理中心的运转。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、一般公共服务支出（类）宣传事务（款）其他宣传事务支出（项）。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年初预算为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支付市文明城市迎检工作个人嘉奖。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、社会保障和就业支出（类）行政事业单位养老支出（款）行政单位离退休（项）。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万元，完成年初预算的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%，决算数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一致。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、社会保障和就业支出（类）行政事业单位养老支出（款）机关事业单位基本养老保险缴费支出（项）。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275.28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275.28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万元，完成年初预算的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%，决算数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一致。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、社会保障和就业支出（类）行政事业单位养老支出（款）其他行政事业单位养老支出（项）。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年初预算为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支付离休干部物业补贴。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、社会保障和就业支出（类）残疾人事业（款）其他残疾人事业支出（项）。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22.46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22.46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万元，完成年初预算的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%，决算数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一致。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、社会保障和就业支出（类）抚恤（款）其他优抚支出（项）。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年初预算为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1.62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支出离休干部遗属生活补助款。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、卫生健康支出（类）行政事业单位医疗（款）行政单位医疗（项）。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127.38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127.38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万元，完成年初预算的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%，决算数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年初预算数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一致。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六、一般公共预算财政拨款基本支出决算情况说明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2021年度财政拨款基本支出3360.2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万元，其中：人员经费3092.18万元，占基本支出的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92.02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%,主要包括主要包括基本工资、津贴补贴、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；公用经费268.10万元，占基本支出的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7.98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主要包括办公费、印刷费、咨询费、手续费、水费、电费、邮电费、物业管理费、差旅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七、一般公共预算财政拨款“三公”经费支出决算情况说明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（一）“三公”经费财政拨款支出决算总体情况说明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2021年度“三公”经费财政拨款支出预算为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91.48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万元，完成预算的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94.31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%，其中：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因公出国（境）费支出预算为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由于预算数为0，无法计算完成百分比，主要原因为本年未安排因公出国（境）；与上年相比无变化，主要原因是未安排外事出访活动。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公务接待费支出预算为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万元，完成预算的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96.35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%，决算数小于预算数的主要原因是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我委严格执行财政预算，以严控公务接待费。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与上年相比减少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6.59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%,减少的主要原因是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响应中央过紧日子号召，厉行节约。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公务用车购置费支出预算为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万元，决算数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，主要原因为本年未购置公务用车；与上年相比无变化，主要原因为两年均未购置公务用车。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公务用车运行维护费支出预算为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75.09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万元，完成预算的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93.86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%，决算数小于预算数的主要原因是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我委严格执行财政预算，以严控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与上年相比减少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%,减少的主要原因是压缩公务用车运行费。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（二）“三公”经费财政拨款支出决算具体情况说明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2021年度“三公”经费财政拨款支出决算中，公务接待费支出决算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17.92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%,因公出国（境）费支出决算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%,公务用车购置费及运行维护费支出决算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75.09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82.08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%。其中：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1、因公出国（境）费支出决算为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万元，全年安排因公出国（境）团组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个，累计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2、公务接待费支出决算为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16.38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万元，全年共接待来访团组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290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个、来宾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1170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人次，主要是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因上级纪委及兄弟市州纪委来岳协助调查、调研督导等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发生的接待支出。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3、公务用车购置费及运行维护费支出决算为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75.09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万元，其中：公务用车购置费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市纪委监委未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更新公务用车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75.09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万元，主要是车辆维修费、保险费、油料费等支出，截止2021年12月31日，我单位开支财政拨款的公务用车保有量为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八、政府性基金预算收入支出决算情况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本单位无政府性基金收支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九、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国有资本经营预算财政拨款支出决算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情况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本单位无国有资本经营预算财政拨款支出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十、机关运行经费支出说明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本部门2021年度机关运行经费支出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268.1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万元，比上年决算数减少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303.5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万元，降低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53.1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%。主要原因是：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我委厉行节约，压缩一般公共性支出，减少办公费、印刷费、劳务费及公务用车运行维护费等费用。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highlight w:val="none"/>
        </w:rPr>
        <w:t>十一、一般性支出情况说明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2021年本部门开支会议费5.51万元，用于召开全市纪委全会、专项工作会议，其中全市纪委全会开支3.61万元，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人数为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200人，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专项工作会议及其他会议1.9万元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，人数为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65人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；开支培训费2.88万元，用于开展机关干部培训及全市纪检监察系统干部培训等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，人数为243人。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本单位2021年未举办节庆、晚会、论坛、赛事等活动。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十二、政府采购支出说明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本部门2021年度政府采购支出总额544.94万元，其中：政府采购货物支出544.94 万元、政府采购工程支出0万元、政府采购服务支出0万元。授予中小企业合同金额544.94万元，占政府采购支出总额的100%，其中：授予小微企业合同金额0万元，占授予中小企业合同金额的0%；货物采购授予中小企业合同金额占货物支出金额的100%，工程采购授予中小企业合同金额占工程支出金额的0%，服务采购授予中小企业合同金额占服务支出金额的0%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十三、国有资产占用情况说明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至2021年12月31日，本单位共有车辆14辆，其中，机要通信用车1辆、应急保障用车1辆、执法执勤用车11辆、特种专业技术用车1辆；单位价值50万元以上通用设备0台（套）；单位价值100万元以上专用设备0台（套）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十四、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2021年度预算绩效情况说明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）绩效管理评价工作开展情况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根据预算绩效管理要求，我部门组织对2021年度一般公共预算项目支出全面开展绩效自评，共涉及资金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4542.68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万元，占一般公共预算项目支出总额的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57.48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</w:rPr>
        <w:t>）部门评价项目绩效评价结果。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岳阳市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纪委监委办案经费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项目绩效自评综述: 根据年初设定的绩效目标，项目绩效自评得分为9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分。项目全年预算数为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1081.7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万元，执行数为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1081.7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万元，完成预算的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岳阳市纪委监委派驻机构工作经费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绩效自评综述: 根据年初设定的绩效目标，项目绩效自评得分为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分。项目全年预算数为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93.6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万元，执行数为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93.6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万元，完成预算的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市委巡视巡察经费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绩效自评综述:根据年初设定的绩效目标，项目绩效自评得分为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分。项目全年预算数为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238.4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万元，执行数为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238.4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万元，完成预算的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%。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绩效自评报告见附件。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bidi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第四部分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名词解释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一、“三公”经费：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二、机关运行经费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bidi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第五部分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一、2021年部门决算公开表格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2021年度部门整体支出绩效评价报告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sectPr>
      <w:pgSz w:w="11906" w:h="16838"/>
      <w:pgMar w:top="1814" w:right="1587" w:bottom="1814" w:left="1587" w:header="851" w:footer="992" w:gutter="0"/>
      <w:cols w:space="0" w:num="1"/>
      <w:rtlGutter w:val="0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F40D2"/>
    <w:multiLevelType w:val="singleLevel"/>
    <w:tmpl w:val="FC5F40D2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NGMyNDg3NTg5YTk0MDZiY2MwNjNjOTM1NWFmNWE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38A57EF"/>
    <w:rsid w:val="054631B6"/>
    <w:rsid w:val="05633A58"/>
    <w:rsid w:val="06B411F0"/>
    <w:rsid w:val="087403E0"/>
    <w:rsid w:val="09F7484F"/>
    <w:rsid w:val="0BE56081"/>
    <w:rsid w:val="1143137F"/>
    <w:rsid w:val="13BE003E"/>
    <w:rsid w:val="17A87124"/>
    <w:rsid w:val="1B807E31"/>
    <w:rsid w:val="20EE1D00"/>
    <w:rsid w:val="22ED1171"/>
    <w:rsid w:val="27DB542D"/>
    <w:rsid w:val="284A3880"/>
    <w:rsid w:val="31134F3F"/>
    <w:rsid w:val="31B46724"/>
    <w:rsid w:val="340C2015"/>
    <w:rsid w:val="366364DD"/>
    <w:rsid w:val="370B6762"/>
    <w:rsid w:val="39B315E9"/>
    <w:rsid w:val="45B37349"/>
    <w:rsid w:val="45D44615"/>
    <w:rsid w:val="45F9639D"/>
    <w:rsid w:val="48ED43E7"/>
    <w:rsid w:val="52690CD3"/>
    <w:rsid w:val="59645FD5"/>
    <w:rsid w:val="5C140B1B"/>
    <w:rsid w:val="60A907EA"/>
    <w:rsid w:val="6145544E"/>
    <w:rsid w:val="6CCA0068"/>
    <w:rsid w:val="6D7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 w:cs="黑体"/>
      <w:b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楷体_GBK" w:cs="宋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8989</Words>
  <Characters>9602</Characters>
  <Lines>69</Lines>
  <Paragraphs>19</Paragraphs>
  <TotalTime>0</TotalTime>
  <ScaleCrop>false</ScaleCrop>
  <LinksUpToDate>false</LinksUpToDate>
  <CharactersWithSpaces>9621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Ys</cp:lastModifiedBy>
  <cp:lastPrinted>2022-09-30T07:46:00Z</cp:lastPrinted>
  <dcterms:modified xsi:type="dcterms:W3CDTF">2023-09-26T02:55:05Z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BB4DFCACFC2A47A6A99ED31261F39540</vt:lpwstr>
  </property>
</Properties>
</file>