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ind w:left="1680" w:hanging="1680" w:hangingChars="200"/>
        <w:jc w:val="both"/>
        <w:rPr>
          <w:sz w:val="84"/>
          <w:szCs w:val="84"/>
        </w:rPr>
      </w:pPr>
      <w:r>
        <w:rPr>
          <w:rFonts w:hint="eastAsia"/>
          <w:sz w:val="84"/>
          <w:szCs w:val="84"/>
        </w:rPr>
        <w:t>2021年度</w:t>
      </w:r>
      <w:r>
        <w:rPr>
          <w:rFonts w:hint="eastAsia"/>
          <w:sz w:val="84"/>
          <w:szCs w:val="84"/>
          <w:lang w:val="zh-CN"/>
        </w:rPr>
        <w:t>岳阳市农业综合</w:t>
      </w:r>
      <w:r>
        <w:rPr>
          <w:rFonts w:hint="eastAsia"/>
          <w:sz w:val="84"/>
          <w:szCs w:val="84"/>
          <w:lang w:val="zh-CN" w:eastAsia="zh-CN"/>
        </w:rPr>
        <w:t>检验检测中心</w:t>
      </w:r>
      <w:r>
        <w:rPr>
          <w:rFonts w:hint="eastAsia"/>
          <w:sz w:val="84"/>
          <w:szCs w:val="84"/>
        </w:rPr>
        <w:t>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40" w:lineRule="exact"/>
        <w:jc w:val="center"/>
        <w:rPr>
          <w:sz w:val="56"/>
          <w:szCs w:val="56"/>
        </w:rPr>
      </w:pPr>
    </w:p>
    <w:p>
      <w:pPr>
        <w:pStyle w:val="11"/>
        <w:spacing w:line="500" w:lineRule="exact"/>
        <w:jc w:val="center"/>
        <w:rPr>
          <w:b/>
          <w:sz w:val="36"/>
          <w:szCs w:val="28"/>
        </w:rPr>
      </w:pPr>
    </w:p>
    <w:p>
      <w:pPr>
        <w:pStyle w:val="11"/>
        <w:spacing w:line="500" w:lineRule="exact"/>
        <w:jc w:val="center"/>
        <w:rPr>
          <w:b/>
          <w:sz w:val="36"/>
          <w:szCs w:val="28"/>
        </w:rPr>
      </w:pPr>
    </w:p>
    <w:p>
      <w:pPr>
        <w:pStyle w:val="11"/>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w:t>
      </w:r>
      <w:r>
        <w:rPr>
          <w:rFonts w:hint="eastAsia"/>
          <w:b/>
          <w:sz w:val="36"/>
          <w:szCs w:val="28"/>
          <w:lang w:val="en-US" w:eastAsia="zh-CN"/>
        </w:rPr>
        <w:t xml:space="preserve"> </w:t>
      </w:r>
      <w:r>
        <w:rPr>
          <w:rFonts w:hint="eastAsia"/>
          <w:b/>
          <w:sz w:val="36"/>
          <w:szCs w:val="28"/>
        </w:rPr>
        <w:t>录</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w:t>
      </w:r>
      <w:r>
        <w:rPr>
          <w:rFonts w:hint="eastAsia"/>
          <w:b/>
          <w:sz w:val="28"/>
          <w:szCs w:val="28"/>
          <w:lang w:eastAsia="zh-CN"/>
        </w:rPr>
        <w:t>岳阳市农业综合检验检测中心</w:t>
      </w:r>
      <w:r>
        <w:rPr>
          <w:rFonts w:hint="eastAsia"/>
          <w:b/>
          <w:sz w:val="28"/>
          <w:szCs w:val="28"/>
        </w:rPr>
        <w:t>概况</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w:t>
      </w:r>
      <w:r>
        <w:rPr>
          <w:rFonts w:hint="eastAsia" w:cs="仿宋_GB2312" w:asciiTheme="minorEastAsia" w:hAnsiTheme="minorEastAsia" w:eastAsiaTheme="minorEastAsia"/>
          <w:sz w:val="28"/>
          <w:szCs w:val="28"/>
        </w:rPr>
        <w:t>机构设置及决算单位构成</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1"/>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r>
        <w:rPr>
          <w:sz w:val="84"/>
          <w:szCs w:val="84"/>
        </w:rPr>
        <w:t xml:space="preserve"> </w:t>
      </w:r>
    </w:p>
    <w:p>
      <w:pPr>
        <w:pStyle w:val="11"/>
        <w:jc w:val="center"/>
        <w:rPr>
          <w:sz w:val="84"/>
          <w:szCs w:val="84"/>
        </w:rPr>
      </w:pPr>
    </w:p>
    <w:p>
      <w:pPr>
        <w:pStyle w:val="11"/>
        <w:jc w:val="center"/>
        <w:rPr>
          <w:sz w:val="84"/>
          <w:szCs w:val="84"/>
        </w:rPr>
      </w:pPr>
      <w:r>
        <w:rPr>
          <w:rFonts w:hint="eastAsia"/>
          <w:sz w:val="84"/>
          <w:szCs w:val="84"/>
          <w:lang w:eastAsia="zh-CN"/>
        </w:rPr>
        <w:t>岳阳市农业综合检验检测中心</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ind w:left="0" w:leftChars="0" w:firstLine="0" w:firstLineChars="0"/>
        <w:jc w:val="left"/>
        <w:rPr>
          <w:rFonts w:ascii="黑体" w:hAnsi="黑体" w:eastAsia="黑体"/>
          <w:sz w:val="32"/>
          <w:szCs w:val="32"/>
        </w:rPr>
      </w:pPr>
    </w:p>
    <w:p>
      <w:pPr>
        <w:pStyle w:val="12"/>
        <w:ind w:left="0" w:leftChars="0" w:firstLine="0" w:firstLineChars="0"/>
        <w:jc w:val="left"/>
        <w:rPr>
          <w:rFonts w:ascii="黑体" w:hAnsi="黑体" w:eastAsia="黑体"/>
          <w:sz w:val="32"/>
          <w:szCs w:val="32"/>
        </w:rPr>
      </w:pP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一、部门职责</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负责全市农产品产地认定，农业生态环境质量安全检验检测，并提供专业技术指导与服务；承担农业环境质量标准的信息搜集、整理分析及审查工作；承担全市农产品生产、仓储、运输环节质量安全风险监测、鉴定和评价；承担农产品质量安全的例行监测及监督抽查。</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二、机构设置及决算单位构成</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(一)内设机构设置。</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岳阳市农业综合检验检测中心单位内设机构包括：综合科、种植业产品检验检测科、畜禽产品检验检测科、水产品检验检测科。</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（二）决算单位构成。</w:t>
      </w:r>
    </w:p>
    <w:p>
      <w:pPr>
        <w:spacing w:beforeLines="0" w:afterLines="0" w:line="500" w:lineRule="exact"/>
        <w:ind w:firstLine="640" w:firstLineChars="200"/>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lang w:eastAsia="zh-CN"/>
        </w:rPr>
        <w:t>岳阳市农业综合检验检测中心2020年为农业农村局机关一级预算单位，部门决算报表公开不含下属单位。</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widowControl w:val="0"/>
        <w:spacing w:beforeLines="0" w:afterLines="0" w:line="500" w:lineRule="exact"/>
        <w:ind w:firstLine="640" w:firstLineChars="200"/>
        <w:jc w:val="left"/>
        <w:rPr>
          <w:rFonts w:hint="default" w:ascii="宋体" w:hAnsi="宋体" w:eastAsia="宋体"/>
          <w:sz w:val="32"/>
          <w:szCs w:val="24"/>
          <w:lang w:val="en-US" w:eastAsia="zh-CN"/>
        </w:rPr>
      </w:pPr>
    </w:p>
    <w:p>
      <w:pPr>
        <w:jc w:val="center"/>
        <w:rPr>
          <w:rFonts w:ascii="黑体" w:hAnsi="黑体" w:eastAsia="黑体"/>
          <w:sz w:val="28"/>
          <w:szCs w:val="28"/>
        </w:rPr>
      </w:pPr>
    </w:p>
    <w:p>
      <w:pPr>
        <w:jc w:val="both"/>
        <w:rPr>
          <w:sz w:val="72"/>
          <w:szCs w:val="72"/>
        </w:rPr>
      </w:pPr>
    </w:p>
    <w:p>
      <w:pPr>
        <w:jc w:val="center"/>
        <w:rPr>
          <w:sz w:val="72"/>
          <w:szCs w:val="72"/>
        </w:rPr>
      </w:pPr>
    </w:p>
    <w:p>
      <w:pPr>
        <w:pStyle w:val="11"/>
        <w:jc w:val="center"/>
        <w:rPr>
          <w:rFonts w:hint="eastAsia"/>
          <w:sz w:val="84"/>
          <w:szCs w:val="84"/>
        </w:rPr>
      </w:pPr>
      <w:r>
        <w:rPr>
          <w:rFonts w:hint="eastAsia"/>
          <w:sz w:val="84"/>
          <w:szCs w:val="84"/>
        </w:rPr>
        <w:t>第二部分</w:t>
      </w:r>
    </w:p>
    <w:p>
      <w:pPr>
        <w:pStyle w:val="11"/>
        <w:jc w:val="center"/>
        <w:rPr>
          <w:rFonts w:hint="eastAsia"/>
          <w:sz w:val="84"/>
          <w:szCs w:val="84"/>
        </w:rPr>
      </w:pPr>
    </w:p>
    <w:p>
      <w:pPr>
        <w:pStyle w:val="11"/>
        <w:jc w:val="center"/>
        <w:rPr>
          <w:rFonts w:hint="eastAsia"/>
          <w:sz w:val="84"/>
          <w:szCs w:val="84"/>
        </w:rPr>
      </w:pPr>
      <w:r>
        <w:rPr>
          <w:rFonts w:hint="eastAsia"/>
          <w:sz w:val="84"/>
          <w:szCs w:val="84"/>
        </w:rPr>
        <w:t>部门决算表</w:t>
      </w:r>
    </w:p>
    <w:p>
      <w:pPr>
        <w:pStyle w:val="11"/>
        <w:jc w:val="center"/>
        <w:rPr>
          <w:rFonts w:hint="eastAsia"/>
          <w:sz w:val="84"/>
          <w:szCs w:val="84"/>
          <w:lang w:eastAsia="zh-CN"/>
        </w:rPr>
      </w:pPr>
      <w:r>
        <w:rPr>
          <w:rFonts w:hint="eastAsia"/>
          <w:sz w:val="84"/>
          <w:szCs w:val="84"/>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jc w:val="both"/>
        <w:rPr>
          <w:sz w:val="72"/>
          <w:szCs w:val="72"/>
        </w:rPr>
      </w:pPr>
    </w:p>
    <w:p>
      <w:pPr>
        <w:pStyle w:val="11"/>
        <w:jc w:val="center"/>
        <w:rPr>
          <w:sz w:val="72"/>
          <w:szCs w:val="72"/>
        </w:rPr>
      </w:pPr>
    </w:p>
    <w:p>
      <w:pPr>
        <w:pStyle w:val="11"/>
        <w:jc w:val="center"/>
        <w:rPr>
          <w:rFonts w:hint="eastAsia"/>
          <w:sz w:val="72"/>
          <w:szCs w:val="72"/>
        </w:rPr>
      </w:pPr>
    </w:p>
    <w:p>
      <w:pPr>
        <w:pStyle w:val="11"/>
        <w:jc w:val="center"/>
        <w:rPr>
          <w:rFonts w:hint="eastAsia"/>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420.06</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eastAsia="zh-CN"/>
        </w:rPr>
        <w:t>减少</w:t>
      </w:r>
      <w:r>
        <w:rPr>
          <w:rFonts w:hint="eastAsia" w:asciiTheme="minorEastAsia" w:hAnsiTheme="minorEastAsia" w:eastAsiaTheme="minorEastAsia"/>
          <w:sz w:val="32"/>
          <w:szCs w:val="32"/>
          <w:lang w:val="en-US" w:eastAsia="zh-CN"/>
        </w:rPr>
        <w:t>6.46</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减少</w:t>
      </w: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人员调出。</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386.87</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370.02</w:t>
      </w:r>
      <w:r>
        <w:rPr>
          <w:rFonts w:hint="eastAsia" w:asciiTheme="minorEastAsia" w:hAnsiTheme="minorEastAsia" w:eastAsiaTheme="minorEastAsia"/>
          <w:sz w:val="32"/>
          <w:szCs w:val="32"/>
        </w:rPr>
        <w:t>元，占</w:t>
      </w:r>
      <w:r>
        <w:rPr>
          <w:rFonts w:hint="eastAsia" w:asciiTheme="minorEastAsia" w:hAnsiTheme="minorEastAsia" w:eastAsiaTheme="minorEastAsia"/>
          <w:sz w:val="32"/>
          <w:szCs w:val="32"/>
          <w:lang w:val="en-US" w:eastAsia="zh-CN"/>
        </w:rPr>
        <w:t>95.6</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16.85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4.4</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420.06</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221.13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52.6</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198.93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47.4</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四、财政拨款收入支出决算总体情况说明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2021年度财政拨款收、支总计</w:t>
      </w:r>
      <w:r>
        <w:rPr>
          <w:rFonts w:hint="eastAsia" w:asciiTheme="minorEastAsia" w:hAnsiTheme="minorEastAsia" w:eastAsiaTheme="minorEastAsia"/>
          <w:sz w:val="32"/>
          <w:szCs w:val="32"/>
          <w:lang w:val="en-US" w:eastAsia="zh-CN"/>
        </w:rPr>
        <w:t>403.21</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5.76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业务工作增加，导致收支增加。</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i/>
          <w:iCs/>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403.21</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95.9</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41.77</w:t>
      </w:r>
      <w:r>
        <w:rPr>
          <w:rFonts w:hint="eastAsia" w:asciiTheme="minorEastAsia" w:hAnsiTheme="minorEastAsia" w:eastAsiaTheme="minorEastAsia"/>
          <w:sz w:val="32"/>
          <w:szCs w:val="32"/>
        </w:rPr>
        <w:t>元，增长</w:t>
      </w:r>
      <w:r>
        <w:rPr>
          <w:rFonts w:hint="eastAsia" w:asciiTheme="minorEastAsia" w:hAnsiTheme="minorEastAsia" w:eastAsiaTheme="minorEastAsia"/>
          <w:sz w:val="32"/>
          <w:szCs w:val="32"/>
          <w:lang w:val="en-US" w:eastAsia="zh-CN"/>
        </w:rPr>
        <w:t>11.5</w:t>
      </w:r>
      <w:r>
        <w:rPr>
          <w:rFonts w:hint="eastAsia" w:asciiTheme="minorEastAsia" w:hAnsiTheme="minorEastAsia" w:eastAsiaTheme="minorEastAsia"/>
          <w:sz w:val="32"/>
          <w:szCs w:val="32"/>
        </w:rPr>
        <w:t>%，主要是因为因为</w:t>
      </w:r>
      <w:r>
        <w:rPr>
          <w:rFonts w:hint="eastAsia" w:asciiTheme="minorEastAsia" w:hAnsiTheme="minorEastAsia" w:eastAsiaTheme="minorEastAsia"/>
          <w:sz w:val="32"/>
          <w:szCs w:val="32"/>
          <w:lang w:eastAsia="zh-CN"/>
        </w:rPr>
        <w:t>业务工作增加，导致支出增加。</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403.21</w:t>
      </w:r>
      <w:r>
        <w:rPr>
          <w:rFonts w:hint="eastAsia" w:asciiTheme="minorEastAsia" w:hAnsiTheme="minorEastAsia" w:eastAsiaTheme="minorEastAsia"/>
          <w:sz w:val="32"/>
          <w:szCs w:val="32"/>
        </w:rPr>
        <w:t>万元，主要用于以下方面：卫生健康支出</w:t>
      </w:r>
      <w:r>
        <w:rPr>
          <w:rFonts w:hint="eastAsia" w:asciiTheme="minorEastAsia" w:hAnsiTheme="minorEastAsia" w:eastAsiaTheme="minorEastAsia"/>
          <w:sz w:val="32"/>
          <w:szCs w:val="32"/>
          <w:lang w:val="en-US" w:eastAsia="zh-CN"/>
        </w:rPr>
        <w:t>7.02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1.7</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14.84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3.6</w:t>
      </w:r>
      <w:r>
        <w:rPr>
          <w:rFonts w:hint="eastAsia" w:asciiTheme="minorEastAsia" w:hAnsiTheme="minorEastAsia" w:eastAsiaTheme="minorEastAsia"/>
          <w:sz w:val="32"/>
          <w:szCs w:val="32"/>
        </w:rPr>
        <w:t>%;农林水支出</w:t>
      </w:r>
      <w:r>
        <w:rPr>
          <w:rFonts w:hint="eastAsia" w:asciiTheme="minorEastAsia" w:hAnsiTheme="minorEastAsia" w:eastAsiaTheme="minorEastAsia"/>
          <w:sz w:val="32"/>
          <w:szCs w:val="32"/>
          <w:lang w:val="en-US" w:eastAsia="zh-CN"/>
        </w:rPr>
        <w:t>381.35，</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94.7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173.79</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403.21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232</w:t>
      </w:r>
      <w:r>
        <w:rPr>
          <w:rFonts w:hint="eastAsia" w:asciiTheme="minorEastAsia" w:hAnsiTheme="minorEastAsia" w:eastAsiaTheme="minorEastAsia"/>
          <w:sz w:val="32"/>
          <w:szCs w:val="32"/>
        </w:rPr>
        <w:t>%，其中：</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1、</w:t>
      </w:r>
      <w:r>
        <w:rPr>
          <w:rFonts w:hint="default" w:ascii="宋体" w:hAnsi="宋体" w:eastAsia="宋体"/>
          <w:color w:val="000000"/>
          <w:kern w:val="0"/>
          <w:sz w:val="32"/>
          <w:szCs w:val="24"/>
          <w:lang w:val="en-US" w:eastAsia="zh-CN"/>
        </w:rPr>
        <w:t>社会保障和就业支出（类）行政事业单位养老支出（款）机关事业单位基本养老保险缴费支出（项）。年初预算为</w:t>
      </w:r>
      <w:r>
        <w:rPr>
          <w:rFonts w:hint="eastAsia" w:ascii="宋体" w:hAnsi="宋体" w:eastAsia="宋体"/>
          <w:color w:val="000000"/>
          <w:kern w:val="0"/>
          <w:sz w:val="32"/>
          <w:szCs w:val="24"/>
          <w:lang w:val="en-US" w:eastAsia="zh-CN"/>
        </w:rPr>
        <w:t>15.09</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14.84</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98</w:t>
      </w:r>
      <w:r>
        <w:rPr>
          <w:rFonts w:hint="eastAsia" w:asciiTheme="minorEastAsia" w:hAnsiTheme="minorEastAsia" w:eastAsiaTheme="minorEastAsia"/>
          <w:sz w:val="32"/>
          <w:szCs w:val="32"/>
        </w:rPr>
        <w:t>%</w:t>
      </w:r>
      <w:r>
        <w:rPr>
          <w:rFonts w:hint="eastAsia" w:asciiTheme="minorEastAsia" w:hAnsiTheme="minorEastAsia"/>
          <w:sz w:val="32"/>
          <w:szCs w:val="32"/>
          <w:lang w:eastAsia="zh-CN"/>
        </w:rPr>
        <w:t>，</w:t>
      </w:r>
      <w:r>
        <w:rPr>
          <w:rFonts w:hint="default" w:ascii="宋体" w:hAnsi="宋体" w:eastAsia="宋体"/>
          <w:color w:val="000000"/>
          <w:kern w:val="0"/>
          <w:sz w:val="32"/>
          <w:szCs w:val="24"/>
          <w:lang w:val="en-US" w:eastAsia="zh-CN"/>
        </w:rPr>
        <w:t>决算数</w:t>
      </w:r>
      <w:r>
        <w:rPr>
          <w:rFonts w:hint="eastAsia" w:ascii="宋体" w:hAnsi="宋体" w:eastAsia="宋体"/>
          <w:color w:val="000000"/>
          <w:kern w:val="0"/>
          <w:sz w:val="32"/>
          <w:szCs w:val="24"/>
          <w:lang w:val="en-US" w:eastAsia="zh-CN"/>
        </w:rPr>
        <w:t>小</w:t>
      </w:r>
      <w:r>
        <w:rPr>
          <w:rFonts w:hint="default" w:ascii="宋体" w:hAnsi="宋体" w:eastAsia="宋体"/>
          <w:color w:val="000000"/>
          <w:kern w:val="0"/>
          <w:sz w:val="32"/>
          <w:szCs w:val="24"/>
          <w:lang w:val="en-US" w:eastAsia="zh-CN"/>
        </w:rPr>
        <w:t>于预算数的主要原因是：</w:t>
      </w:r>
      <w:r>
        <w:rPr>
          <w:rFonts w:hint="eastAsia" w:ascii="宋体" w:hAnsi="宋体" w:eastAsia="宋体"/>
          <w:color w:val="000000"/>
          <w:kern w:val="0"/>
          <w:sz w:val="32"/>
          <w:szCs w:val="24"/>
          <w:lang w:val="en-US" w:eastAsia="zh-CN"/>
        </w:rPr>
        <w:t>人员调出</w:t>
      </w:r>
      <w:r>
        <w:rPr>
          <w:rFonts w:hint="default" w:ascii="宋体" w:hAnsi="宋体" w:eastAsia="宋体"/>
          <w:color w:val="000000"/>
          <w:kern w:val="0"/>
          <w:sz w:val="32"/>
          <w:szCs w:val="24"/>
          <w:lang w:val="en-US" w:eastAsia="zh-CN"/>
        </w:rPr>
        <w:t xml:space="preserve">。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2、</w:t>
      </w:r>
      <w:r>
        <w:rPr>
          <w:rFonts w:hint="default" w:ascii="宋体" w:hAnsi="宋体" w:eastAsia="宋体"/>
          <w:color w:val="000000"/>
          <w:kern w:val="0"/>
          <w:sz w:val="32"/>
          <w:szCs w:val="24"/>
          <w:lang w:val="en-US" w:eastAsia="zh-CN"/>
        </w:rPr>
        <w:t>卫生健康支出（类）行政事业单位医疗（款）事业单位医疗（项）。年初预算为</w:t>
      </w:r>
      <w:r>
        <w:rPr>
          <w:rFonts w:hint="eastAsia" w:ascii="宋体" w:hAnsi="宋体" w:eastAsia="宋体"/>
          <w:color w:val="000000"/>
          <w:kern w:val="0"/>
          <w:sz w:val="32"/>
          <w:szCs w:val="24"/>
          <w:lang w:val="en-US" w:eastAsia="zh-CN"/>
        </w:rPr>
        <w:t>6.97</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7.02</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100.72</w:t>
      </w:r>
      <w:r>
        <w:rPr>
          <w:rFonts w:hint="eastAsia" w:asciiTheme="minorEastAsia" w:hAnsiTheme="minorEastAsia" w:eastAsiaTheme="minorEastAsia"/>
          <w:sz w:val="32"/>
          <w:szCs w:val="32"/>
        </w:rPr>
        <w:t>%</w:t>
      </w:r>
      <w:r>
        <w:rPr>
          <w:rFonts w:hint="eastAsia" w:asciiTheme="minorEastAsia" w:hAnsiTheme="minorEastAsia"/>
          <w:sz w:val="32"/>
          <w:szCs w:val="32"/>
          <w:lang w:eastAsia="zh-CN"/>
        </w:rPr>
        <w:t>，</w:t>
      </w:r>
      <w:r>
        <w:rPr>
          <w:rFonts w:hint="default" w:ascii="宋体" w:hAnsi="宋体" w:eastAsia="宋体"/>
          <w:color w:val="000000"/>
          <w:kern w:val="0"/>
          <w:sz w:val="32"/>
          <w:szCs w:val="24"/>
          <w:lang w:val="en-US" w:eastAsia="zh-CN"/>
        </w:rPr>
        <w:t xml:space="preserve">决算数大于预算数的主要原因是：医疗保险基数大于工资代扣基数。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eastAsia" w:ascii="宋体" w:hAnsi="宋体" w:eastAsia="宋体"/>
          <w:color w:val="000000"/>
          <w:kern w:val="0"/>
          <w:sz w:val="32"/>
          <w:szCs w:val="24"/>
          <w:lang w:val="en-US" w:eastAsia="zh-CN"/>
        </w:rPr>
        <w:t>3、</w:t>
      </w:r>
      <w:r>
        <w:rPr>
          <w:rFonts w:hint="default" w:ascii="宋体" w:hAnsi="宋体" w:eastAsia="宋体"/>
          <w:color w:val="000000"/>
          <w:kern w:val="0"/>
          <w:sz w:val="32"/>
          <w:szCs w:val="24"/>
          <w:lang w:val="en-US" w:eastAsia="zh-CN"/>
        </w:rPr>
        <w:t>农林水支出（类）农业农村（款）事业运行（项）。年初预算为</w:t>
      </w:r>
      <w:r>
        <w:rPr>
          <w:rFonts w:hint="eastAsia" w:ascii="宋体" w:hAnsi="宋体" w:eastAsia="宋体"/>
          <w:color w:val="000000"/>
          <w:kern w:val="0"/>
          <w:sz w:val="32"/>
          <w:szCs w:val="24"/>
          <w:lang w:val="en-US" w:eastAsia="zh-CN"/>
        </w:rPr>
        <w:t>40.41</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151.42</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374</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决算数</w:t>
      </w:r>
      <w:r>
        <w:rPr>
          <w:rFonts w:hint="eastAsia" w:ascii="宋体" w:hAnsi="宋体" w:eastAsia="宋体"/>
          <w:color w:val="000000"/>
          <w:kern w:val="0"/>
          <w:sz w:val="32"/>
          <w:szCs w:val="24"/>
          <w:lang w:val="en-US" w:eastAsia="zh-CN"/>
        </w:rPr>
        <w:t>大</w:t>
      </w:r>
      <w:r>
        <w:rPr>
          <w:rFonts w:hint="default" w:ascii="宋体" w:hAnsi="宋体" w:eastAsia="宋体"/>
          <w:color w:val="000000"/>
          <w:kern w:val="0"/>
          <w:sz w:val="32"/>
          <w:szCs w:val="24"/>
          <w:lang w:val="en-US" w:eastAsia="zh-CN"/>
        </w:rPr>
        <w:t>于预算数的主要原因是：</w:t>
      </w:r>
      <w:r>
        <w:rPr>
          <w:rFonts w:hint="eastAsia" w:ascii="宋体" w:hAnsi="宋体" w:eastAsia="宋体"/>
          <w:color w:val="000000"/>
          <w:kern w:val="0"/>
          <w:sz w:val="32"/>
          <w:szCs w:val="24"/>
          <w:lang w:val="en-US" w:eastAsia="zh-CN"/>
        </w:rPr>
        <w:t>项目资金增加</w:t>
      </w:r>
      <w:r>
        <w:rPr>
          <w:rFonts w:hint="default" w:ascii="宋体" w:hAnsi="宋体" w:eastAsia="宋体"/>
          <w:color w:val="000000"/>
          <w:kern w:val="0"/>
          <w:sz w:val="32"/>
          <w:szCs w:val="24"/>
          <w:lang w:val="en-US" w:eastAsia="zh-CN"/>
        </w:rPr>
        <w:t xml:space="preserve">。  </w:t>
      </w:r>
    </w:p>
    <w:p>
      <w:pPr>
        <w:spacing w:beforeLines="0" w:afterLines="0" w:line="500" w:lineRule="exact"/>
        <w:ind w:firstLine="640" w:firstLineChars="200"/>
        <w:rPr>
          <w:rFonts w:hint="default" w:ascii="宋体" w:hAnsi="宋体" w:eastAsia="宋体"/>
          <w:color w:val="000000"/>
          <w:kern w:val="0"/>
          <w:sz w:val="32"/>
          <w:szCs w:val="24"/>
          <w:lang w:val="en-US" w:eastAsia="zh-CN"/>
        </w:rPr>
      </w:pPr>
      <w:r>
        <w:rPr>
          <w:rFonts w:hint="eastAsia" w:ascii="宋体" w:hAnsi="宋体" w:eastAsia="宋体"/>
          <w:color w:val="000000"/>
          <w:kern w:val="0"/>
          <w:sz w:val="32"/>
          <w:szCs w:val="24"/>
          <w:lang w:val="en-US" w:eastAsia="zh-CN"/>
        </w:rPr>
        <w:t>4、</w:t>
      </w:r>
      <w:r>
        <w:rPr>
          <w:rFonts w:hint="default" w:ascii="宋体" w:hAnsi="宋体" w:eastAsia="宋体"/>
          <w:color w:val="000000"/>
          <w:kern w:val="0"/>
          <w:sz w:val="32"/>
          <w:szCs w:val="24"/>
          <w:lang w:val="en-US" w:eastAsia="zh-CN"/>
        </w:rPr>
        <w:t>农林水支出（类）农业农村（款）</w:t>
      </w:r>
      <w:r>
        <w:rPr>
          <w:rFonts w:hint="eastAsia" w:ascii="宋体" w:hAnsi="宋体" w:eastAsia="宋体"/>
          <w:color w:val="000000"/>
          <w:kern w:val="0"/>
          <w:sz w:val="32"/>
          <w:szCs w:val="24"/>
          <w:lang w:val="en-US" w:eastAsia="zh-CN"/>
        </w:rPr>
        <w:t>农产品质量安全</w:t>
      </w:r>
      <w:r>
        <w:rPr>
          <w:rFonts w:hint="default" w:ascii="宋体" w:hAnsi="宋体" w:eastAsia="宋体"/>
          <w:color w:val="000000"/>
          <w:kern w:val="0"/>
          <w:sz w:val="32"/>
          <w:szCs w:val="24"/>
          <w:lang w:val="en-US" w:eastAsia="zh-CN"/>
        </w:rPr>
        <w:t>（项）。年初预算为</w:t>
      </w:r>
      <w:r>
        <w:rPr>
          <w:rFonts w:hint="eastAsia" w:ascii="宋体" w:hAnsi="宋体" w:eastAsia="宋体"/>
          <w:color w:val="000000"/>
          <w:kern w:val="0"/>
          <w:sz w:val="32"/>
          <w:szCs w:val="24"/>
          <w:lang w:val="en-US" w:eastAsia="zh-CN"/>
        </w:rPr>
        <w:t>30</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30</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100</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决算数</w:t>
      </w:r>
      <w:r>
        <w:rPr>
          <w:rFonts w:hint="eastAsia" w:ascii="宋体" w:hAnsi="宋体" w:eastAsia="宋体"/>
          <w:color w:val="000000"/>
          <w:kern w:val="0"/>
          <w:sz w:val="32"/>
          <w:szCs w:val="24"/>
          <w:lang w:val="en-US" w:eastAsia="zh-CN"/>
        </w:rPr>
        <w:t>等于</w:t>
      </w:r>
      <w:r>
        <w:rPr>
          <w:rFonts w:hint="default" w:ascii="宋体" w:hAnsi="宋体" w:eastAsia="宋体"/>
          <w:color w:val="000000"/>
          <w:kern w:val="0"/>
          <w:sz w:val="32"/>
          <w:szCs w:val="24"/>
          <w:lang w:val="en-US" w:eastAsia="zh-CN"/>
        </w:rPr>
        <w:t>于预算数的主要原因是：</w:t>
      </w:r>
      <w:r>
        <w:rPr>
          <w:rFonts w:hint="eastAsia" w:ascii="宋体" w:hAnsi="宋体" w:eastAsia="宋体"/>
          <w:color w:val="000000"/>
          <w:kern w:val="0"/>
          <w:sz w:val="32"/>
          <w:szCs w:val="24"/>
          <w:lang w:val="en-US" w:eastAsia="zh-CN"/>
        </w:rPr>
        <w:t>根据资金使用安排使用资金</w:t>
      </w:r>
      <w:r>
        <w:rPr>
          <w:rFonts w:hint="default" w:ascii="宋体" w:hAnsi="宋体" w:eastAsia="宋体"/>
          <w:color w:val="000000"/>
          <w:kern w:val="0"/>
          <w:sz w:val="32"/>
          <w:szCs w:val="24"/>
          <w:lang w:val="en-US" w:eastAsia="zh-CN"/>
        </w:rPr>
        <w:t>。</w:t>
      </w:r>
    </w:p>
    <w:p>
      <w:pPr>
        <w:spacing w:beforeLines="0" w:afterLines="0" w:line="500" w:lineRule="exact"/>
        <w:ind w:firstLine="640" w:firstLineChars="200"/>
        <w:rPr>
          <w:rFonts w:hint="eastAsia" w:ascii="黑体" w:hAnsi="黑体" w:eastAsia="黑体"/>
          <w:color w:val="auto"/>
          <w:kern w:val="0"/>
          <w:sz w:val="32"/>
          <w:szCs w:val="24"/>
          <w:highlight w:val="white"/>
          <w:lang w:val="en-US"/>
        </w:rPr>
      </w:pPr>
      <w:r>
        <w:rPr>
          <w:rFonts w:hint="eastAsia" w:ascii="宋体" w:hAnsi="宋体" w:eastAsia="宋体"/>
          <w:color w:val="000000"/>
          <w:kern w:val="0"/>
          <w:sz w:val="32"/>
          <w:szCs w:val="24"/>
          <w:lang w:val="en-US" w:eastAsia="zh-CN"/>
        </w:rPr>
        <w:t>5、</w:t>
      </w:r>
      <w:r>
        <w:rPr>
          <w:rFonts w:hint="default" w:ascii="宋体" w:hAnsi="宋体" w:eastAsia="宋体"/>
          <w:color w:val="000000"/>
          <w:kern w:val="0"/>
          <w:sz w:val="32"/>
          <w:szCs w:val="24"/>
          <w:lang w:val="en-US" w:eastAsia="zh-CN"/>
        </w:rPr>
        <w:t>农林水支出（类）农业农村（款）其他农业农村支出（项）。年初预算为</w:t>
      </w:r>
      <w:r>
        <w:rPr>
          <w:rFonts w:hint="eastAsia" w:ascii="宋体" w:hAnsi="宋体" w:eastAsia="宋体"/>
          <w:color w:val="000000"/>
          <w:kern w:val="0"/>
          <w:sz w:val="32"/>
          <w:szCs w:val="24"/>
          <w:lang w:val="en-US" w:eastAsia="zh-CN"/>
        </w:rPr>
        <w:t>100</w:t>
      </w:r>
      <w:r>
        <w:rPr>
          <w:rFonts w:hint="default" w:ascii="宋体" w:hAnsi="宋体" w:eastAsia="宋体"/>
          <w:color w:val="000000"/>
          <w:kern w:val="0"/>
          <w:sz w:val="32"/>
          <w:szCs w:val="24"/>
          <w:lang w:val="en-US" w:eastAsia="zh-CN"/>
        </w:rPr>
        <w:t>万元，支出决算为</w:t>
      </w:r>
      <w:r>
        <w:rPr>
          <w:rFonts w:hint="eastAsia" w:ascii="宋体" w:hAnsi="宋体" w:eastAsia="宋体"/>
          <w:color w:val="000000"/>
          <w:kern w:val="0"/>
          <w:sz w:val="32"/>
          <w:szCs w:val="24"/>
          <w:lang w:val="en-US" w:eastAsia="zh-CN"/>
        </w:rPr>
        <w:t>199.93</w:t>
      </w:r>
      <w:r>
        <w:rPr>
          <w:rFonts w:hint="default" w:ascii="宋体" w:hAnsi="宋体" w:eastAsia="宋体"/>
          <w:color w:val="000000"/>
          <w:kern w:val="0"/>
          <w:sz w:val="32"/>
          <w:szCs w:val="24"/>
          <w:lang w:val="en-US" w:eastAsia="zh-CN"/>
        </w:rPr>
        <w:t>万元，</w:t>
      </w:r>
      <w:r>
        <w:rPr>
          <w:rFonts w:hint="eastAsia" w:asciiTheme="minorEastAsia" w:hAnsiTheme="minorEastAsia" w:eastAsiaTheme="minorEastAsia"/>
          <w:sz w:val="32"/>
          <w:szCs w:val="32"/>
        </w:rPr>
        <w:t>完成年初预算的</w:t>
      </w:r>
      <w:r>
        <w:rPr>
          <w:rFonts w:hint="eastAsia" w:asciiTheme="minorEastAsia" w:hAnsiTheme="minorEastAsia"/>
          <w:sz w:val="32"/>
          <w:szCs w:val="32"/>
          <w:lang w:val="en-US" w:eastAsia="zh-CN"/>
        </w:rPr>
        <w:t>199.93</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 xml:space="preserve">决算数大于预算数的主要原因是：决算数纳入了其他资金专户数据。  </w:t>
      </w:r>
    </w:p>
    <w:p>
      <w:pPr>
        <w:spacing w:beforeLines="0" w:afterLines="0" w:line="500" w:lineRule="exact"/>
        <w:ind w:firstLine="640" w:firstLineChars="200"/>
        <w:rPr>
          <w:rFonts w:hint="default" w:ascii="宋体" w:hAnsi="宋体" w:eastAsia="宋体"/>
          <w:color w:val="000000"/>
          <w:kern w:val="0"/>
          <w:sz w:val="32"/>
          <w:szCs w:val="24"/>
          <w:lang w:val="zh-CN" w:eastAsia="zh-CN"/>
        </w:rPr>
      </w:pPr>
      <w:r>
        <w:rPr>
          <w:rFonts w:hint="default" w:ascii="宋体" w:hAnsi="宋体" w:eastAsia="宋体"/>
          <w:color w:val="000000"/>
          <w:kern w:val="0"/>
          <w:sz w:val="32"/>
          <w:szCs w:val="24"/>
          <w:lang w:val="en-US" w:eastAsia="zh-CN"/>
        </w:rPr>
        <w:t xml:space="preserve">  </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204.28</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185.18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83</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19.1</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17</w:t>
      </w:r>
      <w:r>
        <w:rPr>
          <w:rFonts w:hint="eastAsia" w:asciiTheme="minorEastAsia" w:hAnsiTheme="minorEastAsia" w:eastAsiaTheme="minorEastAsia"/>
          <w:sz w:val="32"/>
          <w:szCs w:val="32"/>
        </w:rPr>
        <w:t>%，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4.86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4.69</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96.5</w:t>
      </w:r>
      <w:r>
        <w:rPr>
          <w:rFonts w:hint="eastAsia" w:asciiTheme="minorEastAsia" w:hAnsiTheme="minorEastAsia" w:eastAsiaTheme="minorEastAsia"/>
          <w:sz w:val="32"/>
          <w:szCs w:val="32"/>
        </w:rPr>
        <w:t>%，其中：</w:t>
      </w:r>
    </w:p>
    <w:p>
      <w:pPr>
        <w:pStyle w:val="11"/>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万元，由于预算数为0，无法计算百分比</w:t>
      </w:r>
      <w:r>
        <w:rPr>
          <w:rFonts w:hint="eastAsia" w:asciiTheme="minorEastAsia" w:hAnsiTheme="minorEastAsia" w:eastAsiaTheme="minorEastAsia"/>
          <w:sz w:val="32"/>
          <w:szCs w:val="32"/>
          <w:lang w:eastAsia="zh-CN"/>
        </w:rPr>
        <w:t>。</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4.86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4.69</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96.5</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严格按中央八项规定执行</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0.17</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3.6</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严格执行中央八项规定</w:t>
      </w:r>
      <w:r>
        <w:rPr>
          <w:rFonts w:hint="eastAsia" w:asciiTheme="minorEastAsia" w:hAnsiTheme="minorEastAsia" w:eastAsiaTheme="minorEastAsia"/>
          <w:sz w:val="32"/>
          <w:szCs w:val="32"/>
        </w:rPr>
        <w:t>。</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万元，由于预算数为0，无法计算百分比</w:t>
      </w:r>
      <w:r>
        <w:rPr>
          <w:rFonts w:hint="eastAsia" w:asciiTheme="minorEastAsia" w:hAnsiTheme="minorEastAsia" w:eastAsiaTheme="minorEastAsia"/>
          <w:sz w:val="32"/>
          <w:szCs w:val="32"/>
          <w:lang w:eastAsia="zh-CN"/>
        </w:rPr>
        <w:t>。</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万元，由于预算数为0，无法计算百分比</w:t>
      </w:r>
      <w:r>
        <w:rPr>
          <w:rFonts w:hint="eastAsia" w:asciiTheme="minorEastAsia" w:hAnsiTheme="minorEastAsia" w:eastAsiaTheme="minorEastAsia"/>
          <w:sz w:val="32"/>
          <w:szCs w:val="32"/>
          <w:lang w:eastAsia="zh-CN"/>
        </w:rPr>
        <w:t>。</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4.69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由于年初预算数为0万元，无法计算百分比；</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由于年初预算数为0万元，无法计算百分比</w:t>
      </w:r>
      <w:r>
        <w:rPr>
          <w:rFonts w:hint="eastAsia" w:asciiTheme="minorEastAsia" w:hAnsiTheme="minorEastAsia" w:eastAsiaTheme="minorEastAsia"/>
          <w:sz w:val="32"/>
          <w:szCs w:val="32"/>
        </w:rPr>
        <w:t>。其中：</w:t>
      </w:r>
    </w:p>
    <w:p>
      <w:pPr>
        <w:pStyle w:val="11"/>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人次,开支内容包括：支出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4.69</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46</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446</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eastAsia="zh-CN"/>
        </w:rPr>
        <w:t>业务工作</w:t>
      </w:r>
      <w:r>
        <w:rPr>
          <w:rFonts w:hint="eastAsia" w:asciiTheme="minorEastAsia" w:hAnsiTheme="minorEastAsia" w:eastAsiaTheme="minorEastAsia"/>
          <w:sz w:val="32"/>
          <w:szCs w:val="32"/>
        </w:rPr>
        <w:t>发生的接待支出。</w:t>
      </w:r>
    </w:p>
    <w:p>
      <w:pPr>
        <w:ind w:firstLine="800" w:firstLineChars="250"/>
        <w:rPr>
          <w:rFonts w:hint="eastAsia"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eastAsia="zh-CN"/>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万元，主要是</w:t>
      </w:r>
      <w:r>
        <w:rPr>
          <w:rFonts w:hint="eastAsia" w:asciiTheme="minorEastAsia" w:hAnsiTheme="minorEastAsia"/>
          <w:sz w:val="32"/>
          <w:szCs w:val="32"/>
          <w:lang w:eastAsia="zh-CN"/>
        </w:rPr>
        <w:t>日常维护</w:t>
      </w:r>
      <w:r>
        <w:rPr>
          <w:rFonts w:hint="eastAsia" w:asciiTheme="minorEastAsia" w:hAnsiTheme="minorEastAsia"/>
          <w:sz w:val="32"/>
          <w:szCs w:val="32"/>
        </w:rPr>
        <w:t>支出，截止2021年12月31日，我单位开支财政拨款的公务用车保有量为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11"/>
        <w:rPr>
          <w:rFonts w:hAnsi="黑体"/>
          <w:b/>
          <w:sz w:val="32"/>
          <w:szCs w:val="32"/>
        </w:rPr>
      </w:pPr>
      <w:r>
        <w:rPr>
          <w:rFonts w:hint="eastAsia" w:hAnsi="黑体"/>
          <w:b/>
          <w:sz w:val="32"/>
          <w:szCs w:val="32"/>
        </w:rPr>
        <w:t>八、政府性基金预算收入支出决算情况</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万元。本单位无政府性基金收支</w:t>
      </w:r>
    </w:p>
    <w:p>
      <w:pPr>
        <w:pStyle w:val="11"/>
        <w:numPr>
          <w:ilvl w:val="0"/>
          <w:numId w:val="1"/>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1"/>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本单位无国有资本经营预算财政拨款支出</w:t>
      </w:r>
    </w:p>
    <w:p>
      <w:pPr>
        <w:pStyle w:val="11"/>
        <w:rPr>
          <w:rFonts w:hAnsi="黑体"/>
          <w:b/>
          <w:sz w:val="32"/>
          <w:szCs w:val="32"/>
        </w:rPr>
      </w:pPr>
      <w:r>
        <w:rPr>
          <w:rFonts w:hint="eastAsia" w:hAnsi="黑体"/>
          <w:b/>
          <w:sz w:val="32"/>
          <w:szCs w:val="32"/>
        </w:rPr>
        <w:t>十、机关运行经费支出说明</w:t>
      </w:r>
    </w:p>
    <w:p>
      <w:pPr>
        <w:spacing w:beforeLines="0" w:afterLines="0" w:line="500" w:lineRule="exact"/>
        <w:ind w:firstLine="640" w:firstLineChars="200"/>
        <w:rPr>
          <w:rFonts w:hint="default" w:ascii="宋体" w:hAnsi="宋体" w:eastAsia="宋体"/>
          <w:color w:val="000000"/>
          <w:kern w:val="0"/>
          <w:sz w:val="32"/>
          <w:szCs w:val="24"/>
          <w:lang w:val="en-US" w:eastAsia="zh-CN"/>
        </w:rPr>
      </w:pPr>
      <w:r>
        <w:rPr>
          <w:rFonts w:hint="default" w:ascii="宋体" w:hAnsi="宋体" w:eastAsia="宋体"/>
          <w:color w:val="000000"/>
          <w:kern w:val="0"/>
          <w:sz w:val="32"/>
          <w:szCs w:val="24"/>
          <w:lang w:val="en-US" w:eastAsia="zh-CN"/>
        </w:rPr>
        <w:t>岳阳市农业</w:t>
      </w:r>
      <w:r>
        <w:rPr>
          <w:rFonts w:hint="eastAsia" w:ascii="宋体" w:hAnsi="宋体" w:eastAsia="宋体"/>
          <w:color w:val="000000"/>
          <w:kern w:val="0"/>
          <w:sz w:val="32"/>
          <w:szCs w:val="24"/>
          <w:lang w:val="en-US" w:eastAsia="zh-CN"/>
        </w:rPr>
        <w:t>综合检验检测中心</w:t>
      </w:r>
      <w:r>
        <w:rPr>
          <w:rFonts w:hint="default" w:ascii="宋体" w:hAnsi="宋体" w:eastAsia="宋体"/>
          <w:color w:val="000000"/>
          <w:kern w:val="0"/>
          <w:sz w:val="32"/>
          <w:szCs w:val="24"/>
          <w:lang w:val="en-US" w:eastAsia="zh-CN"/>
        </w:rPr>
        <w:t>单位性质为财政补助事业单位，部门决算报表没有机关运行经费统计数据。</w:t>
      </w:r>
    </w:p>
    <w:p>
      <w:pPr>
        <w:pStyle w:val="11"/>
        <w:rPr>
          <w:rFonts w:hAnsi="黑体"/>
          <w:b/>
          <w:sz w:val="32"/>
          <w:szCs w:val="32"/>
        </w:rPr>
      </w:pPr>
      <w:r>
        <w:rPr>
          <w:rFonts w:hint="eastAsia" w:hAnsi="黑体"/>
          <w:b/>
          <w:sz w:val="32"/>
          <w:szCs w:val="32"/>
        </w:rPr>
        <w:t>十一、一般性支出情况说明</w:t>
      </w:r>
    </w:p>
    <w:p>
      <w:pPr>
        <w:spacing w:beforeLines="0" w:afterLines="0" w:line="500" w:lineRule="exact"/>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万元，开支培训费</w:t>
      </w:r>
      <w:r>
        <w:rPr>
          <w:rFonts w:hint="eastAsia" w:asciiTheme="minorEastAsia" w:hAnsiTheme="minorEastAsia"/>
          <w:sz w:val="32"/>
          <w:szCs w:val="32"/>
          <w:lang w:val="en-US" w:eastAsia="zh-CN"/>
        </w:rPr>
        <w:t>0.63</w:t>
      </w:r>
      <w:r>
        <w:rPr>
          <w:rFonts w:hint="eastAsia" w:asciiTheme="minorEastAsia" w:hAnsiTheme="minorEastAsia" w:eastAsiaTheme="minorEastAsia"/>
          <w:sz w:val="32"/>
          <w:szCs w:val="32"/>
        </w:rPr>
        <w:t>万元</w:t>
      </w:r>
      <w:r>
        <w:rPr>
          <w:rFonts w:hint="eastAsia" w:asciiTheme="minorEastAsia" w:hAnsiTheme="minorEastAsia"/>
          <w:sz w:val="32"/>
          <w:szCs w:val="32"/>
          <w:lang w:eastAsia="zh-CN"/>
        </w:rPr>
        <w:t>用于单位在职干部培训</w:t>
      </w:r>
      <w:r>
        <w:rPr>
          <w:rFonts w:hint="eastAsia" w:asciiTheme="minorEastAsia" w:hAnsiTheme="minorEastAsia" w:eastAsiaTheme="minorEastAsia"/>
          <w:sz w:val="32"/>
          <w:szCs w:val="32"/>
        </w:rPr>
        <w:t>，</w:t>
      </w:r>
      <w:r>
        <w:rPr>
          <w:rFonts w:hint="default" w:ascii="宋体" w:hAnsi="宋体" w:eastAsia="宋体"/>
          <w:color w:val="000000"/>
          <w:kern w:val="0"/>
          <w:sz w:val="32"/>
          <w:szCs w:val="24"/>
          <w:lang w:val="en-US" w:eastAsia="zh-CN"/>
        </w:rPr>
        <w:t>无举办节庆、晚会、论坛、赛事等活动</w:t>
      </w:r>
      <w:r>
        <w:rPr>
          <w:rFonts w:hint="eastAsia" w:ascii="宋体" w:hAnsi="宋体" w:eastAsia="宋体"/>
          <w:color w:val="000000"/>
          <w:kern w:val="0"/>
          <w:sz w:val="32"/>
          <w:szCs w:val="24"/>
          <w:lang w:val="en-US" w:eastAsia="zh-CN"/>
        </w:rPr>
        <w:t>，</w:t>
      </w:r>
      <w:r>
        <w:rPr>
          <w:rFonts w:hint="eastAsia" w:asciiTheme="minorEastAsia" w:hAnsiTheme="minorEastAsia" w:eastAsiaTheme="minorEastAsia"/>
          <w:sz w:val="32"/>
          <w:szCs w:val="32"/>
        </w:rPr>
        <w:t>开支</w:t>
      </w:r>
      <w:r>
        <w:rPr>
          <w:rFonts w:hint="eastAsia" w:asciiTheme="minorEastAsia" w:hAnsiTheme="minorEastAsia"/>
          <w:sz w:val="32"/>
          <w:szCs w:val="32"/>
          <w:lang w:val="en-US" w:eastAsia="zh-CN"/>
        </w:rPr>
        <w:t>0</w:t>
      </w:r>
      <w:r>
        <w:rPr>
          <w:rFonts w:hint="eastAsia" w:asciiTheme="minorEastAsia" w:hAnsiTheme="minorEastAsia" w:eastAsiaTheme="minorEastAsia"/>
          <w:sz w:val="32"/>
          <w:szCs w:val="32"/>
        </w:rPr>
        <w:t>万元。</w:t>
      </w:r>
    </w:p>
    <w:p>
      <w:pPr>
        <w:pStyle w:val="11"/>
        <w:rPr>
          <w:rFonts w:hAnsi="黑体"/>
          <w:b/>
          <w:sz w:val="32"/>
          <w:szCs w:val="32"/>
        </w:rPr>
      </w:pPr>
      <w:r>
        <w:rPr>
          <w:rFonts w:hint="eastAsia" w:hAnsi="黑体"/>
          <w:b/>
          <w:sz w:val="32"/>
          <w:szCs w:val="32"/>
        </w:rPr>
        <w:t>十二、政府采购支出说明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1"/>
        <w:rPr>
          <w:rFonts w:hAnsi="黑体"/>
          <w:b/>
          <w:sz w:val="32"/>
          <w:szCs w:val="32"/>
        </w:rPr>
      </w:pPr>
      <w:r>
        <w:rPr>
          <w:rFonts w:hint="eastAsia" w:hAnsi="黑体"/>
          <w:b/>
          <w:sz w:val="32"/>
          <w:szCs w:val="32"/>
        </w:rPr>
        <w:t>十三、国有资产占用情况说明</w:t>
      </w:r>
    </w:p>
    <w:p>
      <w:pPr>
        <w:pStyle w:val="11"/>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eastAsia="zh-CN"/>
        </w:rPr>
        <w:t>农业用车</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1"/>
        <w:rPr>
          <w:rFonts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根据预算绩效管理要求，我部门组织对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年度一般公共预算项目支出全面开展绩效自评，其中，一级项目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1</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30</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个政府性基金预算项目支出开展绩效自评，共涉及资金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万元，占政府性基金预算项目支出总额的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 xml:space="preserve">2021 </w:t>
      </w:r>
      <w:r>
        <w:rPr>
          <w:rFonts w:hint="eastAsia" w:cs="黑体" w:asciiTheme="minorEastAsia" w:hAnsiTheme="minorEastAsia"/>
          <w:color w:val="000000"/>
          <w:kern w:val="0"/>
          <w:sz w:val="32"/>
          <w:szCs w:val="32"/>
        </w:rPr>
        <w:t>年度</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个国有资本经营预算项目支出开展绩效自评，共涉及资金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万元，占国有资本经营预算项目支出总额的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b/>
          <w:color w:val="000000"/>
          <w:kern w:val="0"/>
          <w:sz w:val="32"/>
          <w:szCs w:val="32"/>
          <w:lang w:val="en-US" w:eastAsia="zh-CN"/>
        </w:rPr>
        <w:t>（二）部门决算中项目绩效自评结果。</w:t>
      </w:r>
    </w:p>
    <w:p>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农产品质量安全</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个项目开展了部门评价，涉及一般公共预算支出</w:t>
      </w:r>
      <w:r>
        <w:rPr>
          <w:rFonts w:hint="eastAsia" w:cs="黑体" w:asciiTheme="minorEastAsia" w:hAnsiTheme="minorEastAsia"/>
          <w:color w:val="000000"/>
          <w:kern w:val="0"/>
          <w:sz w:val="32"/>
          <w:szCs w:val="32"/>
          <w:lang w:val="en-US" w:eastAsia="zh-CN"/>
        </w:rPr>
        <w:t>30</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 xml:space="preserve"> </w:t>
      </w:r>
      <w:r>
        <w:rPr>
          <w:rFonts w:hint="eastAsia" w:cs="黑体" w:asciiTheme="minorEastAsia" w:hAnsiTheme="minorEastAsia"/>
          <w:color w:val="000000"/>
          <w:kern w:val="0"/>
          <w:sz w:val="32"/>
          <w:szCs w:val="32"/>
        </w:rPr>
        <w:t>万元，国有资本经营预算支出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万元。从评价情况来看，</w:t>
      </w:r>
      <w:r>
        <w:rPr>
          <w:rFonts w:hint="eastAsia" w:cs="黑体" w:asciiTheme="minorEastAsia" w:hAnsiTheme="minorEastAsia"/>
          <w:color w:val="000000"/>
          <w:kern w:val="0"/>
          <w:sz w:val="32"/>
          <w:szCs w:val="32"/>
          <w:lang w:eastAsia="zh-CN"/>
        </w:rPr>
        <w:t>项目根据资金安排合理支出</w:t>
      </w:r>
      <w:r>
        <w:rPr>
          <w:rFonts w:hint="eastAsia" w:cs="黑体" w:asciiTheme="minorEastAsia" w:hAnsiTheme="minorEastAsia"/>
          <w:color w:val="000000"/>
          <w:kern w:val="0"/>
          <w:sz w:val="32"/>
          <w:szCs w:val="32"/>
        </w:rPr>
        <w:t>。</w:t>
      </w: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both"/>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财政拨款收入：指本级财政当年拨付的资金。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政府性基金预算财政拨款收入：指本级财政当年拨付的政府性基金预算资金。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其他收入：指除上述“财政拨款收入”、“上级补助收入”、“事业收入”、“经营收入”、“附属单位上缴收入”等以外的收入。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上年结转和结余：指以前年度尚未完成、结转到本年按有关规定继续使用的资金。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结余分配：指事业单位按规定对非财政补助结余资金提取的职工福利基金、事业基金和缴纳的所得税，以及减少单位按规定应缴回的基本建设竣工项目结余资金。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年末结转和结余资金：指本年度或以前年度预算安排、因客观条件发生变化无法按原计划实施，需要延迟到以后年度按有关规定继续使用的资金。                                    </w:t>
      </w:r>
      <w:r>
        <w:rPr>
          <w:rFonts w:hint="eastAsia" w:cs="黑体" w:asciiTheme="minorEastAsia" w:hAnsiTheme="minorEastAsia" w:eastAsiaTheme="minorEastAsia"/>
          <w:color w:val="000000"/>
          <w:kern w:val="0"/>
          <w:sz w:val="32"/>
          <w:szCs w:val="32"/>
          <w:lang w:val="en-US" w:eastAsia="zh-CN" w:bidi="ar-SA"/>
        </w:rPr>
        <w:tab/>
      </w:r>
      <w:r>
        <w:rPr>
          <w:rFonts w:hint="eastAsia" w:cs="黑体" w:asciiTheme="minorEastAsia" w:hAnsiTheme="minorEastAsia" w:eastAsiaTheme="minorEastAsia"/>
          <w:color w:val="000000"/>
          <w:kern w:val="0"/>
          <w:sz w:val="32"/>
          <w:szCs w:val="32"/>
          <w:lang w:val="en-US" w:eastAsia="zh-CN" w:bidi="ar-SA"/>
        </w:rPr>
        <w:tab/>
      </w:r>
      <w:r>
        <w:rPr>
          <w:rFonts w:hint="eastAsia" w:cs="黑体" w:asciiTheme="minorEastAsia" w:hAnsiTheme="minorEastAsia" w:eastAsiaTheme="minorEastAsia"/>
          <w:color w:val="000000"/>
          <w:kern w:val="0"/>
          <w:sz w:val="32"/>
          <w:szCs w:val="32"/>
          <w:lang w:val="en-US" w:eastAsia="zh-CN" w:bidi="ar-SA"/>
        </w:rPr>
        <w:t>科学技术支出（类）：是指用于科学技术方面的支出，包括保障机构正常运转、完成日常和特定的工作任务或事业发展目标的支出。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卫生健康支出（类）：是指用于医疗卫生与计划生育方面的支出，包括保障机构正常运转、完成日常和特定的工作任务或事业发展目标的支出。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节能环保支出（类）：是指用于节能环保支出，包括保障机构正常运转、完成日常和特定的工作任务或事业发展目标的支出。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农林水支出（类）：是指用于农林水事务支出，包括保障机构正常运转、完成日常和特定的工作任务或事业发展目标的支出。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资源勘探工业信息等支出（类）：是指用于资源勘探、制造业、建筑业、工业信息等方面支出，包括保障机构正常运转、完成日常和特定的工作任务或事业发展目标的支出。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其他支出（类）：是指用于反映除上述项目以外其他不能划分到具体功能科目中的支出项目，包括保障机构正常运转、完成日常和特定的工作任务或事业发展目标的支出。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基本支出：指保障机构正常运转、完成支日常工作任务而发生的人员支出和公用支出。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津贴补贴：反映经国家批准建立的机关事业单位艰苦边远地区津贴、机关工作人员地区附加津贴、机关工作人员岗位津贴、事业单位工作人员特殊岗位津贴补贴等。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奖金：反映机关工作人员年终一次性奖金。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伙食补助费：反映单位发给职工的伙食补助费，如误餐补助等。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绩效工资：反映事业单位工作人员的绩效工资。</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机关事业单位基本养老保险缴费：反映机关事业单位缴纳的基本养老保险费。由单位代扣的工作人员基本养老保险缴费，不在此科目反映。</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职业年金缴费：反映机关事业单位实际缴纳的职业年金支出。由单位代扣的工作人员职业年金缴费，不在此科目反映。</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职工基本医疗保险缴费：反映单位为职工缴纳的基本医疗保险费。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其他社会保障缴费：反映单位为职工缴纳的基本医疗、失业、工伤、生育等社会保险费，残疾人就业保障金，军队（含武警）为军人缴纳的伤亡、退役医疗等社会保险费。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住房公积金：反映行政事业单位按人力资源和社会保障部、财政部规定的基本工资和津贴补贴以及规定比例为职工缴纳的住房公积金。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医疗费：反映未参加医疗保险单位的医疗经费和单位按规定为职工支出的其他医疗费用。</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商品和服务支出：反映单位购买商品和服务的支出（不包括用于购置固定资产的支出、战略性和应急储备支出）。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办公费：反映单位购买按财务会计制度规定不符合固定资产确认标准的日常办公用品、书报杂志等支出。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印刷费：反映单位的印刷费支出。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咨询费：反映单位咨询方面的支出。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水费：反映单位支付的水费、污水处理费等支出。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电费：反映单位的电费支出。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邮电费：反映单位开支的信函、包裹、货物等物品的邮寄费及电话费、电报费、传真费、网络通讯费等。                       </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物业管理费：反映单位开支的办公用房以及未实行职工住宅物业服务改革的在职职工和离退休人员宿舍等的物业管理费，包括综合治理、绿化、卫生等方面的支出。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差旅费：反映单位工作人员出差发生的城市间交通费、住宿费、伙食补贴费和市内交通费。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维修(护)费：反映单位日常开支的固定资产（不包括车船等交通工具）修理和维护费用，网络信息系统运行与维护费用，以及按规定提取的修购基金。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租赁费：反映租赁办公用房、宿舍、专用通讯网以及其他设备等方面的费用。</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会议费：反映会议中按规定开支的住宿费、伙食费、会议室租金、交通费、文件印刷费、医药费等。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培训费：反映除因公出国（境）培训费以外的各类培训支出。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劳务费：反映支付给单位和个人的劳务费用，如临时聘用人员、钟点工工资，稿费、翻译费，评审费等。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委托业务费：反映因委托外单位办理业务而支付的委托业务费。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工会经费：反映单位按规定提取的工会经费。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福利费：反映单位按规定提取的福利费。</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公务用车运行维护费：反映单位按规定保留的公务用车燃料费、维修费、过桥过路费、保险费、安全奖励费用等支出。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其他交通费用：反映单位除公务用车运行维护费以外的其他交通费用。如公务交通补贴，租车费用、出租车费用，飞机、船舶等的燃料费、维修费、保险费等。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税金及附加费用：反映单位提供劳务或销售产品应负担的税金及附加费用，包括营业税、消费税、城市维护建设税、资源税和教育附加等。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其他商品和服务支出：反映上述科目未包括的日常公用支出。如行政赔偿费和诉讼费、国内组织的会员费、来访费、广告宣传、其他劳务费及离休人员特需费、公用经费等。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对个人和家庭的补助：反映政府用于对个人和家庭的补助支出。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离休费：反映行政事业单位和军队移交政府安置的离休人员的离休费、护理费和其他补贴。</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退休费：反映行政事业单位和军队移交政府安置的退休人员的退休费和其他补贴。</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抚恤金：反映按规定开支的烈士遗属、牺牲病故人员遗属的一次性和定期抚恤金，伤残人员的抚恤金，离退休人员等其他人员的各项抚恤金。</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奖励金：反映政府各部门的奖励支出，如对个体私营经济的奖励、计划生育目标责任奖励、独生子女父母奖励等。</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无形资产购置：反映著作权、商标权、专利权、土地使用权等无形资产购置支出。软件购置、开发、应用支出不在此科目反映。</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 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800" w:firstLineChars="250"/>
        <w:jc w:val="left"/>
        <w:textAlignment w:val="auto"/>
        <w:outlineLvl w:val="9"/>
        <w:rPr>
          <w:rFonts w:hint="eastAsia" w:ascii="仿宋_GB2312" w:hAnsi="仿宋_GB2312" w:eastAsia="仿宋_GB2312" w:cs="仿宋_GB2312"/>
          <w:sz w:val="32"/>
          <w:szCs w:val="32"/>
          <w:lang w:val="en-US" w:eastAsia="zh-CN" w:bidi="ar-SA"/>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ind w:firstLine="3600" w:firstLineChars="500"/>
        <w:jc w:val="both"/>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hint="eastAsia" w:ascii="黑体" w:eastAsia="黑体" w:cs="黑体"/>
          <w:color w:val="000000"/>
          <w:kern w:val="0"/>
          <w:sz w:val="70"/>
          <w:szCs w:val="70"/>
        </w:rPr>
      </w:pPr>
      <w:r>
        <w:rPr>
          <w:rFonts w:hint="eastAsia" w:ascii="黑体" w:eastAsia="黑体" w:cs="黑体"/>
          <w:color w:val="000000"/>
          <w:kern w:val="0"/>
          <w:sz w:val="70"/>
          <w:szCs w:val="70"/>
        </w:rPr>
        <w:t>附件</w:t>
      </w:r>
    </w:p>
    <w:p>
      <w:pPr>
        <w:pStyle w:val="2"/>
        <w:rPr>
          <w:rFonts w:hint="eastAsia"/>
        </w:rPr>
      </w:pPr>
    </w:p>
    <w:p>
      <w:pPr>
        <w:ind w:firstLine="640" w:firstLineChars="200"/>
        <w:jc w:val="both"/>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ind w:firstLine="640" w:firstLineChars="200"/>
        <w:jc w:val="left"/>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3、2021年项目支出绩效评价自评报告</w:t>
      </w:r>
      <w:bookmarkStart w:id="0" w:name="_GoBack"/>
      <w:bookmarkEnd w:id="0"/>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5541D1E"/>
    <w:rsid w:val="05633A58"/>
    <w:rsid w:val="06B411F0"/>
    <w:rsid w:val="087403E0"/>
    <w:rsid w:val="0BE56081"/>
    <w:rsid w:val="0C4F06C6"/>
    <w:rsid w:val="10177A30"/>
    <w:rsid w:val="139E06ED"/>
    <w:rsid w:val="13BE003E"/>
    <w:rsid w:val="17A87124"/>
    <w:rsid w:val="17E14086"/>
    <w:rsid w:val="17E85178"/>
    <w:rsid w:val="1B9929B8"/>
    <w:rsid w:val="27DB542D"/>
    <w:rsid w:val="366364DD"/>
    <w:rsid w:val="370B6762"/>
    <w:rsid w:val="37481157"/>
    <w:rsid w:val="3A6F2B4A"/>
    <w:rsid w:val="45F9639D"/>
    <w:rsid w:val="48ED43E7"/>
    <w:rsid w:val="4BF049B1"/>
    <w:rsid w:val="4D3D7F01"/>
    <w:rsid w:val="56647BD9"/>
    <w:rsid w:val="57515815"/>
    <w:rsid w:val="576C73EE"/>
    <w:rsid w:val="5B4B65AF"/>
    <w:rsid w:val="60A907EA"/>
    <w:rsid w:val="6145544E"/>
    <w:rsid w:val="626304EE"/>
    <w:rsid w:val="642C383C"/>
    <w:rsid w:val="66277B5A"/>
    <w:rsid w:val="663D074F"/>
    <w:rsid w:val="679C0961"/>
    <w:rsid w:val="6A275A85"/>
    <w:rsid w:val="701424D9"/>
    <w:rsid w:val="75A67813"/>
    <w:rsid w:val="7BC34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before="100" w:beforeAutospacing="1" w:after="120"/>
    </w:pPr>
  </w:style>
  <w:style w:type="paragraph" w:styleId="3">
    <w:name w:val="toc 5"/>
    <w:basedOn w:val="1"/>
    <w:next w:val="1"/>
    <w:qFormat/>
    <w:uiPriority w:val="0"/>
    <w:pPr>
      <w:widowControl w:val="0"/>
      <w:adjustRightInd/>
      <w:snapToGrid/>
      <w:spacing w:after="0"/>
      <w:ind w:left="1680" w:leftChars="800"/>
      <w:jc w:val="both"/>
    </w:pPr>
    <w:rPr>
      <w:rFonts w:ascii="Calibri" w:hAnsi="Calibri" w:eastAsia="宋体" w:cs="Times New Roman"/>
      <w:kern w:val="2"/>
      <w:sz w:val="21"/>
      <w:szCs w:val="24"/>
    </w:rPr>
  </w:style>
  <w:style w:type="paragraph" w:styleId="4">
    <w:name w:val="Balloon Text"/>
    <w:basedOn w:val="1"/>
    <w:link w:val="13"/>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99"/>
    <w:rPr>
      <w:sz w:val="18"/>
      <w:szCs w:val="18"/>
    </w:rPr>
  </w:style>
  <w:style w:type="character" w:customStyle="1" w:styleId="10">
    <w:name w:val="页脚 Char"/>
    <w:basedOn w:val="7"/>
    <w:link w:val="5"/>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1452</Words>
  <Characters>8281</Characters>
  <Lines>69</Lines>
  <Paragraphs>19</Paragraphs>
  <TotalTime>6</TotalTime>
  <ScaleCrop>false</ScaleCrop>
  <LinksUpToDate>false</LinksUpToDate>
  <CharactersWithSpaces>9714</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仙贝麻麻</cp:lastModifiedBy>
  <cp:lastPrinted>2022-07-27T12:55:00Z</cp:lastPrinted>
  <dcterms:modified xsi:type="dcterms:W3CDTF">2023-09-26T03:37:56Z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6213B9675C054D0C9C8F9758BF33919C</vt:lpwstr>
  </property>
</Properties>
</file>