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岳阳市人民政府办公室</w:t>
      </w:r>
    </w:p>
    <w:p>
      <w:pPr>
        <w:shd w:val="clear" w:color="auto" w:fill="FFFFFF"/>
        <w:overflowPunct w:val="0"/>
        <w:topLinePunct/>
        <w:adjustRightInd w:val="0"/>
        <w:spacing w:line="600" w:lineRule="exact"/>
        <w:jc w:val="center"/>
        <w:rPr>
          <w:rFonts w:hint="eastAsia" w:ascii="方正小标宋_GBK" w:hAnsi="黑体" w:eastAsia="方正小标宋_GBK" w:cs="黑体"/>
          <w:bCs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黑体" w:eastAsia="方正小标宋_GBK" w:cs="黑体"/>
          <w:bCs/>
          <w:sz w:val="44"/>
          <w:szCs w:val="44"/>
          <w:shd w:val="clear" w:color="auto" w:fill="FFFFFF"/>
        </w:rPr>
        <w:t>关于加快</w:t>
      </w:r>
      <w:r>
        <w:rPr>
          <w:rFonts w:hint="eastAsia" w:ascii="方正小标宋_GBK" w:hAnsi="黑体" w:eastAsia="方正小标宋_GBK" w:cs="黑体"/>
          <w:bCs/>
          <w:sz w:val="44"/>
          <w:szCs w:val="44"/>
          <w:shd w:val="clear" w:color="auto" w:fill="FFFFFF"/>
          <w:lang w:eastAsia="zh-CN"/>
        </w:rPr>
        <w:t>发展</w:t>
      </w:r>
      <w:r>
        <w:rPr>
          <w:rFonts w:hint="eastAsia" w:ascii="方正小标宋_GBK" w:hAnsi="黑体" w:eastAsia="方正小标宋_GBK" w:cs="黑体"/>
          <w:bCs/>
          <w:sz w:val="44"/>
          <w:szCs w:val="44"/>
          <w:shd w:val="clear" w:color="auto" w:fill="FFFFFF"/>
        </w:rPr>
        <w:t>预制菜产业的</w:t>
      </w:r>
      <w:r>
        <w:rPr>
          <w:rFonts w:hint="eastAsia" w:ascii="方正小标宋_GBK" w:hAnsi="黑体" w:eastAsia="方正小标宋_GBK" w:cs="黑体"/>
          <w:bCs/>
          <w:sz w:val="44"/>
          <w:szCs w:val="44"/>
          <w:shd w:val="clear" w:color="auto" w:fill="FFFFFF"/>
          <w:lang w:eastAsia="zh-CN"/>
        </w:rPr>
        <w:t>通知</w:t>
      </w:r>
    </w:p>
    <w:p>
      <w:pPr>
        <w:pStyle w:val="2"/>
      </w:pPr>
    </w:p>
    <w:p>
      <w:pPr>
        <w:spacing w:line="60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征求意见稿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p>
      <w:pPr>
        <w:pStyle w:val="2"/>
      </w:pPr>
    </w:p>
    <w:p>
      <w:pPr>
        <w:pStyle w:val="2"/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各县（市）区人民政府，市直各相关单位：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default" w:ascii="仿宋_GB2312" w:hAnsi="仿宋_GB2312" w:eastAsia="仿宋_GB2312" w:cs="仿宋_GB2312"/>
          <w:sz w:val="32"/>
          <w:szCs w:val="32"/>
        </w:rPr>
        <w:t>加快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全市预制菜产业，延长农业产业链条，提高农产品加工增值水平，促进农业供给侧结构性改革，推进消费升级和乡村产业振兴。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现就有关事项通知如下：</w:t>
      </w:r>
    </w:p>
    <w:p>
      <w:pPr>
        <w:spacing w:line="600" w:lineRule="exact"/>
        <w:ind w:firstLine="642" w:firstLineChars="200"/>
        <w:rPr>
          <w:rStyle w:val="12"/>
          <w:rFonts w:hint="eastAsia" w:ascii="黑体" w:hAnsi="黑体" w:eastAsia="黑体" w:cs="仿宋_GB2312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一、</w:t>
      </w:r>
      <w:r>
        <w:rPr>
          <w:rStyle w:val="12"/>
          <w:rFonts w:hint="eastAsia" w:ascii="黑体" w:hAnsi="黑体" w:eastAsia="黑体" w:cs="仿宋_GB2312"/>
          <w:b w:val="0"/>
          <w:bCs/>
          <w:sz w:val="32"/>
          <w:szCs w:val="32"/>
          <w:lang w:eastAsia="zh-CN"/>
        </w:rPr>
        <w:t>提高思想认识</w:t>
      </w:r>
    </w:p>
    <w:p>
      <w:pPr>
        <w:spacing w:line="600" w:lineRule="exact"/>
        <w:ind w:firstLine="640" w:firstLineChars="200"/>
        <w:rPr>
          <w:rStyle w:val="12"/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深入贯彻落实党的二十大精神和习近平总书记关于“三农”工作重要论述以及对湖南重要讲话重要指示批示精神，充分发挥我市农产品资源优势，科学布局现代预制菜生产加工企业集群，精心打造湘材湘菜湘味为主体的品牌矩阵，全方位构建优质原材料供应基地，夯实筑牢科技创新支撑平台，合力推动一二三产业融合发展，推动全市预制菜产业走在全省前列。</w:t>
      </w:r>
    </w:p>
    <w:p>
      <w:pPr>
        <w:spacing w:line="600" w:lineRule="exact"/>
        <w:ind w:firstLine="640" w:firstLineChars="200"/>
        <w:rPr>
          <w:rStyle w:val="12"/>
          <w:rFonts w:ascii="黑体" w:hAnsi="黑体" w:eastAsia="黑体" w:cs="仿宋_GB2312"/>
          <w:b w:val="0"/>
          <w:sz w:val="32"/>
          <w:szCs w:val="32"/>
        </w:rPr>
      </w:pPr>
      <w:r>
        <w:rPr>
          <w:rStyle w:val="12"/>
          <w:rFonts w:hint="eastAsia" w:ascii="黑体" w:hAnsi="黑体" w:eastAsia="黑体" w:cs="仿宋_GB2312"/>
          <w:b w:val="0"/>
          <w:sz w:val="32"/>
          <w:szCs w:val="32"/>
        </w:rPr>
        <w:t>二、</w:t>
      </w:r>
      <w:r>
        <w:rPr>
          <w:rStyle w:val="12"/>
          <w:rFonts w:hint="eastAsia" w:ascii="黑体" w:hAnsi="黑体" w:eastAsia="黑体" w:cs="仿宋_GB2312"/>
          <w:b w:val="0"/>
          <w:sz w:val="32"/>
          <w:szCs w:val="32"/>
          <w:lang w:eastAsia="zh-CN"/>
        </w:rPr>
        <w:t>明确</w:t>
      </w:r>
      <w:r>
        <w:rPr>
          <w:rStyle w:val="12"/>
          <w:rFonts w:hint="eastAsia" w:ascii="黑体" w:hAnsi="黑体" w:eastAsia="黑体" w:cs="仿宋_GB2312"/>
          <w:b w:val="0"/>
          <w:sz w:val="32"/>
          <w:szCs w:val="32"/>
        </w:rPr>
        <w:t>目标任务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到2025年，力争全市规模以上预制菜企业超过100家，其中10亿元以上企业超过2家，1亿元以上企业10家，全市规模以上预制菜企业主营业务收入达到70亿元。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Style w:val="12"/>
          <w:rFonts w:ascii="黑体" w:hAnsi="黑体" w:eastAsia="黑体" w:cs="仿宋_GB2312"/>
          <w:b w:val="0"/>
          <w:sz w:val="32"/>
          <w:szCs w:val="32"/>
        </w:rPr>
      </w:pPr>
      <w:r>
        <w:rPr>
          <w:rStyle w:val="12"/>
          <w:rFonts w:hint="eastAsia" w:ascii="黑体" w:hAnsi="黑体" w:eastAsia="黑体" w:cs="仿宋_GB2312"/>
          <w:b w:val="0"/>
          <w:sz w:val="32"/>
          <w:szCs w:val="32"/>
          <w:lang w:eastAsia="zh-CN"/>
        </w:rPr>
        <w:t>强化</w:t>
      </w:r>
      <w:r>
        <w:rPr>
          <w:rStyle w:val="12"/>
          <w:rFonts w:hint="eastAsia" w:ascii="黑体" w:hAnsi="黑体" w:eastAsia="黑体" w:cs="仿宋_GB2312"/>
          <w:b w:val="0"/>
          <w:sz w:val="32"/>
          <w:szCs w:val="32"/>
        </w:rPr>
        <w:t>推进举措</w:t>
      </w:r>
    </w:p>
    <w:p>
      <w:pPr>
        <w:spacing w:line="600" w:lineRule="exact"/>
        <w:ind w:firstLine="64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11"/>
          <w:rFonts w:hint="eastAsia" w:ascii="楷体_GB2312" w:hAnsi="仿宋_GB2312" w:eastAsia="楷体_GB2312" w:cs="仿宋_GB2312"/>
          <w:b/>
          <w:bCs/>
          <w:sz w:val="32"/>
          <w:szCs w:val="32"/>
        </w:rPr>
        <w:t>1.</w:t>
      </w: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建设标准化原料基地。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实施“三品一标”（品种、品质、品牌和标准化生产）提升行动，鼓励预制菜企业与农民合作社、家庭农场和广大农户建立和完善利益联结机制，共同推进绿色优质原辅料核心生产基地建设，</w:t>
      </w:r>
      <w:r>
        <w:rPr>
          <w:rStyle w:val="13"/>
          <w:rFonts w:hint="eastAsia" w:ascii="仿宋_GB2312" w:hAnsi="仿宋_GB2312" w:eastAsia="仿宋_GB2312" w:cs="仿宋_GB2312"/>
          <w:sz w:val="32"/>
          <w:szCs w:val="32"/>
        </w:rPr>
        <w:t>打</w:t>
      </w:r>
      <w:r>
        <w:rPr>
          <w:rFonts w:hint="eastAsia" w:ascii="仿宋_GB2312" w:hAnsi="仿宋_GB2312" w:eastAsia="仿宋_GB2312" w:cs="仿宋_GB2312"/>
          <w:sz w:val="32"/>
          <w:szCs w:val="32"/>
        </w:rPr>
        <w:t>造标准化的“原料车间”，保障预制菜原料供应和质量安全。每年创建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6-8</w:t>
      </w:r>
      <w:r>
        <w:rPr>
          <w:rFonts w:hint="eastAsia" w:ascii="仿宋_GB2312" w:hAnsi="仿宋_GB2312" w:eastAsia="仿宋_GB2312" w:cs="仿宋_GB2312"/>
          <w:sz w:val="32"/>
          <w:szCs w:val="32"/>
        </w:rPr>
        <w:t>个蔬菜、畜禽、水产等预制菜原辅料专用特色产业园，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并积极争取上级奖励资金，市级财政整合涉农专项资金对创建成功的产业园给予支持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；支持配合各县市区申报绿色循环养殖整县推进试点项目；鼓励预制菜产业相关的合作社积极参与省级、市级示范合作社的评定，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市级财政对创建成功的市级示范合作社给予奖励</w:t>
      </w:r>
      <w:r>
        <w:rPr>
          <w:rFonts w:hint="eastAsia" w:ascii="仿宋_GB2312" w:hAnsi="仿宋_GB2312" w:eastAsia="仿宋_GB2312" w:cs="仿宋_GB2312"/>
          <w:sz w:val="32"/>
          <w:szCs w:val="32"/>
        </w:rPr>
        <w:t>。（市农业农村局牵头，市发改委</w:t>
      </w:r>
      <w:r>
        <w:rPr>
          <w:rFonts w:hint="default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市财政局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等按职责分工负责）</w:t>
      </w:r>
    </w:p>
    <w:p>
      <w:pPr>
        <w:spacing w:line="60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2.培育预制菜企业梯队。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围绕预制菜全产业链，培育一批农产品生产加工、原料集采集配、调味品生产加工、预制菜加工、物流营销以及配套制造的企业。鼓励面向企业主体的各类财政扶持项目向预制菜企业倾斜，每年支持一批有影响力的预制菜龙头企业，力争到2025年培育一批在全省乃至全国有影响力的预制菜龙头企业。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支持中小企业实现“专精特新”发展，加强预制菜小微企业培育，推动预制菜企业个转企、小升规、规改股、股上市梯次发展，对首次小升规的企业给予一定的项目支持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。支持符合条件的预制菜企业上市融资、发行债券，对在上市过程中通过湖南证监局辅导验收且注册地在岳阳楼区、云溪区、经开区、南湖新区的企业奖补200万元，注册地在其他县市区的奖补100万元。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shd w:val="clear" w:color="auto" w:fill="FFFFFF"/>
        </w:rPr>
        <w:t>帮助符合条件的预制菜企业申请中小企业商业价值信用贷款。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对符合条件的预制菜主体，指导企业按照《新型农业经营主体贷款贴息工作实施方案》进行申报，获得贷款贴息补助。</w:t>
      </w:r>
      <w:r>
        <w:rPr>
          <w:rFonts w:hint="eastAsia" w:ascii="仿宋_GB2312" w:hAnsi="仿宋_GB2312" w:eastAsia="仿宋_GB2312" w:cs="仿宋_GB2312"/>
          <w:sz w:val="32"/>
          <w:szCs w:val="32"/>
        </w:rPr>
        <w:t>（市工信局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牵头，市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农业农村局、市财政局、市发改委、市</w:t>
      </w:r>
      <w:r>
        <w:rPr>
          <w:rFonts w:hint="default" w:ascii="仿宋_GB2312" w:hAnsi="仿宋_GB2312" w:eastAsia="仿宋_GB2312" w:cs="仿宋_GB2312"/>
          <w:sz w:val="32"/>
          <w:szCs w:val="32"/>
        </w:rPr>
        <w:t>市场监管局</w:t>
      </w:r>
      <w:r>
        <w:rPr>
          <w:rFonts w:hint="eastAsia" w:ascii="仿宋_GB2312" w:hAnsi="仿宋_GB2312" w:eastAsia="仿宋_GB2312" w:cs="仿宋_GB2312"/>
          <w:sz w:val="32"/>
          <w:szCs w:val="32"/>
        </w:rPr>
        <w:t>、市商务局、市金融办等按职责分工负责）</w:t>
      </w:r>
    </w:p>
    <w:p>
      <w:pPr>
        <w:pStyle w:val="2"/>
        <w:spacing w:line="600" w:lineRule="exact"/>
        <w:ind w:firstLine="642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3.推动聚集化产业发展。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立足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洞庭湖区域鱼米之乡的资源禀赋，大力发展湘味湘菜预制菜产业。鼓励有条件、有明显基础优势的地区着力打造有特色的预制菜产业园，形成预制菜产业集聚效应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。力争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到2025年，全市创建1个省级预制菜产业园。支持国家和省级现代农业产业园、优势特色产业集群、农业产业强镇与预制菜产业园融合，形成政策叠加优势。</w:t>
      </w:r>
      <w:r>
        <w:rPr>
          <w:rFonts w:hint="eastAsia" w:ascii="仿宋_GB2312" w:hAnsi="仿宋_GB2312" w:eastAsia="仿宋_GB2312" w:cs="仿宋_GB2312"/>
          <w:sz w:val="32"/>
          <w:szCs w:val="32"/>
        </w:rPr>
        <w:t>（市发改委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牵头，市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农业农村局、市财政局、市工信局、市商务局等按职责分工负责）</w:t>
      </w:r>
    </w:p>
    <w:p>
      <w:pPr>
        <w:spacing w:line="600" w:lineRule="exact"/>
        <w:ind w:firstLine="642" w:firstLineChars="200"/>
        <w:rPr>
          <w:rStyle w:val="11"/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4.支持现代化物流建设。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在预制菜生产重点县、物流节点建</w:t>
      </w:r>
      <w:r>
        <w:rPr>
          <w:rFonts w:hint="eastAsia" w:ascii="仿宋_GB2312" w:hAnsi="仿宋_GB2312" w:eastAsia="仿宋_GB2312" w:cs="仿宋_GB2312"/>
          <w:sz w:val="32"/>
          <w:szCs w:val="32"/>
        </w:rPr>
        <w:t>立5个万吨级冷链配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送基地，提升县域集散分销能力。支持预制菜企业建设公共冷库、中央厨房等设施，加快绿色、高效、低碳冷藏设施应用，完善物流集散、加工配送、质量安全等功能。</w:t>
      </w:r>
      <w:r>
        <w:rPr>
          <w:rStyle w:val="11"/>
          <w:rFonts w:hint="eastAsia" w:ascii="仿宋_GB2312" w:hAnsi="仿宋_GB2312" w:eastAsia="仿宋_GB2312" w:cs="仿宋_GB2312"/>
          <w:kern w:val="0"/>
          <w:sz w:val="32"/>
          <w:szCs w:val="32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培育一批跨区域的预制菜仓储冷链物流企业，</w:t>
      </w:r>
      <w:r>
        <w:rPr>
          <w:rStyle w:val="11"/>
          <w:rFonts w:hint="eastAsia" w:ascii="仿宋_GB2312" w:hAnsi="仿宋_GB2312" w:eastAsia="仿宋_GB2312" w:cs="仿宋_GB2312"/>
          <w:kern w:val="0"/>
          <w:sz w:val="32"/>
          <w:szCs w:val="32"/>
        </w:rPr>
        <w:t>建设“冷藏设备-冷链企业-冷链区域中心”一体化闭环冷链物流体系。</w:t>
      </w:r>
      <w:r>
        <w:rPr>
          <w:rFonts w:hint="eastAsia" w:ascii="仿宋_GB2312" w:eastAsia="仿宋_GB2312"/>
          <w:sz w:val="32"/>
          <w:szCs w:val="32"/>
        </w:rPr>
        <w:t>鼓励各县市区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统筹中央农业生产发展资金，对预制菜主体建设农产品产地冷藏保鲜项目予以补助。</w:t>
      </w:r>
      <w:r>
        <w:rPr>
          <w:rStyle w:val="11"/>
          <w:rFonts w:hint="eastAsia" w:ascii="仿宋_GB2312" w:hAnsi="仿宋_GB2312" w:eastAsia="仿宋_GB2312" w:cs="仿宋_GB2312"/>
          <w:kern w:val="0"/>
          <w:sz w:val="32"/>
          <w:szCs w:val="32"/>
        </w:rPr>
        <w:t>（市物流发展服务中心牵头，市发改委、市商务局、市农业农村局、市财政局、市交通运输局、市</w:t>
      </w:r>
      <w:r>
        <w:rPr>
          <w:rStyle w:val="11"/>
          <w:rFonts w:hint="default" w:ascii="仿宋_GB2312" w:hAnsi="仿宋_GB2312" w:eastAsia="仿宋_GB2312" w:cs="仿宋_GB2312"/>
          <w:kern w:val="0"/>
          <w:sz w:val="32"/>
          <w:szCs w:val="32"/>
        </w:rPr>
        <w:t>市场监管局</w:t>
      </w:r>
      <w:r>
        <w:rPr>
          <w:rStyle w:val="11"/>
          <w:rFonts w:hint="eastAsia" w:ascii="仿宋_GB2312" w:hAnsi="仿宋_GB2312" w:eastAsia="仿宋_GB2312" w:cs="仿宋_GB2312"/>
          <w:kern w:val="0"/>
          <w:sz w:val="32"/>
          <w:szCs w:val="32"/>
        </w:rPr>
        <w:t>等按职责分工负责）</w:t>
      </w:r>
    </w:p>
    <w:p>
      <w:pPr>
        <w:spacing w:line="60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5.创建预制菜产业品牌。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以湘菜为主要特色的预制菜区域公用品牌、企业品牌、产品品牌建设。结合本市传统农耕文化，挖掘预制菜品牌文化内涵，提升品牌附加值和软实力。对符合条件的预制菜企业优先纳入“垄上岳阳”品牌精品培育体系建设，给予一定的项目支持。（市农业农村局牵头，市工信局、市商务局、市文化和旅游广电局等按职责分工负责）</w:t>
      </w:r>
    </w:p>
    <w:p>
      <w:pPr>
        <w:pStyle w:val="2"/>
        <w:spacing w:line="600" w:lineRule="exact"/>
        <w:ind w:firstLine="642" w:firstLineChars="200"/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6.加快预制菜科技研发。</w:t>
      </w:r>
      <w:r>
        <w:rPr>
          <w:rFonts w:hint="eastAsia" w:ascii="仿宋_GB2312" w:hAnsi="仿宋_GB2312" w:eastAsia="仿宋_GB2312" w:cs="仿宋_GB2312"/>
          <w:sz w:val="32"/>
          <w:szCs w:val="32"/>
        </w:rPr>
        <w:t>借助洞庭实验室的优势，建立产学研相结合的预制菜全链条科技创新与应用机制。鼓励科研院所与龙头企业联合开展科研攻关，解决企业生产经营中存在的关键问题。鼓励有条件的企业自主研发特色产品，推动打造代表性湘菜产品、地方特色产品、电销爆款产品。在预制菜全产业链技术攻关项目方面给予一定的科研支持。充分用好“岳阳人才新政45条”，引进一批预制菜专业人才，打造一批重点研发团队，开展科研攻关和技术示范推广。加大预制菜产业职业技能人才培训和职业技能评价，培育预制菜技能人才。（市科技局牵头，市农业农村局、市人力资源和社会保障局、市教体局、市工信局、市财政局、市商务局等按职责分工负责）</w:t>
      </w:r>
    </w:p>
    <w:p>
      <w:pPr>
        <w:spacing w:line="60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7.构建预制菜标准体系。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企业围绕预制菜产品种类、原（辅）料生产、制作加工、产品供应、品质特征、质量安全等方面制定标准，构建以湘菜为主要特色的预制菜全产业链标准体系。支持社会团体、企业制定团体标准和企业标准，参与制定地方和行业标准。（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市</w:t>
      </w:r>
      <w:r>
        <w:rPr>
          <w:rFonts w:hint="default" w:ascii="仿宋_GB2312" w:hAnsi="仿宋_GB2312" w:eastAsia="仿宋_GB2312" w:cs="仿宋_GB2312"/>
          <w:sz w:val="32"/>
          <w:szCs w:val="32"/>
        </w:rPr>
        <w:t>市场监管局</w:t>
      </w:r>
      <w:r>
        <w:rPr>
          <w:rFonts w:hint="eastAsia" w:ascii="仿宋_GB2312" w:hAnsi="仿宋_GB2312" w:eastAsia="仿宋_GB2312" w:cs="仿宋_GB2312"/>
          <w:sz w:val="32"/>
          <w:szCs w:val="32"/>
        </w:rPr>
        <w:t>牵头，市农业农村局、市工信局、市商务局等按职责分工负责）</w:t>
      </w:r>
    </w:p>
    <w:p>
      <w:pPr>
        <w:spacing w:line="60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8.强化预制菜安全监管。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源头准入、全程管控、质量可追溯要求，加强预制菜产业全产业链质量安全监管。加快推进预制菜食品企业诚信管理体系建设、预制菜产业链食品质量安全追溯平台建设，建立健全守信激励和失信惩戒制度。加快推进预制菜检测标准和方法的研究与应用，加强对预制菜产业链企业的全程质量安全控制。（市</w:t>
      </w:r>
      <w:r>
        <w:rPr>
          <w:rFonts w:hint="default" w:ascii="仿宋_GB2312" w:hAnsi="仿宋_GB2312" w:eastAsia="仿宋_GB2312" w:cs="仿宋_GB2312"/>
          <w:sz w:val="32"/>
          <w:szCs w:val="32"/>
        </w:rPr>
        <w:t>市场监管局</w:t>
      </w:r>
      <w:r>
        <w:rPr>
          <w:rFonts w:hint="eastAsia" w:ascii="仿宋_GB2312" w:hAnsi="仿宋_GB2312" w:eastAsia="仿宋_GB2312" w:cs="仿宋_GB2312"/>
          <w:sz w:val="32"/>
          <w:szCs w:val="32"/>
        </w:rPr>
        <w:t>牵头，市农业农村局、市工信局、市商务局等按职责分工负责）</w:t>
      </w:r>
    </w:p>
    <w:p>
      <w:pPr>
        <w:spacing w:line="600" w:lineRule="exact"/>
        <w:ind w:firstLine="640" w:firstLineChars="200"/>
        <w:rPr>
          <w:rStyle w:val="12"/>
          <w:rFonts w:ascii="黑体" w:hAnsi="黑体" w:eastAsia="黑体" w:cs="仿宋_GB2312"/>
          <w:b w:val="0"/>
          <w:sz w:val="32"/>
          <w:szCs w:val="32"/>
        </w:rPr>
      </w:pPr>
      <w:r>
        <w:rPr>
          <w:rStyle w:val="12"/>
          <w:rFonts w:hint="eastAsia" w:ascii="黑体" w:hAnsi="黑体" w:eastAsia="黑体" w:cs="仿宋_GB2312"/>
          <w:b w:val="0"/>
          <w:sz w:val="32"/>
          <w:szCs w:val="32"/>
        </w:rPr>
        <w:t>四、</w:t>
      </w:r>
      <w:r>
        <w:rPr>
          <w:rStyle w:val="12"/>
          <w:rFonts w:hint="eastAsia" w:ascii="黑体" w:hAnsi="黑体" w:eastAsia="黑体" w:cs="仿宋_GB2312"/>
          <w:b w:val="0"/>
          <w:sz w:val="32"/>
          <w:szCs w:val="32"/>
          <w:lang w:eastAsia="zh-CN"/>
        </w:rPr>
        <w:t>加强工作</w:t>
      </w:r>
      <w:r>
        <w:rPr>
          <w:rStyle w:val="12"/>
          <w:rFonts w:hint="eastAsia" w:ascii="黑体" w:hAnsi="黑体" w:eastAsia="黑体" w:cs="仿宋_GB2312"/>
          <w:b w:val="0"/>
          <w:sz w:val="32"/>
          <w:szCs w:val="32"/>
        </w:rPr>
        <w:t>保障</w:t>
      </w:r>
    </w:p>
    <w:p>
      <w:pPr>
        <w:spacing w:line="60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1</w:t>
      </w:r>
      <w:r>
        <w:rPr>
          <w:rFonts w:hint="default" w:ascii="楷体_GB2312" w:hAnsi="仿宋_GB2312" w:eastAsia="楷体_GB2312" w:cs="仿宋_GB2312"/>
          <w:b/>
          <w:bCs/>
          <w:sz w:val="32"/>
          <w:szCs w:val="32"/>
        </w:rPr>
        <w:t>.</w:t>
      </w: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加强组织领导。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由农业农村部门牵头，发展改革、财政、工信、商务、科技、市场监管、交通、人社、教育、文旅、金融等部门参与，共同组建全市预制菜产业发展推进工作机制，统筹谋划制定全市预制菜产业发展布局、发展规划及行动方案，研究协调重大事项，指导督促政策措施落实，规范产业发展。各县市区要建立相应协调机制，因地制宜，细化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举措</w:t>
      </w:r>
      <w:r>
        <w:rPr>
          <w:rFonts w:hint="eastAsia" w:ascii="仿宋_GB2312" w:hAnsi="仿宋_GB2312" w:eastAsia="仿宋_GB2312" w:cs="仿宋_GB2312"/>
          <w:sz w:val="32"/>
          <w:szCs w:val="32"/>
        </w:rPr>
        <w:t>，推动预制菜产业协调有序发展。</w:t>
      </w:r>
    </w:p>
    <w:p>
      <w:pPr>
        <w:spacing w:line="60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2</w:t>
      </w:r>
      <w:r>
        <w:rPr>
          <w:rFonts w:hint="default" w:ascii="楷体_GB2312" w:hAnsi="仿宋_GB2312" w:eastAsia="楷体_GB2312" w:cs="仿宋_GB2312"/>
          <w:b/>
          <w:bCs/>
          <w:sz w:val="32"/>
          <w:szCs w:val="32"/>
        </w:rPr>
        <w:t>.</w:t>
      </w: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加强财政支持。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涉农资金，推动优势特色产业集群、农业产业园区、产业强镇等农业产业融合项目资金支持预制菜产业。将2022年度省政府督查激励奖励的500万元作为引导资金，鼓励重点县市区发展预制菜产业。同时鼓励各县市区政府加大财政投入，支持预制菜产业生产基地、龙头企业、科技创新、品牌培育等建设。</w:t>
      </w:r>
    </w:p>
    <w:p>
      <w:pPr>
        <w:spacing w:line="60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3</w:t>
      </w:r>
      <w:r>
        <w:rPr>
          <w:rFonts w:hint="default" w:ascii="楷体_GB2312" w:hAnsi="仿宋_GB2312" w:eastAsia="楷体_GB2312" w:cs="仿宋_GB2312"/>
          <w:b/>
          <w:bCs/>
          <w:sz w:val="32"/>
          <w:szCs w:val="32"/>
        </w:rPr>
        <w:t>.</w:t>
      </w: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加强要素保障。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保障预制菜企业合理用地需求。落实农产品加工、冷链储运、销售等税费优惠政策，支持预制菜企业发展。优化金融服务机制，量身定做预制菜产业金融支持产品，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给予达到一定条件的</w:t>
      </w:r>
      <w:r>
        <w:rPr>
          <w:rFonts w:hint="eastAsia" w:ascii="仿宋_GB2312" w:hAnsi="仿宋_GB2312" w:eastAsia="仿宋_GB2312" w:cs="仿宋_GB2312"/>
          <w:sz w:val="32"/>
          <w:szCs w:val="32"/>
        </w:rPr>
        <w:t>预制菜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企业给予专项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增信。</w:t>
      </w:r>
    </w:p>
    <w:p>
      <w:pPr>
        <w:spacing w:line="60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4</w:t>
      </w:r>
      <w:r>
        <w:rPr>
          <w:rFonts w:hint="default" w:ascii="楷体_GB2312" w:hAnsi="仿宋_GB2312" w:eastAsia="楷体_GB2312" w:cs="仿宋_GB2312"/>
          <w:b/>
          <w:bCs/>
          <w:sz w:val="32"/>
          <w:szCs w:val="32"/>
        </w:rPr>
        <w:t>.</w:t>
      </w: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加强宣传推介。</w:t>
      </w:r>
      <w:r>
        <w:rPr>
          <w:rFonts w:hint="eastAsia" w:ascii="仿宋_GB2312" w:hAnsi="仿宋_GB2312" w:eastAsia="仿宋_GB2312" w:cs="仿宋_GB2312"/>
          <w:sz w:val="32"/>
          <w:szCs w:val="32"/>
        </w:rPr>
        <w:t>发挥媒体优势，支持主流媒体通过预制菜宣传推介专栏、专题，引领市场消费潮流，拓展市场消费空间。利用新业态、新媒体、新平台，全方位展示展销预制菜产业、产品，营造全社会支持预制菜产业的良好氛围。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252" w:firstLineChars="1329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岳阳市人民政府办公室</w:t>
      </w:r>
    </w:p>
    <w:p>
      <w:pPr>
        <w:pStyle w:val="3"/>
        <w:spacing w:line="600" w:lineRule="exact"/>
        <w:ind w:firstLine="4252" w:firstLineChars="1329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2023年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right="195" w:rightChars="93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7" w:h="16840"/>
      <w:pgMar w:top="1984" w:right="1531" w:bottom="1531" w:left="1531" w:header="850" w:footer="1191" w:gutter="0"/>
      <w:pgNumType w:fmt="numberInDash"/>
      <w:cols w:space="720" w:num="1"/>
      <w:titlePg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/>
        <w:sz w:val="24"/>
      </w:rPr>
    </w:pPr>
    <w:r>
      <w:rPr>
        <w:rFonts w:ascii="宋体" w:hAnsi="宋体"/>
        <w:sz w:val="24"/>
      </w:rPr>
      <w:fldChar w:fldCharType="begin"/>
    </w:r>
    <w:r>
      <w:rPr>
        <w:rFonts w:ascii="宋体" w:hAnsi="宋体"/>
        <w:sz w:val="24"/>
      </w:rPr>
      <w:instrText xml:space="preserve"> PAGE  \* ArabicDash  \* MERGEFORMAT </w:instrText>
    </w:r>
    <w:r>
      <w:rPr>
        <w:rFonts w:ascii="宋体" w:hAnsi="宋体"/>
        <w:sz w:val="24"/>
      </w:rPr>
      <w:fldChar w:fldCharType="separate"/>
    </w:r>
    <w:r>
      <w:rPr>
        <w:rFonts w:ascii="宋体" w:hAnsi="宋体"/>
        <w:sz w:val="24"/>
      </w:rPr>
      <w:t>- 3 -</w:t>
    </w:r>
    <w:r>
      <w:rPr>
        <w:rFonts w:ascii="宋体" w:hAnsi="宋体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480" w:hanging="480" w:hangingChars="200"/>
      <w:rPr>
        <w:rFonts w:ascii="宋体" w:hAnsi="宋体"/>
        <w:sz w:val="24"/>
      </w:rPr>
    </w:pPr>
    <w:r>
      <w:rPr>
        <w:rFonts w:ascii="宋体" w:hAnsi="宋体"/>
        <w:sz w:val="24"/>
      </w:rPr>
      <w:fldChar w:fldCharType="begin"/>
    </w:r>
    <w:r>
      <w:rPr>
        <w:rFonts w:ascii="宋体" w:hAnsi="宋体"/>
        <w:sz w:val="24"/>
      </w:rPr>
      <w:instrText xml:space="preserve"> PAGE  \* ArabicDash  \* MERGEFORMAT </w:instrText>
    </w:r>
    <w:r>
      <w:rPr>
        <w:rFonts w:ascii="宋体" w:hAnsi="宋体"/>
        <w:sz w:val="24"/>
      </w:rPr>
      <w:fldChar w:fldCharType="separate"/>
    </w:r>
    <w:r>
      <w:rPr>
        <w:rFonts w:ascii="宋体" w:hAnsi="宋体"/>
        <w:sz w:val="24"/>
      </w:rPr>
      <w:t>- 2 -</w:t>
    </w:r>
    <w:r>
      <w:rPr>
        <w:rFonts w:ascii="宋体" w:hAnsi="宋体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5390515</wp:posOffset>
              </wp:positionH>
              <wp:positionV relativeFrom="paragraph">
                <wp:posOffset>20955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4.45pt;margin-top:1.65pt;height:144pt;width:144p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TUeiHtYAAAAKAQAADwAAAAAAAAABACAAAAA4AAAAZHJzL2Rvd25yZXYueG1sUEsB&#10;AhQAFAAAAAgAh07iQN4nS3qoAQAAQgMAAA4AAAAAAAAAAQAgAAAAO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571881"/>
    <w:multiLevelType w:val="singleLevel"/>
    <w:tmpl w:val="5B57188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lOGIzZjhkNDhhNjBiMjIwZjU4YTJjY2ZiYmE5NTMifQ=="/>
  </w:docVars>
  <w:rsids>
    <w:rsidRoot w:val="5B3C7450"/>
    <w:rsid w:val="00312961"/>
    <w:rsid w:val="004913A0"/>
    <w:rsid w:val="00556B12"/>
    <w:rsid w:val="00561D32"/>
    <w:rsid w:val="005761B6"/>
    <w:rsid w:val="006A6FE2"/>
    <w:rsid w:val="00774C37"/>
    <w:rsid w:val="009262E2"/>
    <w:rsid w:val="009C0E54"/>
    <w:rsid w:val="00A05A4C"/>
    <w:rsid w:val="00BB12D8"/>
    <w:rsid w:val="00BF6B66"/>
    <w:rsid w:val="00C41E75"/>
    <w:rsid w:val="00D7306D"/>
    <w:rsid w:val="00F26C98"/>
    <w:rsid w:val="0FF3E320"/>
    <w:rsid w:val="5B3C7450"/>
    <w:rsid w:val="6E6FB4C5"/>
    <w:rsid w:val="7FBFC7AC"/>
    <w:rsid w:val="BFBD46DA"/>
    <w:rsid w:val="D9FDD7CA"/>
    <w:rsid w:val="DABD92B4"/>
    <w:rsid w:val="ED790631"/>
    <w:rsid w:val="FD7FC40C"/>
    <w:rsid w:val="FEFD9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99"/>
  </w:style>
  <w:style w:type="paragraph" w:styleId="3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rPr>
      <w:rFonts w:eastAsia="仿宋_GB2312"/>
    </w:rPr>
  </w:style>
  <w:style w:type="paragraph" w:styleId="5">
    <w:name w:val="Body Text First Indent"/>
    <w:basedOn w:val="4"/>
    <w:qFormat/>
    <w:uiPriority w:val="99"/>
    <w:pPr>
      <w:spacing w:line="500" w:lineRule="exact"/>
      <w:ind w:firstLine="420"/>
    </w:pPr>
    <w:rPr>
      <w:rFonts w:ascii="Calibri" w:hAnsi="Calibri"/>
      <w:sz w:val="28"/>
      <w:szCs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1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15"/>
    <w:qFormat/>
    <w:uiPriority w:val="0"/>
    <w:rPr>
      <w:rFonts w:hint="default" w:ascii="Calibri" w:hAnsi="Calibri" w:cs="Calibri"/>
      <w:b/>
    </w:rPr>
  </w:style>
  <w:style w:type="character" w:customStyle="1" w:styleId="13">
    <w:name w:val="bjh-p"/>
    <w:qFormat/>
    <w:uiPriority w:val="0"/>
  </w:style>
  <w:style w:type="character" w:customStyle="1" w:styleId="14">
    <w:name w:val="页眉 字符"/>
    <w:basedOn w:val="10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818</Words>
  <Characters>4665</Characters>
  <Lines>38</Lines>
  <Paragraphs>10</Paragraphs>
  <TotalTime>1</TotalTime>
  <ScaleCrop>false</ScaleCrop>
  <LinksUpToDate>false</LinksUpToDate>
  <CharactersWithSpaces>5473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2023-09-09T06:36:00Z</dcterms:created>
  <dc:creator>大雁哥</dc:creator>
  <cp:lastModifiedBy>xjkp</cp:lastModifiedBy>
  <dcterms:modified xsi:type="dcterms:W3CDTF">2023-10-11T10:54:19Z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F89E45964BA844E2A0C7B4BD0D863425</vt:lpwstr>
  </property>
</Properties>
</file>