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</w:pPr>
    </w:p>
    <w:p>
      <w:pPr>
        <w:spacing w:line="660" w:lineRule="exact"/>
        <w:jc w:val="center"/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</w:pPr>
    </w:p>
    <w:p>
      <w:pPr>
        <w:spacing w:line="660" w:lineRule="exact"/>
        <w:jc w:val="center"/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</w:pPr>
    </w:p>
    <w:p>
      <w:pPr>
        <w:spacing w:line="660" w:lineRule="exact"/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2022</w:t>
      </w:r>
      <w:r>
        <w:rPr>
          <w:rFonts w:hint="eastAsia" w:ascii="方正小标宋简体" w:eastAsia="方正小标宋简体" w:cs="Times New Roman"/>
          <w:sz w:val="44"/>
          <w:szCs w:val="44"/>
        </w:rPr>
        <w:t>年度</w:t>
      </w:r>
      <w:r>
        <w:rPr>
          <w:rFonts w:hint="eastAsia" w:ascii="方正小标宋简体" w:eastAsia="方正小标宋简体" w:cs="Times New Roman"/>
          <w:sz w:val="44"/>
          <w:szCs w:val="44"/>
          <w:lang w:eastAsia="zh-CN"/>
        </w:rPr>
        <w:t>岳阳市审计局</w:t>
      </w:r>
      <w:r>
        <w:rPr>
          <w:rFonts w:hint="eastAsia" w:ascii="方正小标宋简体" w:eastAsia="方正小标宋简体" w:cs="Times New Roman"/>
          <w:sz w:val="44"/>
          <w:szCs w:val="44"/>
        </w:rPr>
        <w:t>部门整体支出</w:t>
      </w:r>
    </w:p>
    <w:p>
      <w:pPr>
        <w:spacing w:line="660" w:lineRule="exact"/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绩效自评报告</w:t>
      </w:r>
    </w:p>
    <w:p>
      <w:pPr>
        <w:jc w:val="center"/>
        <w:rPr>
          <w:rFonts w:eastAsia="黑体" w:cs="Times New Roman"/>
          <w:sz w:val="32"/>
          <w:szCs w:val="32"/>
        </w:rPr>
      </w:pPr>
    </w:p>
    <w:p>
      <w:pPr>
        <w:jc w:val="center"/>
        <w:rPr>
          <w:rFonts w:eastAsia="黑体" w:cs="Times New Roman"/>
          <w:sz w:val="32"/>
          <w:szCs w:val="32"/>
        </w:rPr>
      </w:pPr>
    </w:p>
    <w:p>
      <w:pPr>
        <w:jc w:val="center"/>
        <w:rPr>
          <w:rFonts w:eastAsia="黑体" w:cs="Times New Roman"/>
          <w:sz w:val="32"/>
          <w:szCs w:val="32"/>
        </w:rPr>
      </w:pPr>
    </w:p>
    <w:p>
      <w:pPr>
        <w:jc w:val="center"/>
        <w:rPr>
          <w:rFonts w:eastAsia="黑体" w:cs="Times New Roman"/>
          <w:sz w:val="32"/>
          <w:szCs w:val="32"/>
        </w:rPr>
      </w:pPr>
    </w:p>
    <w:p>
      <w:pPr>
        <w:jc w:val="center"/>
        <w:rPr>
          <w:rFonts w:eastAsia="黑体" w:cs="Times New Roman"/>
          <w:sz w:val="32"/>
          <w:szCs w:val="32"/>
        </w:rPr>
      </w:pPr>
    </w:p>
    <w:p>
      <w:pPr>
        <w:jc w:val="center"/>
        <w:rPr>
          <w:rFonts w:eastAsia="黑体" w:cs="Times New Roman"/>
          <w:sz w:val="32"/>
          <w:szCs w:val="32"/>
        </w:rPr>
      </w:pPr>
    </w:p>
    <w:p>
      <w:pPr>
        <w:jc w:val="center"/>
        <w:rPr>
          <w:rFonts w:eastAsia="黑体" w:cs="Times New Roman"/>
          <w:sz w:val="32"/>
          <w:szCs w:val="32"/>
        </w:rPr>
      </w:pPr>
    </w:p>
    <w:p>
      <w:pPr>
        <w:jc w:val="center"/>
        <w:rPr>
          <w:rFonts w:eastAsia="黑体" w:cs="Times New Roman"/>
          <w:sz w:val="32"/>
          <w:szCs w:val="32"/>
        </w:rPr>
      </w:pPr>
    </w:p>
    <w:p>
      <w:pPr>
        <w:jc w:val="center"/>
        <w:rPr>
          <w:rFonts w:eastAsia="黑体" w:cs="Times New Roman"/>
          <w:sz w:val="32"/>
          <w:szCs w:val="32"/>
        </w:rPr>
      </w:pPr>
    </w:p>
    <w:p>
      <w:pPr>
        <w:jc w:val="center"/>
        <w:rPr>
          <w:rFonts w:eastAsia="黑体" w:cs="Times New Roman"/>
          <w:sz w:val="32"/>
          <w:szCs w:val="32"/>
        </w:rPr>
      </w:pPr>
    </w:p>
    <w:p>
      <w:pPr>
        <w:jc w:val="both"/>
        <w:rPr>
          <w:rFonts w:eastAsia="黑体" w:cs="Times New Roman"/>
          <w:sz w:val="32"/>
          <w:szCs w:val="32"/>
        </w:rPr>
      </w:pPr>
    </w:p>
    <w:p>
      <w:pPr>
        <w:ind w:firstLine="880" w:firstLineChars="200"/>
        <w:jc w:val="center"/>
        <w:rPr>
          <w:rFonts w:eastAsia="黑体" w:cs="Times New Roman"/>
          <w:sz w:val="44"/>
          <w:szCs w:val="44"/>
        </w:rPr>
      </w:pPr>
    </w:p>
    <w:p>
      <w:pPr>
        <w:ind w:firstLine="720" w:firstLineChars="200"/>
        <w:jc w:val="center"/>
        <w:rPr>
          <w:rFonts w:eastAsia="黑体" w:cs="Times New Roman"/>
          <w:sz w:val="36"/>
          <w:szCs w:val="36"/>
        </w:rPr>
      </w:pPr>
      <w:r>
        <w:rPr>
          <w:rFonts w:hint="eastAsia" w:eastAsia="黑体" w:cs="Times New Roman"/>
          <w:sz w:val="36"/>
          <w:szCs w:val="36"/>
        </w:rPr>
        <w:t>单位名称（盖章）：</w:t>
      </w:r>
    </w:p>
    <w:p>
      <w:pPr>
        <w:jc w:val="center"/>
        <w:rPr>
          <w:rFonts w:hint="eastAsia" w:eastAsia="黑体" w:cs="Times New Roman"/>
          <w:sz w:val="36"/>
          <w:szCs w:val="36"/>
        </w:rPr>
      </w:pPr>
    </w:p>
    <w:p>
      <w:pPr>
        <w:jc w:val="center"/>
        <w:rPr>
          <w:rFonts w:hint="eastAsia" w:eastAsia="黑体" w:cs="Times New Roman"/>
          <w:sz w:val="36"/>
          <w:szCs w:val="36"/>
        </w:rPr>
      </w:pPr>
    </w:p>
    <w:p>
      <w:pPr>
        <w:jc w:val="center"/>
        <w:rPr>
          <w:rFonts w:hint="eastAsia" w:eastAsia="黑体" w:cs="Times New Roman"/>
          <w:sz w:val="32"/>
          <w:szCs w:val="32"/>
        </w:rPr>
      </w:pPr>
    </w:p>
    <w:p>
      <w:pPr>
        <w:jc w:val="center"/>
        <w:rPr>
          <w:rFonts w:hint="eastAsia" w:eastAsia="黑体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（一）部门基本情况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岳阳市审计局现有2</w:t>
      </w:r>
      <w:r>
        <w:rPr>
          <w:rFonts w:hint="eastAsia" w:eastAsia="仿宋_GB2312"/>
          <w:sz w:val="30"/>
          <w:szCs w:val="30"/>
          <w:lang w:val="en-US" w:eastAsia="zh-CN"/>
        </w:rPr>
        <w:t>5</w:t>
      </w:r>
      <w:r>
        <w:rPr>
          <w:rFonts w:hint="eastAsia" w:eastAsia="仿宋_GB2312"/>
          <w:sz w:val="30"/>
          <w:szCs w:val="30"/>
        </w:rPr>
        <w:t>个科室，分别为办公室、</w:t>
      </w:r>
      <w:r>
        <w:rPr>
          <w:rFonts w:hint="eastAsia" w:eastAsia="仿宋_GB2312"/>
          <w:sz w:val="30"/>
          <w:szCs w:val="30"/>
          <w:lang w:eastAsia="zh-CN"/>
        </w:rPr>
        <w:t>机关工会、审计执行科、</w:t>
      </w:r>
      <w:r>
        <w:rPr>
          <w:rFonts w:hint="eastAsia" w:eastAsia="仿宋_GB2312"/>
          <w:sz w:val="30"/>
          <w:szCs w:val="30"/>
        </w:rPr>
        <w:t>机关党委、审计技术科、计划统计科、资源和环境科、经贸外贸科、农业科、投资一科、投资二科、法制科、行政事业科、财政金融科、党政经责科、国企经责科、重大项目科、政策跟踪审计科、</w:t>
      </w:r>
      <w:r>
        <w:rPr>
          <w:rFonts w:hint="eastAsia" w:eastAsia="仿宋_GB2312"/>
          <w:sz w:val="30"/>
          <w:szCs w:val="30"/>
          <w:lang w:eastAsia="zh-CN"/>
        </w:rPr>
        <w:t>秘书科、</w:t>
      </w:r>
      <w:r>
        <w:rPr>
          <w:rFonts w:hint="eastAsia" w:eastAsia="仿宋_GB2312"/>
          <w:sz w:val="30"/>
          <w:szCs w:val="30"/>
        </w:rPr>
        <w:t>社会保障科、人事科、内审指导科、老干科、园区审计科、审计事务中心，共有在职人员8</w:t>
      </w:r>
      <w:r>
        <w:rPr>
          <w:rFonts w:hint="eastAsia" w:eastAsia="仿宋_GB2312"/>
          <w:sz w:val="30"/>
          <w:szCs w:val="30"/>
          <w:lang w:val="en-US" w:eastAsia="zh-CN"/>
        </w:rPr>
        <w:t>5</w:t>
      </w:r>
      <w:r>
        <w:rPr>
          <w:rFonts w:hint="eastAsia" w:eastAsia="仿宋_GB2312"/>
          <w:sz w:val="30"/>
          <w:szCs w:val="30"/>
        </w:rPr>
        <w:t>人。20</w:t>
      </w:r>
      <w:r>
        <w:rPr>
          <w:rFonts w:hint="eastAsia" w:eastAsia="仿宋_GB2312"/>
          <w:sz w:val="30"/>
          <w:szCs w:val="30"/>
          <w:lang w:val="en-US" w:eastAsia="zh-CN"/>
        </w:rPr>
        <w:t>22</w:t>
      </w:r>
      <w:r>
        <w:rPr>
          <w:rFonts w:hint="eastAsia" w:eastAsia="仿宋_GB2312"/>
          <w:sz w:val="30"/>
          <w:szCs w:val="30"/>
        </w:rPr>
        <w:t>年完成审计项目</w:t>
      </w:r>
      <w:r>
        <w:rPr>
          <w:rFonts w:hint="eastAsia" w:eastAsia="仿宋_GB2312"/>
          <w:sz w:val="30"/>
          <w:szCs w:val="30"/>
          <w:lang w:val="en-US" w:eastAsia="zh-CN"/>
        </w:rPr>
        <w:t>120</w:t>
      </w:r>
      <w:r>
        <w:rPr>
          <w:rFonts w:hint="eastAsia" w:eastAsia="仿宋_GB2312"/>
          <w:sz w:val="30"/>
          <w:szCs w:val="30"/>
        </w:rPr>
        <w:t>个。</w:t>
      </w:r>
    </w:p>
    <w:p>
      <w:pPr>
        <w:spacing w:line="600" w:lineRule="exact"/>
        <w:ind w:firstLine="640" w:firstLineChars="200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eastAsia="楷体_GB2312" w:cs="Times New Roman"/>
          <w:sz w:val="32"/>
          <w:szCs w:val="32"/>
        </w:rPr>
        <w:t>（二）部门年度整体支出绩效目标</w:t>
      </w:r>
      <w:r>
        <w:rPr>
          <w:rFonts w:hint="eastAsia" w:eastAsia="楷体_GB2312" w:cs="Times New Roman"/>
          <w:sz w:val="32"/>
          <w:szCs w:val="32"/>
          <w:lang w:eastAsia="zh-CN"/>
        </w:rPr>
        <w:t>，</w:t>
      </w:r>
      <w:r>
        <w:rPr>
          <w:rFonts w:eastAsia="楷体_GB2312" w:cs="Times New Roman"/>
          <w:sz w:val="32"/>
          <w:szCs w:val="32"/>
        </w:rPr>
        <w:t>其他项目支出绩效目标</w:t>
      </w:r>
      <w:r>
        <w:rPr>
          <w:rFonts w:hint="eastAsia" w:eastAsia="楷体_GB2312" w:cs="Times New Roman"/>
          <w:sz w:val="32"/>
          <w:szCs w:val="32"/>
          <w:lang w:eastAsia="zh-CN"/>
        </w:rPr>
        <w:t>。</w:t>
      </w:r>
      <w:r>
        <w:rPr>
          <w:rFonts w:hint="eastAsia" w:eastAsia="仿宋_GB2312"/>
          <w:sz w:val="30"/>
          <w:szCs w:val="30"/>
          <w:lang w:eastAsia="zh-CN"/>
        </w:rPr>
        <w:t>部门年度整体支出绩效目标为：</w:t>
      </w:r>
      <w:r>
        <w:rPr>
          <w:rFonts w:hint="eastAsia" w:eastAsia="仿宋_GB2312"/>
          <w:sz w:val="30"/>
          <w:szCs w:val="30"/>
        </w:rPr>
        <w:t>坚持依法审计、求真务实，加强对全部政府性资金运行的审计监督，着力促进重大政策措施落地生根，着力促进提升经济发展质量和效益，充分发挥审计在服务国家治理中的重要作用，为促进我市经济社会持续健康发展作出积极贡献。</w:t>
      </w:r>
      <w:r>
        <w:rPr>
          <w:rFonts w:hint="eastAsia" w:eastAsia="仿宋_GB2312"/>
          <w:sz w:val="30"/>
          <w:szCs w:val="30"/>
          <w:lang w:eastAsia="zh-CN"/>
        </w:rPr>
        <w:t>项目支出绩效目标为：按照年度审计项目计划完成经济责任审计、政策跟踪审计、经济责任交叉审计、固定资产投资结算审计等等，对违规资金应收尽收，对违法违规线索移交有关部门进一步查实。揭示问题、防范风险，</w:t>
      </w:r>
      <w:r>
        <w:rPr>
          <w:rFonts w:hint="eastAsia" w:eastAsia="仿宋_GB2312" w:cs="Times New Roman"/>
          <w:sz w:val="32"/>
          <w:szCs w:val="32"/>
          <w:lang w:eastAsia="zh-CN"/>
        </w:rPr>
        <w:t>聚焦财政资金真实合法效益主责主业，开展常态化“经济体检”，促进经济社会高质量发展。</w:t>
      </w:r>
    </w:p>
    <w:p>
      <w:p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二、一般公共预算支出情况</w:t>
      </w:r>
    </w:p>
    <w:p>
      <w:pPr>
        <w:pStyle w:val="2"/>
        <w:spacing w:before="0" w:beforeAutospacing="0" w:after="0" w:afterAutospacing="0" w:line="480" w:lineRule="auto"/>
        <w:ind w:firstLine="480"/>
        <w:rPr>
          <w:rFonts w:hint="eastAsia" w:eastAsia="楷体_GB2312" w:cs="Times New Roman"/>
          <w:sz w:val="32"/>
          <w:szCs w:val="32"/>
          <w:lang w:eastAsia="zh-CN"/>
        </w:rPr>
      </w:pPr>
      <w:r>
        <w:rPr>
          <w:rFonts w:eastAsia="楷体_GB2312" w:cs="Times New Roman"/>
          <w:sz w:val="32"/>
          <w:szCs w:val="32"/>
        </w:rPr>
        <w:t>（一）基本支出情况</w:t>
      </w:r>
      <w:r>
        <w:rPr>
          <w:rFonts w:hint="eastAsia" w:eastAsia="楷体_GB2312" w:cs="Times New Roman"/>
          <w:sz w:val="32"/>
          <w:szCs w:val="32"/>
          <w:lang w:eastAsia="zh-CN"/>
        </w:rPr>
        <w:t>。</w:t>
      </w:r>
    </w:p>
    <w:p>
      <w:pPr>
        <w:pStyle w:val="2"/>
        <w:spacing w:before="0" w:beforeAutospacing="0" w:after="0" w:afterAutospacing="0" w:line="480" w:lineRule="auto"/>
        <w:ind w:firstLine="480"/>
        <w:rPr>
          <w:rFonts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2"/>
          <w:sz w:val="30"/>
          <w:szCs w:val="30"/>
        </w:rPr>
        <w:t>全年支出</w:t>
      </w:r>
      <w:r>
        <w:rPr>
          <w:rFonts w:hint="eastAsia" w:eastAsia="仿宋_GB2312"/>
          <w:sz w:val="30"/>
          <w:szCs w:val="30"/>
          <w:lang w:val="en-US" w:eastAsia="zh-CN"/>
        </w:rPr>
        <w:t>1336.29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</w:rPr>
        <w:t>万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0"/>
          <w:szCs w:val="30"/>
        </w:rPr>
        <w:t>元，其中工资福利支出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/>
        </w:rPr>
        <w:t>970.61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</w:rPr>
        <w:t>万元，商品和服务支出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/>
        </w:rPr>
        <w:t>184.21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</w:rPr>
        <w:t>万元，对个人和家庭补助支出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/>
        </w:rPr>
        <w:t>171.43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</w:rPr>
        <w:t>万元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eastAsia="zh-CN"/>
        </w:rPr>
        <w:t>，资本性支出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/>
        </w:rPr>
        <w:t>10.04万元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</w:rPr>
        <w:t>。</w:t>
      </w:r>
    </w:p>
    <w:p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（二）项目支出情况</w:t>
      </w:r>
    </w:p>
    <w:p>
      <w:pPr>
        <w:pStyle w:val="2"/>
        <w:spacing w:before="0" w:beforeAutospacing="0" w:after="0" w:afterAutospacing="0" w:line="480" w:lineRule="auto"/>
        <w:ind w:firstLine="480"/>
        <w:rPr>
          <w:rFonts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eastAsia="zh-CN"/>
        </w:rPr>
        <w:t>我局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/>
        </w:rPr>
        <w:t>2022年专项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</w:rPr>
        <w:t>支出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eastAsia="zh-CN"/>
        </w:rPr>
        <w:t>合计</w:t>
      </w:r>
      <w:r>
        <w:rPr>
          <w:rFonts w:hint="eastAsia" w:eastAsia="仿宋_GB2312"/>
          <w:sz w:val="30"/>
          <w:szCs w:val="30"/>
          <w:lang w:val="en-US" w:eastAsia="zh-CN"/>
        </w:rPr>
        <w:t>1532.46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</w:rPr>
        <w:t>万元，其中工资福利支出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/>
        </w:rPr>
        <w:t>494.89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</w:rPr>
        <w:t>万元，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eastAsia="zh-CN"/>
        </w:rPr>
        <w:t>占专项支出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/>
        </w:rPr>
        <w:t>32.29%；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</w:rPr>
        <w:t>商品和服务支出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/>
        </w:rPr>
        <w:t>758.76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</w:rPr>
        <w:t>万元，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eastAsia="zh-CN"/>
        </w:rPr>
        <w:t>占专项支出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/>
        </w:rPr>
        <w:t>49.51%；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</w:rPr>
        <w:t>对个人和家庭补助支出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/>
        </w:rPr>
        <w:t>74.53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</w:rPr>
        <w:t>万元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eastAsia="zh-CN"/>
        </w:rPr>
        <w:t>，占专项支出的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/>
        </w:rPr>
        <w:t>4.86%；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eastAsia="zh-CN"/>
        </w:rPr>
        <w:t>资本性支出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/>
        </w:rPr>
        <w:t>204.29万元，占专项支出13.33%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</w:rPr>
        <w:t>。20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</w:rPr>
        <w:t>市审计局本着专款专用的原则，专项支出基本做到了按预算科目和项目资金的规定使用财政资金。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政府性基金预算支出情况</w:t>
      </w:r>
    </w:p>
    <w:p>
      <w:pPr>
        <w:spacing w:line="600" w:lineRule="exact"/>
        <w:ind w:firstLine="640" w:firstLineChars="200"/>
        <w:rPr>
          <w:rFonts w:hint="eastAsia" w:eastAsia="楷体_GB2312" w:cs="Times New Roman"/>
          <w:sz w:val="32"/>
          <w:szCs w:val="32"/>
          <w:lang w:eastAsia="zh-CN"/>
        </w:rPr>
      </w:pPr>
      <w:r>
        <w:rPr>
          <w:rFonts w:hint="eastAsia" w:eastAsia="楷体_GB2312" w:cs="Times New Roman"/>
          <w:sz w:val="32"/>
          <w:szCs w:val="32"/>
          <w:lang w:eastAsia="zh-CN"/>
        </w:rPr>
        <w:t>我局无政府性基金预算支出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国有资本经营预算支出情况</w:t>
      </w:r>
    </w:p>
    <w:p>
      <w:pPr>
        <w:spacing w:line="600" w:lineRule="exact"/>
        <w:ind w:firstLine="640" w:firstLineChars="200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2022年，</w:t>
      </w:r>
      <w:r>
        <w:rPr>
          <w:rFonts w:hint="eastAsia" w:eastAsia="仿宋_GB2312" w:cs="Times New Roman"/>
          <w:sz w:val="32"/>
          <w:szCs w:val="32"/>
          <w:lang w:eastAsia="zh-CN"/>
        </w:rPr>
        <w:t>我局有待编预算国有资本经营预算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12万元。全部为商品服务支出。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社会保险基金预算支出情况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我局无社会保险基金预算支出</w:t>
      </w:r>
    </w:p>
    <w:p>
      <w:p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六、部门整体支出绩效情况</w:t>
      </w:r>
    </w:p>
    <w:p>
      <w:pPr>
        <w:spacing w:line="600" w:lineRule="exact"/>
        <w:ind w:firstLine="640" w:firstLineChars="200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2022年市审计局立足经济监督定位，聚焦财政资金真实合法效益主责主业，开展常态化“经济体检”，在促进高质量发展方面发挥了重要作用。重点审计了“三高四新”战略定位和使命任务、扛牢“守护好一江碧水”政治责任、乡村振兴战略、“放管服”改革等政策落实情况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2022年</w:t>
      </w:r>
      <w:r>
        <w:rPr>
          <w:rFonts w:hint="eastAsia" w:eastAsia="仿宋_GB2312" w:cs="Times New Roman"/>
          <w:sz w:val="32"/>
          <w:szCs w:val="32"/>
          <w:lang w:eastAsia="zh-CN"/>
        </w:rPr>
        <w:t>共完成审计项目128个，促进财政增收节支和挽回损失16.95亿元，蝉联省审计厅优秀项目一等奖，获评全市“三表率一模范机关”，安全生产、平安建设、优化营商环境优秀单位；信访工作示范单位等荣誉称号。向市委审计委员会报送政府债券管理、行政事业型国有资产管理、优化营商环境等审计专报、审计要情和综合报告12篇；加快了一批重大项目建设，推动了一批重要机制出台，推动加快拨付资金3.46亿元。对市本级28家单位543个工程项目开展专项审计调查或审计，揭示了工程项目招投标不合规、变更控制不力、竣工结算严重滞后等问题，审减资金2.02亿元。对平台公司与民企合作开发的商业性房地产项目进行审计，重点揭示出借资金本息问题，督促收回1.25亿元，着力防范国有资产流失。组织开展困难群众救助、社保、教育等民生审计项目，督促相关部门拨付退捕渔民社保补贴2160.8万元和被征地农民社会保障资金缺口2.08亿元，揭示了一批损害群众切身利益的问题，有力维护了民生福祉。将有关问题线索及时移送市纪委监委，共追责问责118人，形成了强大的整改震慑力。</w:t>
      </w:r>
    </w:p>
    <w:p>
      <w:p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七、存在的问题及原因分析</w:t>
      </w:r>
    </w:p>
    <w:p>
      <w:pPr>
        <w:pStyle w:val="2"/>
        <w:spacing w:before="0" w:beforeAutospacing="0" w:after="0" w:afterAutospacing="0" w:line="480" w:lineRule="auto"/>
        <w:ind w:firstLine="480"/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存在的问题：一是预算编制以及预算执行不合理。预算编制与实际支出存在不小的差异，预算内经费不足，难以满足机关运转需要。二是固定资产管理有待加强。</w:t>
      </w:r>
    </w:p>
    <w:p>
      <w:pPr>
        <w:pStyle w:val="2"/>
        <w:spacing w:before="0" w:beforeAutospacing="0" w:after="0" w:afterAutospacing="0" w:line="480" w:lineRule="auto"/>
        <w:ind w:firstLine="480"/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原因分析：主要原因是根据预算编制规则，预算内资金缩减，公用经费不足，难以满足机关日常运转的需要。人员紧张，固定资产无专人管理，难以做到账账相符和账实相符。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下一步改进措施</w:t>
      </w:r>
    </w:p>
    <w:p>
      <w:pPr>
        <w:pStyle w:val="2"/>
        <w:spacing w:before="0" w:beforeAutospacing="0" w:after="0" w:afterAutospacing="0" w:line="480" w:lineRule="auto"/>
        <w:ind w:firstLine="480"/>
        <w:rPr>
          <w:rFonts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2"/>
          <w:sz w:val="30"/>
          <w:szCs w:val="30"/>
        </w:rPr>
        <w:t>一是按照预算规定的项目和用途严格财务审核，经费支出严格按预算规定项目的财务支出内容进行财务核算，在预算金额内严格控制费用的支出。</w:t>
      </w:r>
    </w:p>
    <w:p>
      <w:pPr>
        <w:pStyle w:val="2"/>
        <w:spacing w:before="0" w:beforeAutospacing="0" w:after="0" w:afterAutospacing="0" w:line="480" w:lineRule="auto"/>
        <w:ind w:firstLine="480"/>
        <w:rPr>
          <w:rFonts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2"/>
          <w:sz w:val="30"/>
          <w:szCs w:val="30"/>
        </w:rPr>
        <w:t>二是预算财务分析常态化，定期做好预算支出财务分析，做好单位整体支出预算评价工作。</w:t>
      </w:r>
    </w:p>
    <w:p>
      <w:pPr>
        <w:pStyle w:val="2"/>
        <w:spacing w:before="0" w:beforeAutospacing="0" w:after="0" w:afterAutospacing="0" w:line="480" w:lineRule="auto"/>
        <w:ind w:firstLine="480"/>
        <w:rPr>
          <w:rFonts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0"/>
          <w:szCs w:val="30"/>
        </w:rPr>
        <w:t>三是制度适用本局的固定资产管理制度，从资产采购、使用以及报废各环节规范固定资产的管理，提高固定资产使用效率，减少资金浪费。</w:t>
      </w:r>
    </w:p>
    <w:p>
      <w:pPr>
        <w:numPr>
          <w:ilvl w:val="0"/>
          <w:numId w:val="2"/>
        </w:numPr>
        <w:spacing w:line="600" w:lineRule="exact"/>
        <w:ind w:left="0" w:leftChars="0"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绩效自评结果拟应用和公开情况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default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绩效自评的结果将</w:t>
      </w:r>
      <w:r>
        <w:rPr>
          <w:rFonts w:hint="eastAsia" w:eastAsia="仿宋_GB2312" w:cs="Times New Roman"/>
          <w:kern w:val="2"/>
          <w:sz w:val="30"/>
          <w:szCs w:val="30"/>
          <w:lang w:val="en-US" w:eastAsia="zh-CN" w:bidi="ar-SA"/>
        </w:rPr>
        <w:t>广泛运用于机关年度绩效考核，及科室评先评优。并按照有关规定，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在</w:t>
      </w:r>
      <w:r>
        <w:rPr>
          <w:rFonts w:hint="eastAsia" w:eastAsia="仿宋_GB2312" w:cs="Times New Roman"/>
          <w:kern w:val="2"/>
          <w:sz w:val="30"/>
          <w:szCs w:val="30"/>
          <w:lang w:val="en-US" w:eastAsia="zh-CN" w:bidi="ar-SA"/>
        </w:rPr>
        <w:t>局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门户网站上公开，接受社会大众的监督。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十、其他需要说明的情况</w:t>
      </w:r>
    </w:p>
    <w:p>
      <w:pPr>
        <w:spacing w:line="600" w:lineRule="exact"/>
        <w:ind w:firstLine="640" w:firstLineChars="200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无</w:t>
      </w:r>
    </w:p>
    <w:p>
      <w:pPr>
        <w:spacing w:line="600" w:lineRule="exac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附件：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1.部门整体支出绩效评价基础数据表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2.部门整体支出绩效自评表</w:t>
      </w:r>
    </w:p>
    <w:p>
      <w:pPr>
        <w:spacing w:line="600" w:lineRule="exact"/>
        <w:ind w:firstLine="640" w:firstLineChars="200"/>
        <w:rPr>
          <w:rFonts w:hint="eastAsia" w:eastAsia="仿宋_GB2312" w:cs="Times New Roman"/>
          <w:kern w:val="0"/>
          <w:sz w:val="32"/>
          <w:szCs w:val="32"/>
          <w:lang w:eastAsia="zh-CN"/>
        </w:rPr>
      </w:pPr>
      <w:r>
        <w:rPr>
          <w:rFonts w:eastAsia="仿宋_GB2312" w:cs="Times New Roman"/>
          <w:sz w:val="32"/>
          <w:szCs w:val="32"/>
        </w:rPr>
        <w:t>3.项目支出绩效自评表（每个一级项目支出一张表）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CCE9C0"/>
    <w:multiLevelType w:val="singleLevel"/>
    <w:tmpl w:val="E0CCE9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2B4801"/>
    <w:multiLevelType w:val="singleLevel"/>
    <w:tmpl w:val="0C2B480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ZWE3MGIwNDVmZTQ4MWEzMWM1ZmRmOWE2Y2Y3NTUifQ=="/>
  </w:docVars>
  <w:rsids>
    <w:rsidRoot w:val="2EC03795"/>
    <w:rsid w:val="089E3A0A"/>
    <w:rsid w:val="2EC03795"/>
    <w:rsid w:val="40C614C0"/>
    <w:rsid w:val="6A75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1862</Words>
  <Characters>1990</Characters>
  <Lines>0</Lines>
  <Paragraphs>0</Paragraphs>
  <TotalTime>162</TotalTime>
  <ScaleCrop>false</ScaleCrop>
  <LinksUpToDate>false</LinksUpToDate>
  <CharactersWithSpaces>1990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2023-07-06T02:59:00Z</dcterms:created>
  <dc:creator>Quinice 罗</dc:creator>
  <cp:lastModifiedBy>Quinice 罗</cp:lastModifiedBy>
  <cp:lastPrinted>2023-07-21T02:43:18Z</cp:lastPrinted>
  <dcterms:modified xsi:type="dcterms:W3CDTF">2023-07-21T02:44:09Z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70DA859DFAF44115AE7FE53520219FD4_11</vt:lpwstr>
  </property>
</Properties>
</file>