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岳阳市人民政府研究室部门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整体支出绩效自评报告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岳阳市人民政府研究室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岳阳市人民政府研究室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部门（单位）基本情况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根据市委编办核定:市政府研究室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本级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内设科室4个，分别是办公室、综合科、调研科、信息科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人员编制数12名，实有人数10人。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二级机构1个（财务未单列），人员编制数7人，实有人数0人。主要职责如下：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（一）负责起草《政府工作报告》和市政府主要领导同志重要讲话、报告、文章。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（二）负责起草市政府向省委、省政府的重要汇报材料；组织和协同有关方面起草、修改市政府的有关重要综合性文件；参与起草市委、市政府有关重要会议的文件。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（三）对涉及全市经济建设、社会发展和改革开放等全局性工作的重大课题组织调查研究，及时综合归纳，提出供市政府决策的参考方案和政策性建议。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（四）对市内外经济形势和社会发展政策进行分析和研究，提出政策建议。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（五）收集、整理全市政务信息，及时向省政府办公厅传报；收集、分析、整理和报送经济社会发展的重要信息、动态，为市政府决策提供参考建议。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（六）负责全市政府系统的情况综合、调查研究和信息工作指导。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（七）编发《民本岳阳》、《政府通报》、《经济动态》。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（八）承办市人民政府交办的其他事项。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二、一般公共预算支出情况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（一）基本支出情况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2022年度财政拨款基本支出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337.47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万元，其中：人员经费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217.29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万元，占基本支出的6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%,主要包括主要包括基本工资、津贴补贴、奖金、伙食补助费、机关事业部门基本养老保险缴费、职工基本医疗保险缴费、其他社会保障缴费、住房公积金、医疗费、其他工资福利支出、离休费、抚恤金、生活补助、奖励金、其他对个人和家庭的补助；公用经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120.18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万元，占基本支出的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35.61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%，主要包括办公费、印刷费、水费、电费、邮电费、取暖费、物业管理费、差旅费、维修（护）费、会议费、培训费、公务接待费、劳务费、工会经费、福利费、公务用车运行维护费、其他交通费用、其他商品和服务支出、办公设备购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“三公”经费财政拨款支出决算总体情况说明：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2022年度“三公”经费财政拨款支出预算为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4.68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万元，支出决算为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4.68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万元，完成预算的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100.00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%，其中：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因公出国（境）费支出预算为0万元，支出决算为0万元。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公务接待费支出预算为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.38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万元，支出决算为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1.38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万元，完成预算的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00.00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%，主要原因是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公务接待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增多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导致公务接待费增加。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公务用车购置费支出预算为0万元，支出决算为0万元。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公务用车运行维护费支出预算为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万元，支出决算为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3.3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万元，完成预算的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100.00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项目支出情况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3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2022年本部门无项目支出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政府性基金预算支出情况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2022年本部门无政府性基金收支。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国有资本经营预算支出情况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 w:firstLine="240" w:firstLineChars="1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2022年本部门无国有资本经营预算收支。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社会保险基金预算支出情况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 w:firstLine="240" w:firstLineChars="1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2022年本部门无社会保险基金预算收支。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六、部门整体支出绩效情况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根据年初设定的绩效目标，绩效自评得分为96分。全年预算数为259.73万元，执行数为337.47万元，完成预算的129.93%。绩效目标完成情况：一是起草《政府工作报告》和市政府主要领导同志重要讲话、报告、文章；二是起草市政府向省委、省政府的重要汇报材料；三是组织和协同起草、修改市政府的有关重要综合性文件；四是参与起草市委、市政府有关重要会议的文件；五是组织重大课题调查研究并完成有价值、有见地、有分析、有对策的调研成果，为市委市政府决策提供可靠依据和可行对策；六是收集、整理全市政务信息，及时向省政府办公厅传报；七是收集、分析、整理和报送经济社会发展的重要信息、动态，为市政府决策提供参考建议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七、存在的问题及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下一步改进措施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预算编制有待进一步准确。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由于预算一体化系统为新使用系统，操作使用需要更进一步熟练。同时由于缺乏专业的财务人员，导致对政策的学习不够及时。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今后工作中，进一步严格按照预算规定项目的财务支出内容进行财务预算，在预算金额内严控费用支出。推动建立过紧日子的长效机制，推进预算一体化系统建设，使预算管理水平更上台阶。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八、</w:t>
      </w:r>
      <w:r>
        <w:rPr>
          <w:rFonts w:hint="default" w:ascii="Times New Roman" w:hAnsi="Times New Roman" w:eastAsia="黑体" w:cs="Times New Roman"/>
          <w:sz w:val="32"/>
          <w:szCs w:val="32"/>
        </w:rPr>
        <w:t>部门整体支出绩效自评结果拟应用和公开情况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根据绩效自评结果更加合理地编制下一年度部门预算，定期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公开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预决算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绩效评价表。不断强化绩效评价在预算编制中发挥的作用，提高财政资金的使用效率，推动部门的健康可持续发展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年度部门整体支出绩效评价基础数据表</w:t>
      </w:r>
    </w:p>
    <w:tbl>
      <w:tblPr>
        <w:tblStyle w:val="3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&lt;100%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3.06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0.46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32.28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120.18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15.7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20.21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27.31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4.65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1.7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5.34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3.76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5.32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压减非必要非刚性支出，严格控制三公经费，规范机关事务管理工作，降低运行成本，合理配置资金。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</w:tbl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陈文</w:t>
      </w:r>
      <w:r>
        <w:rPr>
          <w:rFonts w:hint="default" w:ascii="Times New Roman" w:hAnsi="Times New Roman" w:eastAsia="仿宋_GB2312" w:cs="Times New Roman"/>
          <w:sz w:val="22"/>
        </w:rPr>
        <w:t xml:space="preserve">    填报日期：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2023年7月17日</w:t>
      </w:r>
      <w:r>
        <w:rPr>
          <w:rFonts w:hint="default" w:ascii="Times New Roman" w:hAnsi="Times New Roman" w:eastAsia="仿宋_GB2312" w:cs="Times New Roman"/>
          <w:sz w:val="22"/>
        </w:rPr>
        <w:t xml:space="preserve">  联系电话：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13973012987</w:t>
      </w:r>
      <w:r>
        <w:rPr>
          <w:rFonts w:hint="default" w:ascii="Times New Roman" w:hAnsi="Times New Roman" w:eastAsia="仿宋_GB2312" w:cs="Times New Roman"/>
          <w:sz w:val="22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2"/>
        </w:rPr>
        <w:t>单位负责人签字：</w:t>
      </w:r>
      <w:r>
        <w:rPr>
          <w:rFonts w:hint="default" w:ascii="Times New Roman" w:hAnsi="Times New Roman" w:eastAsia="仿宋_GB2312" w:cs="Times New Roman"/>
          <w:sz w:val="22"/>
        </w:rPr>
        <w:br w:type="page"/>
      </w:r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年度部门整体支出绩效自评表</w:t>
      </w:r>
    </w:p>
    <w:tbl>
      <w:tblPr>
        <w:tblStyle w:val="3"/>
        <w:tblW w:w="100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704"/>
        <w:gridCol w:w="877"/>
        <w:gridCol w:w="1269"/>
        <w:gridCol w:w="716"/>
        <w:gridCol w:w="873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岳阳市人民政府研究室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年初预算数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259.73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337.47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337.47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337.47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337.47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1：起草《政府工作报告》和市政府主要领导同志重要讲话、报告、文章；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2：起草市政府向省委、省政府的重要汇报材料；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3：组织和协同起草、修改市政府的有关重要综合性文件；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4：参与起草市委、市政府有关重要会议的文件；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5：组织重大课题调查研究并完成有价值、有见地、有分析、有对策的调研成果，为市委市政府决策提供可靠依据和可行对策；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6：收集、整理全市政务信息，及时向省政府办公厅传报；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7：收集、分析、整理和报送经济社会发展的重要信息、动态，为市政府决策提供参考建议；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年度，较好完成了市委市政府的各项工作任务，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年以来，共起草领导讲话、专题报告、宣传片脚本、考察线路解说词等文稿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00余篇。全年累计报送政务信息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98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3条，有1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多条被省政府采用，超额完成了省定目标任务，20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年综合排名跃居全省第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位。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(50分)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组织完成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个重大课题调查研究；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重大课题数目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数目已达标，继续按要求调研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收集、整理全市政务信息，报送700条以上政务信息；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整理信息数目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数目已达标，继续按要求整理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收集、分析、整理和报送100份以上的经济社会发展的重要信息、动态，为市政府决策提供参考建议；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整理信息数目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数目已达标，继续按要求整理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组织和协同起草、修改市政府的有关重要综合性材料500份以上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起草资料数目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及时完成《政府工作报告》等各类文稿材料，调研成果完成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率100%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按要求撰写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已完成，继续按要求完成撰写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年底前完成任务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及时完成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不超预算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不超预算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未超预算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本单位为非盈利单位，不直接产生经济效益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非盈利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非盈利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为市委市政府提供参考决策，为岳阳市高质量发展提供决策参谋。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促进社会发展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对社会生态的发展不产生负面影响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无负面影响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无负面影响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对社会可持续发展不产生负面影响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无负面影响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无负面影响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服务对象满意度达到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满意度达标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96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陈文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   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填报日期：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2023年7月19日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      </w:t>
      </w:r>
    </w:p>
    <w:p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13973012987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  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B7085"/>
    <w:multiLevelType w:val="singleLevel"/>
    <w:tmpl w:val="E7CB708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C8BCF9"/>
    <w:multiLevelType w:val="singleLevel"/>
    <w:tmpl w:val="0FC8BCF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54623D1"/>
    <w:multiLevelType w:val="singleLevel"/>
    <w:tmpl w:val="754623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YjE4ZWY3ZGJhZWMzZWUzNjc1MTdjZmEzYmY4ZjEifQ=="/>
  </w:docVars>
  <w:rsids>
    <w:rsidRoot w:val="247D15E3"/>
    <w:rsid w:val="1BAD7ABB"/>
    <w:rsid w:val="247D15E3"/>
    <w:rsid w:val="2639520E"/>
    <w:rsid w:val="288D49A0"/>
    <w:rsid w:val="2CA955D9"/>
    <w:rsid w:val="46132F3A"/>
    <w:rsid w:val="4D731A2F"/>
    <w:rsid w:val="4E997D2C"/>
    <w:rsid w:val="56A42071"/>
    <w:rsid w:val="62E5531B"/>
    <w:rsid w:val="682E4F8E"/>
    <w:rsid w:val="7432527A"/>
    <w:rsid w:val="749D16E3"/>
    <w:rsid w:val="7E87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2023-07-18T03:12:00Z</dcterms:created>
  <dc:creator>Administrator</dc:creator>
  <cp:lastModifiedBy>WPS_1591192234</cp:lastModifiedBy>
  <dcterms:modified xsi:type="dcterms:W3CDTF">2023-10-24T09:01:05Z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2A20671CC9EC4D379378079B25C72316_11</vt:lpwstr>
  </property>
</Properties>
</file>