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环境监察、监测等运行经费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岳阳市生态环境局君山分局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岳阳市生态环境局</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2023</w:t>
      </w:r>
      <w:r>
        <w:rPr>
          <w:rFonts w:hint="eastAsia" w:eastAsia="仿宋_GB2312"/>
          <w:sz w:val="32"/>
        </w:rPr>
        <w:t>年</w:t>
      </w:r>
      <w:r>
        <w:rPr>
          <w:rFonts w:hint="eastAsia" w:eastAsia="仿宋_GB2312"/>
          <w:sz w:val="32"/>
          <w:lang w:val="en-US" w:eastAsia="zh-CN"/>
        </w:rPr>
        <w:t>6</w:t>
      </w:r>
      <w:r>
        <w:rPr>
          <w:rFonts w:hint="eastAsia" w:eastAsia="仿宋_GB2312"/>
          <w:sz w:val="32"/>
        </w:rPr>
        <w:t>月</w:t>
      </w:r>
      <w:r>
        <w:rPr>
          <w:rFonts w:hint="eastAsia" w:eastAsia="仿宋_GB2312"/>
          <w:sz w:val="32"/>
          <w:lang w:val="en-US" w:eastAsia="zh-CN"/>
        </w:rPr>
        <w:t>28</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850"/>
        <w:gridCol w:w="1494"/>
        <w:gridCol w:w="177"/>
        <w:gridCol w:w="413"/>
        <w:gridCol w:w="421"/>
        <w:gridCol w:w="563"/>
        <w:gridCol w:w="670"/>
        <w:gridCol w:w="409"/>
        <w:gridCol w:w="141"/>
        <w:gridCol w:w="632"/>
        <w:gridCol w:w="145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355" w:type="dxa"/>
            <w:gridSpan w:val="5"/>
            <w:vAlign w:val="center"/>
          </w:tcPr>
          <w:p>
            <w:pPr>
              <w:rPr>
                <w:rFonts w:hint="default" w:eastAsia="仿宋_GB2312"/>
                <w:sz w:val="24"/>
                <w:lang w:val="en-US" w:eastAsia="zh-CN"/>
              </w:rPr>
            </w:pPr>
            <w:r>
              <w:rPr>
                <w:rFonts w:hint="eastAsia" w:eastAsia="仿宋_GB2312"/>
                <w:sz w:val="24"/>
                <w:lang w:val="en-US" w:eastAsia="zh-CN"/>
              </w:rPr>
              <w:t>郭俊毅</w:t>
            </w:r>
          </w:p>
        </w:tc>
        <w:tc>
          <w:tcPr>
            <w:tcW w:w="1233"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13975031188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355" w:type="dxa"/>
            <w:gridSpan w:val="5"/>
            <w:vAlign w:val="center"/>
          </w:tcPr>
          <w:p>
            <w:pPr>
              <w:rPr>
                <w:rFonts w:eastAsia="仿宋_GB2312"/>
                <w:sz w:val="24"/>
              </w:rPr>
            </w:pPr>
            <w:r>
              <w:rPr>
                <w:rFonts w:hint="eastAsia" w:eastAsia="仿宋_GB2312"/>
                <w:sz w:val="24"/>
                <w:lang w:eastAsia="zh-CN"/>
              </w:rPr>
              <w:t>岳阳市君山区</w:t>
            </w:r>
          </w:p>
        </w:tc>
        <w:tc>
          <w:tcPr>
            <w:tcW w:w="1233"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eastAsia="仿宋_GB2312"/>
                <w:sz w:val="24"/>
              </w:rPr>
            </w:pPr>
            <w:r>
              <w:rPr>
                <w:rFonts w:hint="eastAsia" w:eastAsia="仿宋_GB2312"/>
                <w:sz w:val="24"/>
                <w:lang w:val="en-US" w:eastAsia="zh-CN"/>
              </w:rPr>
              <w:t>2022 年1月起至2022年12月止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85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36.05</w:t>
            </w:r>
          </w:p>
        </w:tc>
        <w:tc>
          <w:tcPr>
            <w:tcW w:w="167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834" w:type="dxa"/>
            <w:gridSpan w:val="2"/>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36.05</w:t>
            </w:r>
          </w:p>
        </w:tc>
        <w:tc>
          <w:tcPr>
            <w:tcW w:w="164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773"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36.05</w:t>
            </w:r>
          </w:p>
        </w:tc>
        <w:tc>
          <w:tcPr>
            <w:tcW w:w="1455"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850" w:type="dxa"/>
            <w:tcBorders>
              <w:bottom w:val="single" w:color="auto" w:sz="4" w:space="0"/>
            </w:tcBorders>
            <w:vAlign w:val="center"/>
          </w:tcPr>
          <w:p>
            <w:pPr>
              <w:rPr>
                <w:rFonts w:eastAsia="仿宋_GB2312"/>
                <w:spacing w:val="-6"/>
                <w:sz w:val="24"/>
              </w:rPr>
            </w:pPr>
          </w:p>
        </w:tc>
        <w:tc>
          <w:tcPr>
            <w:tcW w:w="1671"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834" w:type="dxa"/>
            <w:gridSpan w:val="2"/>
            <w:tcBorders>
              <w:bottom w:val="single" w:color="auto" w:sz="4" w:space="0"/>
            </w:tcBorders>
            <w:vAlign w:val="center"/>
          </w:tcPr>
          <w:p>
            <w:pPr>
              <w:rPr>
                <w:rFonts w:eastAsia="仿宋_GB2312"/>
                <w:spacing w:val="-6"/>
                <w:sz w:val="24"/>
              </w:rPr>
            </w:pPr>
          </w:p>
        </w:tc>
        <w:tc>
          <w:tcPr>
            <w:tcW w:w="1642"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773" w:type="dxa"/>
            <w:gridSpan w:val="2"/>
            <w:tcBorders>
              <w:bottom w:val="single" w:color="auto" w:sz="4" w:space="0"/>
            </w:tcBorders>
            <w:vAlign w:val="center"/>
          </w:tcPr>
          <w:p>
            <w:pPr>
              <w:rPr>
                <w:rFonts w:eastAsia="仿宋_GB2312"/>
                <w:spacing w:val="-6"/>
                <w:sz w:val="24"/>
              </w:rPr>
            </w:pPr>
          </w:p>
        </w:tc>
        <w:tc>
          <w:tcPr>
            <w:tcW w:w="1455"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850" w:type="dxa"/>
            <w:tcBorders>
              <w:bottom w:val="single" w:color="auto" w:sz="4" w:space="0"/>
            </w:tcBorders>
            <w:vAlign w:val="center"/>
          </w:tcPr>
          <w:p>
            <w:pPr>
              <w:rPr>
                <w:rFonts w:eastAsia="仿宋_GB2312"/>
                <w:sz w:val="24"/>
              </w:rPr>
            </w:pPr>
          </w:p>
        </w:tc>
        <w:tc>
          <w:tcPr>
            <w:tcW w:w="167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834" w:type="dxa"/>
            <w:gridSpan w:val="2"/>
            <w:tcBorders>
              <w:bottom w:val="single" w:color="auto" w:sz="4" w:space="0"/>
            </w:tcBorders>
            <w:vAlign w:val="center"/>
          </w:tcPr>
          <w:p>
            <w:pPr>
              <w:rPr>
                <w:rFonts w:eastAsia="仿宋_GB2312"/>
                <w:sz w:val="24"/>
              </w:rPr>
            </w:pPr>
          </w:p>
        </w:tc>
        <w:tc>
          <w:tcPr>
            <w:tcW w:w="1642"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773" w:type="dxa"/>
            <w:gridSpan w:val="2"/>
            <w:tcBorders>
              <w:bottom w:val="single" w:color="auto" w:sz="4" w:space="0"/>
            </w:tcBorders>
            <w:vAlign w:val="center"/>
          </w:tcPr>
          <w:p>
            <w:pPr>
              <w:rPr>
                <w:rFonts w:eastAsia="仿宋_GB2312"/>
                <w:sz w:val="24"/>
              </w:rPr>
            </w:pPr>
          </w:p>
        </w:tc>
        <w:tc>
          <w:tcPr>
            <w:tcW w:w="1455"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850"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36.05</w:t>
            </w:r>
          </w:p>
        </w:tc>
        <w:tc>
          <w:tcPr>
            <w:tcW w:w="167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834"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36.05</w:t>
            </w:r>
          </w:p>
        </w:tc>
        <w:tc>
          <w:tcPr>
            <w:tcW w:w="1642"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773"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36.05</w:t>
            </w:r>
          </w:p>
        </w:tc>
        <w:tc>
          <w:tcPr>
            <w:tcW w:w="1455"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850" w:type="dxa"/>
            <w:tcBorders>
              <w:bottom w:val="single" w:color="auto" w:sz="4" w:space="0"/>
            </w:tcBorders>
            <w:vAlign w:val="center"/>
          </w:tcPr>
          <w:p>
            <w:pPr>
              <w:rPr>
                <w:rFonts w:eastAsia="仿宋_GB2312"/>
                <w:sz w:val="24"/>
              </w:rPr>
            </w:pPr>
          </w:p>
        </w:tc>
        <w:tc>
          <w:tcPr>
            <w:tcW w:w="167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834" w:type="dxa"/>
            <w:gridSpan w:val="2"/>
            <w:tcBorders>
              <w:bottom w:val="single" w:color="auto" w:sz="4" w:space="0"/>
            </w:tcBorders>
            <w:vAlign w:val="center"/>
          </w:tcPr>
          <w:p>
            <w:pPr>
              <w:rPr>
                <w:rFonts w:eastAsia="仿宋_GB2312"/>
                <w:sz w:val="24"/>
              </w:rPr>
            </w:pPr>
          </w:p>
        </w:tc>
        <w:tc>
          <w:tcPr>
            <w:tcW w:w="1642"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773" w:type="dxa"/>
            <w:gridSpan w:val="2"/>
            <w:tcBorders>
              <w:bottom w:val="single" w:color="auto" w:sz="4" w:space="0"/>
            </w:tcBorders>
            <w:vAlign w:val="center"/>
          </w:tcPr>
          <w:p>
            <w:pPr>
              <w:rPr>
                <w:rFonts w:eastAsia="仿宋_GB2312"/>
                <w:sz w:val="24"/>
              </w:rPr>
            </w:pPr>
          </w:p>
        </w:tc>
        <w:tc>
          <w:tcPr>
            <w:tcW w:w="1455"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850" w:type="dxa"/>
            <w:tcBorders>
              <w:bottom w:val="single" w:color="auto" w:sz="4" w:space="0"/>
            </w:tcBorders>
            <w:vAlign w:val="center"/>
          </w:tcPr>
          <w:p>
            <w:pPr>
              <w:rPr>
                <w:rFonts w:eastAsia="仿宋_GB2312"/>
                <w:sz w:val="24"/>
              </w:rPr>
            </w:pPr>
          </w:p>
        </w:tc>
        <w:tc>
          <w:tcPr>
            <w:tcW w:w="167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834" w:type="dxa"/>
            <w:gridSpan w:val="2"/>
            <w:tcBorders>
              <w:bottom w:val="single" w:color="auto" w:sz="4" w:space="0"/>
            </w:tcBorders>
            <w:vAlign w:val="center"/>
          </w:tcPr>
          <w:p>
            <w:pPr>
              <w:rPr>
                <w:rFonts w:eastAsia="仿宋_GB2312"/>
                <w:sz w:val="24"/>
              </w:rPr>
            </w:pPr>
          </w:p>
        </w:tc>
        <w:tc>
          <w:tcPr>
            <w:tcW w:w="1642"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773" w:type="dxa"/>
            <w:gridSpan w:val="2"/>
            <w:tcBorders>
              <w:bottom w:val="single" w:color="auto" w:sz="4" w:space="0"/>
            </w:tcBorders>
            <w:vAlign w:val="center"/>
          </w:tcPr>
          <w:p>
            <w:pPr>
              <w:rPr>
                <w:rFonts w:eastAsia="仿宋_GB2312"/>
                <w:sz w:val="24"/>
              </w:rPr>
            </w:pPr>
          </w:p>
        </w:tc>
        <w:tc>
          <w:tcPr>
            <w:tcW w:w="1455"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327"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78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327" w:type="dxa"/>
            <w:gridSpan w:val="10"/>
            <w:tcBorders>
              <w:bottom w:val="single" w:color="auto" w:sz="4" w:space="0"/>
            </w:tcBorders>
            <w:vAlign w:val="center"/>
          </w:tcPr>
          <w:p>
            <w:pPr>
              <w:numPr>
                <w:ilvl w:val="0"/>
                <w:numId w:val="0"/>
              </w:numPr>
              <w:spacing w:line="240" w:lineRule="exact"/>
              <w:jc w:val="left"/>
              <w:rPr>
                <w:rFonts w:hint="eastAsia" w:eastAsia="仿宋_GB2312"/>
                <w:b w:val="0"/>
                <w:bCs/>
                <w:sz w:val="24"/>
              </w:rPr>
            </w:pPr>
            <w:r>
              <w:rPr>
                <w:rFonts w:hint="eastAsia" w:eastAsia="仿宋_GB2312"/>
                <w:b w:val="0"/>
                <w:bCs/>
                <w:sz w:val="24"/>
                <w:lang w:eastAsia="zh-CN"/>
              </w:rPr>
              <w:t>目标</w:t>
            </w:r>
            <w:r>
              <w:rPr>
                <w:rFonts w:hint="eastAsia" w:eastAsia="仿宋_GB2312"/>
                <w:b w:val="0"/>
                <w:bCs/>
                <w:sz w:val="24"/>
                <w:lang w:val="en-US" w:eastAsia="zh-CN"/>
              </w:rPr>
              <w:t>1、</w:t>
            </w:r>
            <w:r>
              <w:rPr>
                <w:rFonts w:hint="eastAsia" w:eastAsia="仿宋_GB2312"/>
                <w:b w:val="0"/>
                <w:bCs/>
                <w:sz w:val="24"/>
              </w:rPr>
              <w:t>日常环境监管、执法工作；</w:t>
            </w:r>
          </w:p>
          <w:p>
            <w:pPr>
              <w:numPr>
                <w:ilvl w:val="0"/>
                <w:numId w:val="0"/>
              </w:numPr>
              <w:spacing w:line="240" w:lineRule="exact"/>
              <w:jc w:val="left"/>
              <w:rPr>
                <w:rFonts w:eastAsia="仿宋_GB2312"/>
                <w:b/>
                <w:sz w:val="24"/>
              </w:rPr>
            </w:pPr>
            <w:r>
              <w:rPr>
                <w:rFonts w:hint="eastAsia" w:eastAsia="仿宋_GB2312"/>
                <w:b w:val="0"/>
                <w:bCs/>
                <w:sz w:val="24"/>
                <w:lang w:eastAsia="zh-CN"/>
              </w:rPr>
              <w:t>目标</w:t>
            </w:r>
            <w:r>
              <w:rPr>
                <w:rFonts w:hint="eastAsia" w:eastAsia="仿宋_GB2312"/>
                <w:b w:val="0"/>
                <w:bCs/>
                <w:sz w:val="24"/>
                <w:lang w:val="en-US" w:eastAsia="zh-CN"/>
              </w:rPr>
              <w:t>2、</w:t>
            </w:r>
            <w:r>
              <w:rPr>
                <w:rFonts w:hint="eastAsia" w:eastAsia="仿宋_GB2312"/>
                <w:b w:val="0"/>
                <w:bCs/>
                <w:sz w:val="24"/>
              </w:rPr>
              <w:t>委托第三方进行执法性监督监测；</w:t>
            </w:r>
          </w:p>
          <w:p>
            <w:pPr>
              <w:numPr>
                <w:ilvl w:val="0"/>
                <w:numId w:val="0"/>
              </w:numPr>
              <w:spacing w:line="240" w:lineRule="exact"/>
              <w:jc w:val="left"/>
              <w:rPr>
                <w:rFonts w:eastAsia="仿宋_GB2312"/>
                <w:b/>
                <w:sz w:val="24"/>
              </w:rPr>
            </w:pPr>
            <w:r>
              <w:rPr>
                <w:rFonts w:hint="eastAsia" w:eastAsia="仿宋_GB2312"/>
                <w:b w:val="0"/>
                <w:bCs/>
                <w:sz w:val="24"/>
                <w:lang w:eastAsia="zh-CN"/>
              </w:rPr>
              <w:t>目标</w:t>
            </w:r>
            <w:r>
              <w:rPr>
                <w:rFonts w:hint="eastAsia" w:eastAsia="仿宋_GB2312"/>
                <w:b w:val="0"/>
                <w:bCs/>
                <w:sz w:val="24"/>
                <w:lang w:val="en-US" w:eastAsia="zh-CN"/>
              </w:rPr>
              <w:t>3、</w:t>
            </w:r>
            <w:r>
              <w:rPr>
                <w:rFonts w:hint="eastAsia" w:eastAsia="仿宋_GB2312"/>
                <w:b w:val="0"/>
                <w:bCs/>
                <w:sz w:val="24"/>
              </w:rPr>
              <w:t>环保迎检、应急处置经费；</w:t>
            </w:r>
          </w:p>
          <w:p>
            <w:pPr>
              <w:numPr>
                <w:ilvl w:val="0"/>
                <w:numId w:val="0"/>
              </w:numPr>
              <w:spacing w:line="240" w:lineRule="exact"/>
              <w:jc w:val="left"/>
              <w:rPr>
                <w:rFonts w:hint="eastAsia" w:eastAsia="仿宋_GB2312"/>
                <w:b/>
                <w:sz w:val="24"/>
                <w:lang w:eastAsia="zh-CN"/>
              </w:rPr>
            </w:pPr>
            <w:r>
              <w:rPr>
                <w:rFonts w:hint="eastAsia" w:eastAsia="仿宋_GB2312"/>
                <w:b w:val="0"/>
                <w:bCs/>
                <w:sz w:val="24"/>
                <w:lang w:eastAsia="zh-CN"/>
              </w:rPr>
              <w:t>目标</w:t>
            </w:r>
            <w:r>
              <w:rPr>
                <w:rFonts w:hint="eastAsia" w:eastAsia="仿宋_GB2312"/>
                <w:b w:val="0"/>
                <w:bCs/>
                <w:sz w:val="24"/>
                <w:lang w:val="en-US" w:eastAsia="zh-CN"/>
              </w:rPr>
              <w:t>4、节能环保</w:t>
            </w:r>
            <w:r>
              <w:rPr>
                <w:rFonts w:hint="eastAsia" w:eastAsia="仿宋_GB2312"/>
                <w:b w:val="0"/>
                <w:bCs/>
                <w:sz w:val="24"/>
              </w:rPr>
              <w:t>宣传费用</w:t>
            </w:r>
            <w:r>
              <w:rPr>
                <w:rFonts w:hint="eastAsia" w:eastAsia="仿宋_GB2312"/>
                <w:b w:val="0"/>
                <w:bCs/>
                <w:sz w:val="24"/>
                <w:lang w:eastAsia="zh-CN"/>
              </w:rPr>
              <w:t>。</w:t>
            </w:r>
          </w:p>
        </w:tc>
        <w:tc>
          <w:tcPr>
            <w:tcW w:w="2783" w:type="dxa"/>
            <w:gridSpan w:val="3"/>
            <w:tcBorders>
              <w:bottom w:val="single" w:color="auto" w:sz="4" w:space="0"/>
            </w:tcBorders>
            <w:vAlign w:val="center"/>
          </w:tcPr>
          <w:p>
            <w:pPr>
              <w:jc w:val="center"/>
              <w:rPr>
                <w:rFonts w:eastAsia="仿宋_GB2312"/>
                <w:b/>
                <w:sz w:val="24"/>
              </w:rPr>
            </w:pPr>
            <w:r>
              <w:rPr>
                <w:rFonts w:hint="eastAsia" w:eastAsia="仿宋_GB2312"/>
                <w:b w:val="0"/>
                <w:bCs/>
                <w:sz w:val="24"/>
                <w:lang w:eastAsia="zh-CN"/>
              </w:rPr>
              <w:t>已完成预期目标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1039" w:type="dxa"/>
            <w:gridSpan w:val="2"/>
            <w:vAlign w:val="center"/>
          </w:tcPr>
          <w:p>
            <w:pPr>
              <w:jc w:val="center"/>
              <w:rPr>
                <w:rFonts w:eastAsia="仿宋_GB2312"/>
                <w:sz w:val="24"/>
              </w:rPr>
            </w:pPr>
            <w:r>
              <w:rPr>
                <w:rFonts w:hint="eastAsia" w:eastAsia="仿宋_GB2312"/>
                <w:sz w:val="24"/>
              </w:rPr>
              <w:t>一级指标</w:t>
            </w:r>
          </w:p>
        </w:tc>
        <w:tc>
          <w:tcPr>
            <w:tcW w:w="1494"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574"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22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jc w:val="center"/>
        </w:trPr>
        <w:tc>
          <w:tcPr>
            <w:tcW w:w="1472" w:type="dxa"/>
            <w:vMerge w:val="continue"/>
            <w:vAlign w:val="center"/>
          </w:tcPr>
          <w:p>
            <w:pPr>
              <w:jc w:val="center"/>
              <w:rPr>
                <w:rFonts w:eastAsia="仿宋_GB2312"/>
                <w:sz w:val="24"/>
              </w:rPr>
            </w:pPr>
          </w:p>
        </w:tc>
        <w:tc>
          <w:tcPr>
            <w:tcW w:w="1039" w:type="dxa"/>
            <w:gridSpan w:val="2"/>
            <w:vMerge w:val="restart"/>
            <w:vAlign w:val="center"/>
          </w:tcPr>
          <w:p>
            <w:pPr>
              <w:jc w:val="center"/>
              <w:rPr>
                <w:rFonts w:eastAsia="仿宋_GB2312"/>
                <w:sz w:val="24"/>
              </w:rPr>
            </w:pPr>
            <w:r>
              <w:rPr>
                <w:rFonts w:hint="eastAsia" w:eastAsia="仿宋_GB2312"/>
                <w:sz w:val="24"/>
              </w:rPr>
              <w:t>项目产出指标</w:t>
            </w:r>
          </w:p>
        </w:tc>
        <w:tc>
          <w:tcPr>
            <w:tcW w:w="1494" w:type="dxa"/>
            <w:vAlign w:val="center"/>
          </w:tcPr>
          <w:p>
            <w:pPr>
              <w:spacing w:line="360" w:lineRule="exact"/>
              <w:jc w:val="center"/>
              <w:rPr>
                <w:rFonts w:eastAsia="仿宋_GB2312"/>
                <w:sz w:val="24"/>
              </w:rPr>
            </w:pPr>
            <w:r>
              <w:rPr>
                <w:rFonts w:hint="eastAsia" w:eastAsia="仿宋_GB2312"/>
                <w:sz w:val="24"/>
              </w:rPr>
              <w:t>数量指标</w:t>
            </w:r>
          </w:p>
        </w:tc>
        <w:tc>
          <w:tcPr>
            <w:tcW w:w="1574" w:type="dxa"/>
            <w:gridSpan w:val="4"/>
            <w:tcBorders>
              <w:bottom w:val="single" w:color="auto" w:sz="4" w:space="0"/>
            </w:tcBorders>
            <w:vAlign w:val="center"/>
          </w:tcPr>
          <w:p>
            <w:pPr>
              <w:widowControl/>
              <w:spacing w:line="240" w:lineRule="exact"/>
              <w:jc w:val="center"/>
              <w:rPr>
                <w:rFonts w:hint="default" w:eastAsia="仿宋_GB2312"/>
                <w:sz w:val="24"/>
                <w:lang w:val="en-US" w:eastAsia="zh-CN"/>
              </w:rPr>
            </w:pPr>
            <w:r>
              <w:rPr>
                <w:rFonts w:hint="eastAsia" w:ascii="仿宋_GB2312" w:hAnsi="宋体" w:eastAsia="仿宋_GB2312" w:cs="仿宋_GB2312"/>
                <w:i w:val="0"/>
                <w:iCs w:val="0"/>
                <w:color w:val="000000"/>
                <w:kern w:val="0"/>
                <w:sz w:val="20"/>
                <w:szCs w:val="20"/>
                <w:u w:val="none"/>
                <w:lang w:val="en-US" w:eastAsia="zh-CN" w:bidi="ar"/>
              </w:rPr>
              <w:t>完成非税收入</w:t>
            </w:r>
          </w:p>
        </w:tc>
        <w:tc>
          <w:tcPr>
            <w:tcW w:w="1220" w:type="dxa"/>
            <w:gridSpan w:val="3"/>
            <w:tcBorders>
              <w:bottom w:val="single" w:color="auto" w:sz="4" w:space="0"/>
            </w:tcBorders>
            <w:vAlign w:val="center"/>
          </w:tcPr>
          <w:p>
            <w:pPr>
              <w:widowControl/>
              <w:spacing w:line="240" w:lineRule="exact"/>
              <w:jc w:val="center"/>
              <w:rPr>
                <w:rFonts w:hint="default" w:eastAsia="仿宋_GB2312"/>
                <w:sz w:val="24"/>
                <w:lang w:val="en-US" w:eastAsia="zh-CN"/>
              </w:rPr>
            </w:pPr>
            <w:r>
              <w:rPr>
                <w:rFonts w:hint="eastAsia" w:ascii="仿宋_GB2312" w:hAnsi="仿宋_GB2312" w:eastAsia="仿宋_GB2312" w:cs="仿宋_GB2312"/>
                <w:color w:val="000000"/>
                <w:sz w:val="20"/>
                <w:szCs w:val="20"/>
                <w:lang w:val="en-US" w:eastAsia="zh-CN"/>
              </w:rPr>
              <w:t>28</w:t>
            </w:r>
            <w:r>
              <w:rPr>
                <w:rFonts w:hint="eastAsia" w:ascii="仿宋_GB2312" w:hAnsi="宋体" w:eastAsia="仿宋_GB2312" w:cs="仿宋_GB2312"/>
                <w:i w:val="0"/>
                <w:iCs w:val="0"/>
                <w:color w:val="000000"/>
                <w:kern w:val="0"/>
                <w:sz w:val="20"/>
                <w:szCs w:val="20"/>
                <w:u w:val="none"/>
                <w:lang w:val="en-US" w:eastAsia="zh-CN" w:bidi="ar"/>
              </w:rPr>
              <w:t>万元</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已超额完成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Align w:val="center"/>
          </w:tcPr>
          <w:p>
            <w:pPr>
              <w:spacing w:line="360" w:lineRule="exact"/>
              <w:jc w:val="center"/>
              <w:rPr>
                <w:rFonts w:eastAsia="仿宋_GB2312"/>
                <w:sz w:val="24"/>
              </w:rPr>
            </w:pPr>
            <w:r>
              <w:rPr>
                <w:rFonts w:hint="eastAsia" w:eastAsia="仿宋_GB2312"/>
                <w:sz w:val="24"/>
              </w:rPr>
              <w:t>质量指标</w:t>
            </w:r>
          </w:p>
        </w:tc>
        <w:tc>
          <w:tcPr>
            <w:tcW w:w="1574" w:type="dxa"/>
            <w:gridSpan w:val="4"/>
            <w:tcBorders>
              <w:bottom w:val="single" w:color="auto" w:sz="4" w:space="0"/>
            </w:tcBorders>
            <w:vAlign w:val="center"/>
          </w:tcPr>
          <w:p>
            <w:pPr>
              <w:widowControl/>
              <w:spacing w:line="240" w:lineRule="exact"/>
              <w:jc w:val="center"/>
              <w:rPr>
                <w:rFonts w:eastAsia="仿宋_GB2312"/>
                <w:sz w:val="24"/>
              </w:rPr>
            </w:pPr>
            <w:r>
              <w:rPr>
                <w:rFonts w:hint="eastAsia" w:ascii="仿宋_GB2312" w:hAnsi="宋体" w:eastAsia="仿宋_GB2312" w:cs="仿宋_GB2312"/>
                <w:i w:val="0"/>
                <w:iCs w:val="0"/>
                <w:color w:val="000000"/>
                <w:kern w:val="0"/>
                <w:sz w:val="20"/>
                <w:szCs w:val="20"/>
                <w:u w:val="none"/>
                <w:lang w:val="en-US" w:eastAsia="zh-CN" w:bidi="ar"/>
              </w:rPr>
              <w:t>各种整治符合环保标准</w:t>
            </w:r>
          </w:p>
        </w:tc>
        <w:tc>
          <w:tcPr>
            <w:tcW w:w="1220" w:type="dxa"/>
            <w:gridSpan w:val="3"/>
            <w:tcBorders>
              <w:bottom w:val="single" w:color="auto" w:sz="4" w:space="0"/>
            </w:tcBorders>
            <w:vAlign w:val="center"/>
          </w:tcPr>
          <w:p>
            <w:pPr>
              <w:widowControl/>
              <w:spacing w:line="240" w:lineRule="exact"/>
              <w:jc w:val="center"/>
              <w:rPr>
                <w:rFonts w:hint="eastAsia" w:eastAsia="仿宋_GB2312"/>
                <w:sz w:val="24"/>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2783" w:type="dxa"/>
            <w:gridSpan w:val="3"/>
            <w:tcBorders>
              <w:bottom w:val="single" w:color="auto" w:sz="4" w:space="0"/>
            </w:tcBorders>
            <w:vAlign w:val="center"/>
          </w:tcPr>
          <w:p>
            <w:pPr>
              <w:widowControl/>
              <w:spacing w:line="240" w:lineRule="exact"/>
              <w:jc w:val="center"/>
              <w:rPr>
                <w:rFonts w:eastAsia="仿宋_GB2312"/>
                <w:sz w:val="24"/>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Merge w:val="restart"/>
            <w:vAlign w:val="center"/>
          </w:tcPr>
          <w:p>
            <w:pPr>
              <w:spacing w:line="360" w:lineRule="exact"/>
              <w:jc w:val="center"/>
              <w:rPr>
                <w:rFonts w:eastAsia="仿宋_GB2312"/>
                <w:sz w:val="24"/>
              </w:rPr>
            </w:pPr>
            <w:r>
              <w:rPr>
                <w:rFonts w:hint="eastAsia" w:eastAsia="仿宋_GB2312"/>
                <w:sz w:val="24"/>
              </w:rPr>
              <w:t>时效指标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val="en-US" w:eastAsia="zh-CN"/>
              </w:rPr>
              <w:t>突发事件</w:t>
            </w:r>
          </w:p>
        </w:tc>
        <w:tc>
          <w:tcPr>
            <w:tcW w:w="1220"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即时完成</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Merge w:val="continue"/>
            <w:vAlign w:val="center"/>
          </w:tcPr>
          <w:p>
            <w:pPr>
              <w:spacing w:line="360" w:lineRule="exact"/>
              <w:jc w:val="center"/>
              <w:rPr>
                <w:rFonts w:eastAsia="仿宋_GB2312"/>
                <w:sz w:val="24"/>
              </w:rPr>
            </w:pP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工作按计划完成</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按年度计划时间内完成</w:t>
            </w:r>
          </w:p>
        </w:tc>
        <w:tc>
          <w:tcPr>
            <w:tcW w:w="2783"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按</w:t>
            </w:r>
            <w:bookmarkStart w:id="0" w:name="_GoBack"/>
            <w:bookmarkEnd w:id="0"/>
            <w:r>
              <w:rPr>
                <w:rFonts w:hint="eastAsia" w:ascii="仿宋_GB2312" w:hAnsi="仿宋_GB2312" w:eastAsia="仿宋_GB2312" w:cs="仿宋_GB2312"/>
                <w:color w:val="000000"/>
                <w:sz w:val="20"/>
                <w:szCs w:val="20"/>
                <w:lang w:val="en-US" w:eastAsia="zh-CN"/>
              </w:rPr>
              <w:t>计划完成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Align w:val="center"/>
          </w:tcPr>
          <w:p>
            <w:pPr>
              <w:spacing w:line="360" w:lineRule="exact"/>
              <w:jc w:val="center"/>
              <w:rPr>
                <w:rFonts w:eastAsia="仿宋_GB2312"/>
                <w:sz w:val="24"/>
              </w:rPr>
            </w:pPr>
            <w:r>
              <w:rPr>
                <w:rFonts w:hint="eastAsia" w:eastAsia="仿宋_GB2312"/>
                <w:sz w:val="24"/>
              </w:rPr>
              <w:t>成本指标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rPr>
              <w:t>工作经费和专项治理经费按要求控制在预算内</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执行率为100%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jc w:val="center"/>
        </w:trPr>
        <w:tc>
          <w:tcPr>
            <w:tcW w:w="1472" w:type="dxa"/>
            <w:vMerge w:val="continue"/>
            <w:vAlign w:val="center"/>
          </w:tcPr>
          <w:p>
            <w:pPr>
              <w:jc w:val="center"/>
              <w:rPr>
                <w:rFonts w:eastAsia="仿宋_GB2312"/>
                <w:sz w:val="24"/>
              </w:rPr>
            </w:pPr>
          </w:p>
        </w:tc>
        <w:tc>
          <w:tcPr>
            <w:tcW w:w="1039" w:type="dxa"/>
            <w:gridSpan w:val="2"/>
            <w:vMerge w:val="restart"/>
            <w:vAlign w:val="center"/>
          </w:tcPr>
          <w:p>
            <w:pPr>
              <w:jc w:val="center"/>
              <w:rPr>
                <w:rFonts w:eastAsia="仿宋_GB2312"/>
                <w:sz w:val="24"/>
              </w:rPr>
            </w:pPr>
            <w:r>
              <w:rPr>
                <w:rFonts w:hint="eastAsia" w:eastAsia="仿宋_GB2312"/>
                <w:sz w:val="24"/>
              </w:rPr>
              <w:t>项目效益指标</w:t>
            </w:r>
          </w:p>
        </w:tc>
        <w:tc>
          <w:tcPr>
            <w:tcW w:w="1494"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经济效益较好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改善辖区环境质量及群众生产生活环境，达到环境质量控制目标。</w:t>
            </w:r>
          </w:p>
        </w:tc>
        <w:tc>
          <w:tcPr>
            <w:tcW w:w="1220"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社会效益好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促进环境质量认知度</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Merge w:val="continue"/>
            <w:vAlign w:val="center"/>
          </w:tcPr>
          <w:p>
            <w:pPr>
              <w:spacing w:line="360" w:lineRule="exact"/>
              <w:jc w:val="center"/>
              <w:rPr>
                <w:rFonts w:eastAsia="仿宋_GB2312"/>
                <w:sz w:val="24"/>
              </w:rPr>
            </w:pP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jc w:val="center"/>
        </w:trPr>
        <w:tc>
          <w:tcPr>
            <w:tcW w:w="1472" w:type="dxa"/>
            <w:vMerge w:val="continue"/>
            <w:vAlign w:val="center"/>
          </w:tcPr>
          <w:p>
            <w:pPr>
              <w:jc w:val="center"/>
              <w:rPr>
                <w:rFonts w:eastAsia="仿宋_GB2312"/>
                <w:sz w:val="24"/>
              </w:rPr>
            </w:pPr>
          </w:p>
        </w:tc>
        <w:tc>
          <w:tcPr>
            <w:tcW w:w="1039" w:type="dxa"/>
            <w:gridSpan w:val="2"/>
            <w:vMerge w:val="continue"/>
            <w:vAlign w:val="center"/>
          </w:tcPr>
          <w:p>
            <w:pPr>
              <w:jc w:val="center"/>
              <w:rPr>
                <w:rFonts w:eastAsia="仿宋_GB2312"/>
                <w:sz w:val="24"/>
              </w:rPr>
            </w:pPr>
          </w:p>
        </w:tc>
        <w:tc>
          <w:tcPr>
            <w:tcW w:w="1494" w:type="dxa"/>
            <w:vAlign w:val="center"/>
          </w:tcPr>
          <w:p>
            <w:pPr>
              <w:spacing w:line="360" w:lineRule="exact"/>
              <w:jc w:val="center"/>
              <w:rPr>
                <w:rFonts w:eastAsia="仿宋_GB2312"/>
                <w:sz w:val="24"/>
              </w:rPr>
            </w:pPr>
            <w:r>
              <w:rPr>
                <w:rFonts w:hint="eastAsia" w:eastAsia="仿宋_GB2312"/>
                <w:sz w:val="24"/>
              </w:rPr>
              <w:t>服务对象满意度指标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群众满意率上升到95%</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大于等于9</w:t>
            </w:r>
            <w:r>
              <w:rPr>
                <w:rFonts w:hint="eastAsia" w:ascii="仿宋_GB2312" w:hAnsi="宋体" w:eastAsia="仿宋_GB2312" w:cs="仿宋_GB2312"/>
                <w:i w:val="0"/>
                <w:iCs w:val="0"/>
                <w:color w:val="000000"/>
                <w:kern w:val="0"/>
                <w:sz w:val="20"/>
                <w:szCs w:val="20"/>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511"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071" w:type="dxa"/>
            <w:gridSpan w:val="11"/>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511"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071" w:type="dxa"/>
            <w:gridSpan w:val="11"/>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lang w:eastAsia="zh-CN"/>
              </w:rPr>
              <w:t>三</w:t>
            </w:r>
            <w:r>
              <w:rPr>
                <w:rFonts w:hint="eastAsia" w:eastAsia="仿宋_GB2312"/>
                <w:b/>
                <w:sz w:val="24"/>
              </w:rPr>
              <w:t>、评价人员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1" w:type="dxa"/>
            <w:gridSpan w:val="3"/>
            <w:vAlign w:val="center"/>
          </w:tcPr>
          <w:p>
            <w:pPr>
              <w:jc w:val="center"/>
              <w:rPr>
                <w:rFonts w:eastAsia="仿宋_GB2312"/>
                <w:sz w:val="24"/>
              </w:rPr>
            </w:pPr>
            <w:r>
              <w:rPr>
                <w:rFonts w:hint="eastAsia" w:eastAsia="仿宋_GB2312"/>
                <w:sz w:val="24"/>
              </w:rPr>
              <w:t>姓名</w:t>
            </w:r>
          </w:p>
        </w:tc>
        <w:tc>
          <w:tcPr>
            <w:tcW w:w="2084" w:type="dxa"/>
            <w:gridSpan w:val="3"/>
            <w:vAlign w:val="center"/>
          </w:tcPr>
          <w:p>
            <w:pPr>
              <w:jc w:val="center"/>
              <w:rPr>
                <w:rFonts w:eastAsia="仿宋_GB2312"/>
                <w:sz w:val="24"/>
              </w:rPr>
            </w:pPr>
            <w:r>
              <w:rPr>
                <w:rFonts w:hint="eastAsia" w:eastAsia="仿宋_GB2312"/>
                <w:sz w:val="24"/>
              </w:rPr>
              <w:t>职称/职务</w:t>
            </w:r>
          </w:p>
        </w:tc>
        <w:tc>
          <w:tcPr>
            <w:tcW w:w="2204" w:type="dxa"/>
            <w:gridSpan w:val="5"/>
            <w:vAlign w:val="center"/>
          </w:tcPr>
          <w:p>
            <w:pPr>
              <w:jc w:val="center"/>
              <w:rPr>
                <w:rFonts w:eastAsia="仿宋_GB2312"/>
                <w:sz w:val="24"/>
              </w:rPr>
            </w:pPr>
            <w:r>
              <w:rPr>
                <w:rFonts w:hint="eastAsia" w:eastAsia="仿宋_GB2312"/>
                <w:sz w:val="24"/>
              </w:rPr>
              <w:t>单  位</w:t>
            </w:r>
          </w:p>
        </w:tc>
        <w:tc>
          <w:tcPr>
            <w:tcW w:w="278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1" w:type="dxa"/>
            <w:gridSpan w:val="3"/>
            <w:vAlign w:val="center"/>
          </w:tcPr>
          <w:p>
            <w:pPr>
              <w:rPr>
                <w:rFonts w:hint="default" w:eastAsia="仿宋_GB2312"/>
                <w:sz w:val="24"/>
                <w:lang w:val="en-US" w:eastAsia="zh-CN"/>
              </w:rPr>
            </w:pPr>
            <w:r>
              <w:rPr>
                <w:rFonts w:hint="eastAsia" w:eastAsia="仿宋_GB2312"/>
                <w:sz w:val="24"/>
                <w:lang w:val="en-US" w:eastAsia="zh-CN"/>
              </w:rPr>
              <w:t>郭俊毅</w:t>
            </w:r>
          </w:p>
        </w:tc>
        <w:tc>
          <w:tcPr>
            <w:tcW w:w="2084" w:type="dxa"/>
            <w:gridSpan w:val="3"/>
            <w:vAlign w:val="center"/>
          </w:tcPr>
          <w:p>
            <w:pPr>
              <w:rPr>
                <w:rFonts w:hint="default" w:eastAsia="仿宋_GB2312"/>
                <w:sz w:val="24"/>
                <w:lang w:val="en-US" w:eastAsia="zh-CN"/>
              </w:rPr>
            </w:pPr>
            <w:r>
              <w:rPr>
                <w:rFonts w:hint="eastAsia" w:eastAsia="仿宋_GB2312"/>
                <w:sz w:val="24"/>
                <w:lang w:val="en-US" w:eastAsia="zh-CN"/>
              </w:rPr>
              <w:t>副局长</w:t>
            </w:r>
          </w:p>
        </w:tc>
        <w:tc>
          <w:tcPr>
            <w:tcW w:w="2204" w:type="dxa"/>
            <w:gridSpan w:val="5"/>
            <w:vAlign w:val="center"/>
          </w:tcPr>
          <w:p>
            <w:pPr>
              <w:rPr>
                <w:rFonts w:eastAsia="仿宋_GB2312"/>
                <w:sz w:val="24"/>
              </w:rPr>
            </w:pPr>
            <w:r>
              <w:rPr>
                <w:rFonts w:hint="eastAsia" w:ascii="仿宋" w:hAnsi="仿宋" w:eastAsia="仿宋" w:cs="仿宋"/>
                <w:color w:val="000000"/>
                <w:sz w:val="24"/>
                <w:szCs w:val="24"/>
                <w:lang w:eastAsia="zh-CN"/>
              </w:rPr>
              <w:t>市生态局</w:t>
            </w:r>
            <w:r>
              <w:rPr>
                <w:rFonts w:hint="eastAsia" w:ascii="仿宋" w:hAnsi="仿宋" w:eastAsia="仿宋" w:cs="仿宋"/>
                <w:color w:val="000000"/>
                <w:sz w:val="24"/>
                <w:szCs w:val="24"/>
                <w:lang w:val="en-US" w:eastAsia="zh-CN"/>
              </w:rPr>
              <w:t>君山</w:t>
            </w:r>
            <w:r>
              <w:rPr>
                <w:rFonts w:hint="eastAsia" w:ascii="仿宋" w:hAnsi="仿宋" w:eastAsia="仿宋" w:cs="仿宋"/>
                <w:color w:val="000000"/>
                <w:sz w:val="24"/>
                <w:szCs w:val="24"/>
                <w:lang w:eastAsia="zh-CN"/>
              </w:rPr>
              <w:t>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1" w:type="dxa"/>
            <w:gridSpan w:val="3"/>
            <w:vAlign w:val="center"/>
          </w:tcPr>
          <w:p>
            <w:pPr>
              <w:rPr>
                <w:rFonts w:hint="default" w:eastAsia="仿宋_GB2312"/>
                <w:sz w:val="24"/>
                <w:lang w:val="en-US" w:eastAsia="zh-CN"/>
              </w:rPr>
            </w:pPr>
            <w:r>
              <w:rPr>
                <w:rFonts w:hint="eastAsia" w:eastAsia="仿宋_GB2312"/>
                <w:sz w:val="24"/>
                <w:lang w:val="en-US" w:eastAsia="zh-CN"/>
              </w:rPr>
              <w:t>李媛</w:t>
            </w:r>
          </w:p>
        </w:tc>
        <w:tc>
          <w:tcPr>
            <w:tcW w:w="2084" w:type="dxa"/>
            <w:gridSpan w:val="3"/>
            <w:vAlign w:val="center"/>
          </w:tcPr>
          <w:p>
            <w:pPr>
              <w:rPr>
                <w:rFonts w:hint="default" w:eastAsia="仿宋_GB2312"/>
                <w:sz w:val="24"/>
                <w:lang w:val="en-US" w:eastAsia="zh-CN"/>
              </w:rPr>
            </w:pPr>
            <w:r>
              <w:rPr>
                <w:rFonts w:hint="eastAsia" w:eastAsia="仿宋_GB2312"/>
                <w:sz w:val="24"/>
                <w:lang w:val="en-US" w:eastAsia="zh-CN"/>
              </w:rPr>
              <w:t>办公室主任</w:t>
            </w:r>
          </w:p>
        </w:tc>
        <w:tc>
          <w:tcPr>
            <w:tcW w:w="2204" w:type="dxa"/>
            <w:gridSpan w:val="5"/>
            <w:vAlign w:val="center"/>
          </w:tcPr>
          <w:p>
            <w:pPr>
              <w:rPr>
                <w:rFonts w:eastAsia="仿宋_GB2312"/>
                <w:sz w:val="24"/>
              </w:rPr>
            </w:pPr>
            <w:r>
              <w:rPr>
                <w:rFonts w:hint="eastAsia" w:ascii="仿宋" w:hAnsi="仿宋" w:eastAsia="仿宋" w:cs="仿宋"/>
                <w:color w:val="000000"/>
                <w:sz w:val="24"/>
                <w:szCs w:val="24"/>
                <w:lang w:eastAsia="zh-CN"/>
              </w:rPr>
              <w:t>市生态局</w:t>
            </w:r>
            <w:r>
              <w:rPr>
                <w:rFonts w:hint="eastAsia" w:ascii="仿宋" w:hAnsi="仿宋" w:eastAsia="仿宋" w:cs="仿宋"/>
                <w:color w:val="000000"/>
                <w:sz w:val="24"/>
                <w:szCs w:val="24"/>
                <w:lang w:val="en-US" w:eastAsia="zh-CN"/>
              </w:rPr>
              <w:t>君山</w:t>
            </w:r>
            <w:r>
              <w:rPr>
                <w:rFonts w:hint="eastAsia" w:ascii="仿宋" w:hAnsi="仿宋" w:eastAsia="仿宋" w:cs="仿宋"/>
                <w:color w:val="000000"/>
                <w:sz w:val="24"/>
                <w:szCs w:val="24"/>
                <w:lang w:eastAsia="zh-CN"/>
              </w:rPr>
              <w:t>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1" w:type="dxa"/>
            <w:gridSpan w:val="3"/>
            <w:vAlign w:val="center"/>
          </w:tcPr>
          <w:p>
            <w:pPr>
              <w:rPr>
                <w:rFonts w:hint="default" w:eastAsia="仿宋_GB2312"/>
                <w:sz w:val="24"/>
                <w:lang w:val="en-US" w:eastAsia="zh-CN"/>
              </w:rPr>
            </w:pPr>
            <w:r>
              <w:rPr>
                <w:rFonts w:hint="eastAsia" w:eastAsia="仿宋_GB2312"/>
                <w:sz w:val="24"/>
                <w:lang w:val="en-US" w:eastAsia="zh-CN"/>
              </w:rPr>
              <w:t>李可欣</w:t>
            </w:r>
          </w:p>
        </w:tc>
        <w:tc>
          <w:tcPr>
            <w:tcW w:w="2084" w:type="dxa"/>
            <w:gridSpan w:val="3"/>
            <w:vAlign w:val="center"/>
          </w:tcPr>
          <w:p>
            <w:pPr>
              <w:rPr>
                <w:rFonts w:hint="default" w:eastAsia="仿宋_GB2312"/>
                <w:sz w:val="24"/>
                <w:lang w:val="en-US" w:eastAsia="zh-CN"/>
              </w:rPr>
            </w:pPr>
            <w:r>
              <w:rPr>
                <w:rFonts w:hint="eastAsia" w:eastAsia="仿宋_GB2312"/>
                <w:sz w:val="24"/>
                <w:lang w:val="en-US" w:eastAsia="zh-CN"/>
              </w:rPr>
              <w:t>会计</w:t>
            </w:r>
          </w:p>
        </w:tc>
        <w:tc>
          <w:tcPr>
            <w:tcW w:w="2204" w:type="dxa"/>
            <w:gridSpan w:val="5"/>
            <w:vAlign w:val="center"/>
          </w:tcPr>
          <w:p>
            <w:pPr>
              <w:rPr>
                <w:rFonts w:eastAsia="仿宋_GB2312"/>
                <w:sz w:val="24"/>
              </w:rPr>
            </w:pPr>
            <w:r>
              <w:rPr>
                <w:rFonts w:hint="eastAsia" w:ascii="仿宋" w:hAnsi="仿宋" w:eastAsia="仿宋" w:cs="仿宋"/>
                <w:color w:val="000000"/>
                <w:sz w:val="24"/>
                <w:szCs w:val="24"/>
                <w:lang w:eastAsia="zh-CN"/>
              </w:rPr>
              <w:t>市生态局</w:t>
            </w:r>
            <w:r>
              <w:rPr>
                <w:rFonts w:hint="eastAsia" w:ascii="仿宋" w:hAnsi="仿宋" w:eastAsia="仿宋" w:cs="仿宋"/>
                <w:color w:val="000000"/>
                <w:sz w:val="24"/>
                <w:szCs w:val="24"/>
                <w:lang w:val="en-US" w:eastAsia="zh-CN"/>
              </w:rPr>
              <w:t>君山</w:t>
            </w:r>
            <w:r>
              <w:rPr>
                <w:rFonts w:hint="eastAsia" w:ascii="仿宋" w:hAnsi="仿宋" w:eastAsia="仿宋" w:cs="仿宋"/>
                <w:color w:val="000000"/>
                <w:sz w:val="24"/>
                <w:szCs w:val="24"/>
                <w:lang w:eastAsia="zh-CN"/>
              </w:rPr>
              <w:t>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autoSpaceDN w:val="0"/>
              <w:spacing w:line="240" w:lineRule="auto"/>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按年初目标，如期超质量完成任务，绩效考评为优秀。</w:t>
            </w: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w:t>
            </w:r>
            <w:r>
              <w:rPr>
                <w:rFonts w:hint="eastAsia" w:eastAsia="仿宋_GB2312"/>
                <w:sz w:val="24"/>
                <w:lang w:val="en-US" w:eastAsia="zh-CN"/>
              </w:rPr>
              <w:t>2023</w:t>
            </w:r>
            <w:r>
              <w:rPr>
                <w:rFonts w:hint="eastAsia" w:eastAsia="仿宋_GB2312"/>
                <w:sz w:val="24"/>
              </w:rPr>
              <w:t>年</w:t>
            </w:r>
            <w:r>
              <w:rPr>
                <w:rFonts w:hint="eastAsia" w:eastAsia="仿宋_GB2312"/>
                <w:sz w:val="24"/>
                <w:lang w:val="en-US" w:eastAsia="zh-CN"/>
              </w:rPr>
              <w:t>6</w:t>
            </w:r>
            <w:r>
              <w:rPr>
                <w:rFonts w:hint="eastAsia" w:eastAsia="仿宋_GB2312"/>
                <w:sz w:val="24"/>
              </w:rPr>
              <w:t xml:space="preserve"> 月</w:t>
            </w:r>
            <w:r>
              <w:rPr>
                <w:rFonts w:hint="eastAsia" w:eastAsia="仿宋_GB2312"/>
                <w:sz w:val="24"/>
                <w:lang w:val="en-US" w:eastAsia="zh-CN"/>
              </w:rPr>
              <w:t>28</w:t>
            </w:r>
            <w:r>
              <w:rPr>
                <w:rFonts w:hint="eastAsia"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jc w:val="left"/>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val="en-US" w:eastAsia="zh-CN"/>
        </w:rPr>
        <w:t>李可欣</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15111066566</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lang w:eastAsia="zh-CN"/>
              </w:rPr>
              <w:t>四</w:t>
            </w:r>
            <w:r>
              <w:rPr>
                <w:rFonts w:hint="eastAsia" w:eastAsia="仿宋_GB2312"/>
                <w:b/>
                <w:bCs/>
                <w:sz w:val="28"/>
                <w:szCs w:val="28"/>
              </w:rPr>
              <w:t>、评价报告综述（文字部分）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坚持问题导向、突出整治重点，全面打好打赢各项污染防治攻坚战，顺利开展了“利剑”专项整治行动、大气污染防治“特护期”攻坚，完成了2022年生态环境保护各项目标任务。</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市财政安排本单位环境监察、监测等运行经费项目经费26万元，专款专用、专账核算、专项使用。</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为推进洞庭湖总磷削减等工作，制订并下发文件，按文件要求限时开展并完成职责内的水环境整治。为严格落实特护期管控、蓝藻水华防控等工作，对相关水域组织巡查和预警监测，对饮用水源进行第三方评估。制作长江入河排污口标识标牌，完成长江入河排污口专项整治。开展对农村生活污水治理项目，我区农村生活污水治理率达63.9%。不定期对辖区内工业企业废气排放情况、建筑工地扬尘防治、城市道路扬尘防治、堆场、裸露地块扬尘防治、餐饮油烟整治、秸秆、生活垃圾禁烧等方面情况进行巡查，做好重污染天气应急措施协调工作，加大大气污染监管力度。</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ind w:firstLine="560" w:firstLineChars="200"/>
              <w:rPr>
                <w:rFonts w:hint="eastAsia" w:ascii="仿宋_GB2312" w:eastAsia="仿宋_GB2312"/>
                <w:sz w:val="30"/>
                <w:szCs w:val="30"/>
              </w:rPr>
            </w:pPr>
            <w:r>
              <w:rPr>
                <w:rFonts w:hint="eastAsia" w:ascii="仿宋_GB2312" w:hAnsi="仿宋_GB2312" w:eastAsia="仿宋_GB2312" w:cs="仿宋_GB2312"/>
                <w:spacing w:val="0"/>
                <w:kern w:val="2"/>
                <w:sz w:val="28"/>
                <w:szCs w:val="28"/>
                <w:lang w:val="en-US" w:eastAsia="zh-CN" w:bidi="ar-SA"/>
              </w:rPr>
              <w:t>本单位及时发现问题，处理问题，全面加强环境执法监管，提高环境监测、监察及监控能力方面；高度重视生态环境保护工作，主要领导对突出环境问题整改、水和大气污染防治等工作提出明确指示要求，并深入一线调研督导。组织开展生态环保执法检查，积极开展监督性调研活动，持续深入开展专项行动，以强有力的监督助力打好污染防治攻坚战。各级各部门切实履职尽责，细化量化工作措施、通力协作，形成了齐抓共管生态环境保护工作的合力。在5.22生物多样性、6.5环境日、6.15节能宣传周等重要时间节点开展宣传活动，全年开展多项法律法规的主题宣教活动工作，现场发放各类宣传资料,营造了人人参与环境保护的浓厚氛围。</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560" w:firstLineChars="200"/>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1、完成日常环境监管、执法工作；2、委托第三方进行执法性监督监测；3、环保迎检、应急处置经费；4、开展生态环保宣传。</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pStyle w:val="8"/>
              <w:ind w:firstLine="560" w:firstLineChars="200"/>
              <w:jc w:val="both"/>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存在的主要问题：根据我单位工作职能的履行情况，节能减排、环境监察、监测等运行经费等专项资金的使用与我单位财政拨入行政运行经费等资金集合使用，未严格区分资金使用范围。</w:t>
            </w:r>
          </w:p>
          <w:p>
            <w:pPr>
              <w:pStyle w:val="8"/>
              <w:ind w:firstLine="560" w:firstLineChars="200"/>
              <w:jc w:val="both"/>
              <w:rPr>
                <w:rFonts w:eastAsia="楷体_GB2312"/>
                <w:bCs/>
                <w:sz w:val="28"/>
                <w:szCs w:val="28"/>
              </w:rPr>
            </w:pPr>
            <w:r>
              <w:rPr>
                <w:rFonts w:hint="eastAsia" w:ascii="仿宋_GB2312" w:hAnsi="仿宋_GB2312" w:eastAsia="仿宋_GB2312" w:cs="仿宋_GB2312"/>
                <w:spacing w:val="0"/>
                <w:kern w:val="2"/>
                <w:sz w:val="28"/>
                <w:szCs w:val="28"/>
                <w:lang w:val="en-US" w:eastAsia="zh-CN" w:bidi="ar-SA"/>
              </w:rPr>
              <w:t>改进措施和有关建议：1、加强财务管理，严格财务审批。在费用报账支付时，按照预算规定的费用项目和用途进行资金使用、审核，列报支付，财务核算杜绝超支现象的发生。2、进一步加快预算执行进度。一是改进预算安排，坚持当年形成支出的当年安排，当年不能形成支出的不予安排；二是盘活存量资金，对二级机构和派出机构的新增资金需求，能用存量结转（结余）资金解决的，用存量结转（结余）解决，努力盘活存量资金。三是加快预算执行，督促相关单位加快项目实施进度，加快资金结算进度，严控项目结转结余。</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8"/>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hYWI1NDJiNTZlMWRjNTIyMDVlMjRjYWQwZTQyZTQ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D91D00"/>
    <w:rsid w:val="04EA2C78"/>
    <w:rsid w:val="07532D57"/>
    <w:rsid w:val="08321B5D"/>
    <w:rsid w:val="086957D3"/>
    <w:rsid w:val="08806C9E"/>
    <w:rsid w:val="092C1F5D"/>
    <w:rsid w:val="099F6F75"/>
    <w:rsid w:val="09BB340E"/>
    <w:rsid w:val="09D46F84"/>
    <w:rsid w:val="0A0B2BA1"/>
    <w:rsid w:val="0AE97DD7"/>
    <w:rsid w:val="0B1F3FDB"/>
    <w:rsid w:val="0BA6031D"/>
    <w:rsid w:val="0BCC4C65"/>
    <w:rsid w:val="0BEF049C"/>
    <w:rsid w:val="0C7A0E18"/>
    <w:rsid w:val="0CD27968"/>
    <w:rsid w:val="0D005B4E"/>
    <w:rsid w:val="0E875A86"/>
    <w:rsid w:val="10371B3F"/>
    <w:rsid w:val="10DE353E"/>
    <w:rsid w:val="10ED4807"/>
    <w:rsid w:val="111C4602"/>
    <w:rsid w:val="11751C07"/>
    <w:rsid w:val="11E64743"/>
    <w:rsid w:val="13013117"/>
    <w:rsid w:val="130C5B6F"/>
    <w:rsid w:val="139A36C9"/>
    <w:rsid w:val="13FD6BA3"/>
    <w:rsid w:val="16C26394"/>
    <w:rsid w:val="17A43566"/>
    <w:rsid w:val="17D62449"/>
    <w:rsid w:val="18166C57"/>
    <w:rsid w:val="18487256"/>
    <w:rsid w:val="18C66758"/>
    <w:rsid w:val="19434886"/>
    <w:rsid w:val="19995198"/>
    <w:rsid w:val="199A4E64"/>
    <w:rsid w:val="1A061399"/>
    <w:rsid w:val="1A816D32"/>
    <w:rsid w:val="1B326960"/>
    <w:rsid w:val="1B451F82"/>
    <w:rsid w:val="1BC17DD9"/>
    <w:rsid w:val="1D5875E2"/>
    <w:rsid w:val="1F2C049F"/>
    <w:rsid w:val="20282F0E"/>
    <w:rsid w:val="20C05FEB"/>
    <w:rsid w:val="2150117A"/>
    <w:rsid w:val="230663AE"/>
    <w:rsid w:val="233E413C"/>
    <w:rsid w:val="234356F6"/>
    <w:rsid w:val="234D11AE"/>
    <w:rsid w:val="246444F3"/>
    <w:rsid w:val="248B0D70"/>
    <w:rsid w:val="24F47A9F"/>
    <w:rsid w:val="25362417"/>
    <w:rsid w:val="25484F92"/>
    <w:rsid w:val="26910987"/>
    <w:rsid w:val="27831DEA"/>
    <w:rsid w:val="27F33C7F"/>
    <w:rsid w:val="282F1E8B"/>
    <w:rsid w:val="28B453D5"/>
    <w:rsid w:val="28B501B6"/>
    <w:rsid w:val="29920A20"/>
    <w:rsid w:val="29FF3454"/>
    <w:rsid w:val="2A024927"/>
    <w:rsid w:val="2AD5145E"/>
    <w:rsid w:val="2AE422B4"/>
    <w:rsid w:val="2B571D3D"/>
    <w:rsid w:val="2D452C20"/>
    <w:rsid w:val="2E124D4B"/>
    <w:rsid w:val="2FAB3B39"/>
    <w:rsid w:val="30096031"/>
    <w:rsid w:val="31B47AAC"/>
    <w:rsid w:val="32F61BFE"/>
    <w:rsid w:val="33D81965"/>
    <w:rsid w:val="33FB79C4"/>
    <w:rsid w:val="340325DD"/>
    <w:rsid w:val="35327B23"/>
    <w:rsid w:val="3547731A"/>
    <w:rsid w:val="3662489D"/>
    <w:rsid w:val="366375D2"/>
    <w:rsid w:val="370C0803"/>
    <w:rsid w:val="379B40A4"/>
    <w:rsid w:val="384F457A"/>
    <w:rsid w:val="3A1A5216"/>
    <w:rsid w:val="3ABA0F82"/>
    <w:rsid w:val="3B681D67"/>
    <w:rsid w:val="3CC6041E"/>
    <w:rsid w:val="3CDB07AE"/>
    <w:rsid w:val="3DB14044"/>
    <w:rsid w:val="3E446A1F"/>
    <w:rsid w:val="3F5B40F4"/>
    <w:rsid w:val="416C231C"/>
    <w:rsid w:val="4185518C"/>
    <w:rsid w:val="41DB497A"/>
    <w:rsid w:val="42F82A49"/>
    <w:rsid w:val="432C3BF6"/>
    <w:rsid w:val="44E67CEF"/>
    <w:rsid w:val="456A3C81"/>
    <w:rsid w:val="456F6819"/>
    <w:rsid w:val="47AC402E"/>
    <w:rsid w:val="488C1A5A"/>
    <w:rsid w:val="48DF11EB"/>
    <w:rsid w:val="497A5C9E"/>
    <w:rsid w:val="49CB1BAA"/>
    <w:rsid w:val="4A921CA8"/>
    <w:rsid w:val="4B0D129B"/>
    <w:rsid w:val="4BE478F9"/>
    <w:rsid w:val="4BFC2B26"/>
    <w:rsid w:val="4CAD6623"/>
    <w:rsid w:val="4CC47888"/>
    <w:rsid w:val="4D78026E"/>
    <w:rsid w:val="4EDF1ABC"/>
    <w:rsid w:val="4F0A0126"/>
    <w:rsid w:val="4FC86BB2"/>
    <w:rsid w:val="4FDF32BD"/>
    <w:rsid w:val="506942C1"/>
    <w:rsid w:val="50770BDE"/>
    <w:rsid w:val="51574B32"/>
    <w:rsid w:val="518665EC"/>
    <w:rsid w:val="51A900F2"/>
    <w:rsid w:val="52CB6318"/>
    <w:rsid w:val="531A0AE1"/>
    <w:rsid w:val="53810CBC"/>
    <w:rsid w:val="549A6402"/>
    <w:rsid w:val="54DA5AFE"/>
    <w:rsid w:val="54E96D2E"/>
    <w:rsid w:val="55737069"/>
    <w:rsid w:val="55742F2F"/>
    <w:rsid w:val="55A734CB"/>
    <w:rsid w:val="55C331B7"/>
    <w:rsid w:val="55CC7CA4"/>
    <w:rsid w:val="57D24C11"/>
    <w:rsid w:val="58924876"/>
    <w:rsid w:val="59876B61"/>
    <w:rsid w:val="5A8E583E"/>
    <w:rsid w:val="5C771920"/>
    <w:rsid w:val="5DA969F6"/>
    <w:rsid w:val="5DD123FC"/>
    <w:rsid w:val="5DE825D6"/>
    <w:rsid w:val="5E153581"/>
    <w:rsid w:val="6022537E"/>
    <w:rsid w:val="604844AC"/>
    <w:rsid w:val="60617302"/>
    <w:rsid w:val="60FF1D56"/>
    <w:rsid w:val="615F2210"/>
    <w:rsid w:val="62616160"/>
    <w:rsid w:val="639F5900"/>
    <w:rsid w:val="64452A14"/>
    <w:rsid w:val="656715B4"/>
    <w:rsid w:val="658658CD"/>
    <w:rsid w:val="6596001E"/>
    <w:rsid w:val="65D43BF4"/>
    <w:rsid w:val="6726668F"/>
    <w:rsid w:val="67A24393"/>
    <w:rsid w:val="689D49C6"/>
    <w:rsid w:val="6A3927E9"/>
    <w:rsid w:val="6A535F74"/>
    <w:rsid w:val="6B7E1985"/>
    <w:rsid w:val="6E394A98"/>
    <w:rsid w:val="6E81656F"/>
    <w:rsid w:val="6ED872FF"/>
    <w:rsid w:val="6F642AF4"/>
    <w:rsid w:val="70796201"/>
    <w:rsid w:val="70931C15"/>
    <w:rsid w:val="7261193B"/>
    <w:rsid w:val="74631FB5"/>
    <w:rsid w:val="74AF008E"/>
    <w:rsid w:val="74E413C5"/>
    <w:rsid w:val="759A216F"/>
    <w:rsid w:val="77253503"/>
    <w:rsid w:val="779E30CB"/>
    <w:rsid w:val="7801100A"/>
    <w:rsid w:val="78592FD3"/>
    <w:rsid w:val="78875A40"/>
    <w:rsid w:val="79600A95"/>
    <w:rsid w:val="7ACE4250"/>
    <w:rsid w:val="7BC307D9"/>
    <w:rsid w:val="7C4A40EA"/>
    <w:rsid w:val="7EA06D55"/>
    <w:rsid w:val="7F0A3C90"/>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Body Text Indent 2"/>
    <w:basedOn w:val="1"/>
    <w:link w:val="16"/>
    <w:unhideWhenUsed/>
    <w:qFormat/>
    <w:uiPriority w:val="99"/>
    <w:pPr>
      <w:ind w:firstLine="588" w:firstLineChars="200"/>
    </w:pPr>
    <w:rPr>
      <w:rFonts w:ascii="仿宋_GB2312" w:hAnsi="Calibri" w:eastAsia="仿宋_GB2312"/>
      <w:sz w:val="32"/>
    </w:rPr>
  </w:style>
  <w:style w:type="paragraph" w:styleId="5">
    <w:name w:val="Balloon Text"/>
    <w:basedOn w:val="1"/>
    <w:link w:val="19"/>
    <w:semiHidden/>
    <w:qFormat/>
    <w:uiPriority w:val="0"/>
    <w:rPr>
      <w:sz w:val="18"/>
      <w:szCs w:val="18"/>
    </w:rPr>
  </w:style>
  <w:style w:type="paragraph" w:styleId="6">
    <w:name w:val="footer"/>
    <w:basedOn w:val="1"/>
    <w:link w:val="13"/>
    <w:unhideWhenUsed/>
    <w:qFormat/>
    <w:uiPriority w:val="0"/>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qFormat/>
    <w:uiPriority w:val="0"/>
    <w:pPr>
      <w:widowControl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Times New Roman" w:hAnsi="Times New Roman" w:eastAsia="宋体" w:cs="Times New Roman"/>
      <w:kern w:val="0"/>
      <w:sz w:val="24"/>
      <w:szCs w:val="24"/>
      <w:lang w:val="en-US" w:eastAsia="zh-CN" w:bidi="ar"/>
    </w:rPr>
  </w:style>
  <w:style w:type="character" w:styleId="11">
    <w:name w:val="page number"/>
    <w:qFormat/>
    <w:uiPriority w:val="0"/>
  </w:style>
  <w:style w:type="character" w:customStyle="1" w:styleId="12">
    <w:name w:val="页眉 字符"/>
    <w:basedOn w:val="10"/>
    <w:link w:val="7"/>
    <w:semiHidden/>
    <w:qFormat/>
    <w:uiPriority w:val="99"/>
    <w:rPr>
      <w:sz w:val="18"/>
      <w:szCs w:val="18"/>
    </w:rPr>
  </w:style>
  <w:style w:type="character" w:customStyle="1" w:styleId="13">
    <w:name w:val="页脚 字符"/>
    <w:basedOn w:val="10"/>
    <w:link w:val="6"/>
    <w:qFormat/>
    <w:uiPriority w:val="0"/>
    <w:rPr>
      <w:sz w:val="18"/>
      <w:szCs w:val="18"/>
    </w:rPr>
  </w:style>
  <w:style w:type="character" w:customStyle="1" w:styleId="14">
    <w:name w:val="标题 3 Char Char"/>
    <w:qFormat/>
    <w:uiPriority w:val="0"/>
    <w:rPr>
      <w:rFonts w:eastAsia="楷体_GB2312"/>
      <w:b/>
      <w:kern w:val="2"/>
      <w:sz w:val="32"/>
      <w:szCs w:val="24"/>
      <w:lang w:val="en-US" w:eastAsia="zh-CN" w:bidi="ar-SA"/>
    </w:rPr>
  </w:style>
  <w:style w:type="paragraph" w:customStyle="1" w:styleId="15">
    <w:name w:val="Char"/>
    <w:basedOn w:val="1"/>
    <w:qFormat/>
    <w:uiPriority w:val="0"/>
    <w:pPr>
      <w:autoSpaceDE w:val="0"/>
      <w:autoSpaceDN w:val="0"/>
      <w:adjustRightInd w:val="0"/>
    </w:pPr>
    <w:rPr>
      <w:rFonts w:ascii="宋体" w:cs="宋体"/>
      <w:kern w:val="0"/>
      <w:sz w:val="20"/>
      <w:szCs w:val="20"/>
      <w:lang w:val="zh-CN"/>
    </w:rPr>
  </w:style>
  <w:style w:type="character" w:customStyle="1" w:styleId="16">
    <w:name w:val="正文文本缩进 2 字符"/>
    <w:basedOn w:val="10"/>
    <w:link w:val="4"/>
    <w:qFormat/>
    <w:uiPriority w:val="99"/>
    <w:rPr>
      <w:rFonts w:ascii="仿宋_GB2312" w:hAnsi="Calibri" w:eastAsia="仿宋_GB2312" w:cs="Times New Roman"/>
      <w:sz w:val="32"/>
      <w:szCs w:val="24"/>
    </w:rPr>
  </w:style>
  <w:style w:type="paragraph" w:customStyle="1" w:styleId="17">
    <w:name w:val="Char1"/>
    <w:basedOn w:val="1"/>
    <w:qFormat/>
    <w:uiPriority w:val="0"/>
    <w:rPr>
      <w:rFonts w:ascii="仿宋_GB2312" w:eastAsia="仿宋_GB2312"/>
      <w:sz w:val="32"/>
    </w:rPr>
  </w:style>
  <w:style w:type="paragraph" w:customStyle="1" w:styleId="18">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9">
    <w:name w:val="批注框文本 字符"/>
    <w:basedOn w:val="10"/>
    <w:link w:val="5"/>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0</TotalTime>
  <ScaleCrop>false</ScaleCrop>
  <LinksUpToDate>false</LinksUpToDate>
  <CharactersWithSpaces>6078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廖小玲</cp:lastModifiedBy>
  <cp:lastPrinted>2021-06-25T03:03:00Z</cp:lastPrinted>
  <dcterms:modified xsi:type="dcterms:W3CDTF">2023-10-31T02:05:12Z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E9AB61422BA345C6B3FEB1316985C953</vt:lpwstr>
  </property>
</Properties>
</file>