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2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年度部门整体支出绩效评价基础数据表</w:t>
      </w:r>
    </w:p>
    <w:tbl>
      <w:tblPr>
        <w:tblStyle w:val="4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0.88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firstLine="400" w:firstLineChars="20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市级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bookmarkStart w:id="0" w:name="_GoBack" w:colFirst="1" w:colLast="6"/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36.96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6.48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56.40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10.79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15.52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1.22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0.84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42.05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楼堂馆所控制情况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批复规模</w:t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</w:tbl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</w:rPr>
      </w:pPr>
      <w:r>
        <w:rPr>
          <w:rFonts w:hint="default"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</w:rPr>
      </w:pPr>
    </w:p>
    <w:p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</w:rPr>
        <w:t>填表人：        填报日期：          联系电话：            单位负责人签字：</w:t>
      </w:r>
      <w:r>
        <w:rPr>
          <w:rFonts w:hint="default" w:ascii="Times New Roman" w:hAnsi="Times New Roman" w:eastAsia="仿宋_GB2312" w:cs="Times New Roman"/>
          <w:sz w:val="2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年度部门整体支出绩效自评表</w:t>
      </w:r>
    </w:p>
    <w:tbl>
      <w:tblPr>
        <w:tblStyle w:val="4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34"/>
        <w:gridCol w:w="1270"/>
        <w:gridCol w:w="1311"/>
        <w:gridCol w:w="1269"/>
        <w:gridCol w:w="716"/>
        <w:gridCol w:w="873"/>
        <w:gridCol w:w="14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级预算部门名称</w:t>
            </w:r>
          </w:p>
        </w:tc>
        <w:tc>
          <w:tcPr>
            <w:tcW w:w="89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岳阳市生态环境局城陵矶新港区分局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算申请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年初预算数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全年预算数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全年执行数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76.25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76.25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135.98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178%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按收入性质分：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135.98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按支出性质分：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135.98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129.99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135.98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政府性基金拨款：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纳入专户管理的非税收入拨款：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5.99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任务1：抓好各项督查等反馈问题整改，严防污染反弹。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任务2：开展长江入河排污口排查整治，完成年度总磷削减任务。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任务3：落实扬尘污染防治，深化VOCs治理。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任务4：严格执法，加大企业监管力度，严厉打击环境违法行为。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任务5：加强环境宣传，提高公众环境保护意识。　　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1.全年共完成各级督察反馈问题整改销号15个。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.完成2个洞庭湖总磷污染控制与削减项目销号，督促深国际、华粮、高澜等企业完成雨污分流改造；编制工业园区依托城镇污水处理厂企业污水排放评估报告、枯水期地表水生态环境管理应急预案；开展高温期蓝藻水华防控工作和枯水期断面巡查，对芭蕉湖实施每周一次巡查预警；17个排污口完成整治并销号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.完成3个“夏季攻势”重点行业VOCs综合治理项目销号验收。督促际华易北河、道道全、盛亚体育等20家企业落实重污染天气橙色预警Ⅱ级应急响应管控措施。开展工地、储备土地扬尘污染问题排查，排查工地24个，下发督办函11份并督促完成整改。编制了新港区路检路查方案，完成机动车路检路查全年任务120台，完成机动车检测机构检查6次。开展工业企业、工地扬尘等空气污染物源排查，配合市局开展空气污染物源排放清单编制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.完成54家企业“双随机一公开”检查；开展工业园大排查大整治、砂石土矿专项、风险隐患排查等一系列专项行动，实施行政处罚2起，处罚金额20万元；开展涉塑企业专项监察，对辖区11家涉塑企业完成现场排查，下达文书7份；开展防范化解生态环境风险隐患“利剑”行动，累计摸排各类生态环境风险隐患共计25个，全部降至“绿”色和“蓝”色风险等级；开展联合执法，与市场监管分局开展环检、车检机构专项检查。与区税务局开展环境税核查、排污权费收缴工作，完成了24家企业的排污权有偿使用收费；强化信访维稳工作，截止目前，共受理环境信访投诉、举报28件，均已按时回复、办结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完成的罚没款征缴任务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3万元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9.81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完成排污权征收任务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1.5万元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2.73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本区环保工作信访投诉处理、提案议案处理工作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信访处理率、提案议案处理率100%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各种整治符合环保标准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完成主要污染物减排目标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完成主要污染物减排目标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无较大污染事件发生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争取0发生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0发生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val="en-US" w:eastAsia="zh-CN"/>
              </w:rPr>
              <w:t>突发事件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即时完成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按时完成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其他工作按计划完成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按年度计划时间内完成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按计划完成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所有的支出控制在预算内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</w:rPr>
              <w:t>工作经费和专项治理经费按要求控制在预算内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执行率为94.65%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实现节能减排，减少环保治理经费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改善辖区环境质量及群众生产生活环境，达到环境质量控制目标。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促进环境质量认知度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有可持续影响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社会反响良好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群众满意率上升到85%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大于等于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85%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填表人：      填报日期：         联系电话：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z w:val="22"/>
          <w:szCs w:val="22"/>
        </w:rPr>
        <w:t>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hint="default" w:ascii="Times New Roman" w:hAnsi="Times New Roman" w:eastAsia="方正小标宋_GBK" w:cs="Times New Roman"/>
          <w:sz w:val="52"/>
          <w:szCs w:val="5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年度岳阳市生态环境局城陵矶新港区分局整体支出绩效自评报告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部门（单位）名称：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（盖章）</w:t>
      </w:r>
    </w:p>
    <w:p>
      <w:pPr>
        <w:spacing w:line="600" w:lineRule="exact"/>
        <w:jc w:val="center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年  月  日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（此页为封面）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2022年度岳阳市生态环境局城陵矶新港区分局整体支出绩效自评报告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部门（单位）基本情况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1、受市生态环境局委托，承担辖区内的生态环境相关工作；承担市生态环境局和区管委会交办的其他任务。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、负责本辖区内重点污染源在线监控系统现场监督管理；负责受理和办理生态环境保护举报（信访），负责生态环境信访维稳事件的现场调查处置工作；负责环境县级执法事项违法案件调查处理；负责组织协调生态环境保护县级跨部门联合执法行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3、负责本辖区生态环境质量监测、执法监测、污染源监测和应急监测；负责辖区内生态文明示范县创建。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（二）机构设置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2022年岳阳市生态环境局城陵矶新港区分局现有编制数6人，在职职工6人，离退休人员0人，本科及以上学历占90%以上。局内设执法大队、办公室、管理股、财务股四个股室。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二、一般公共预算支出情况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我分局整体支出只有基本支出，没有专项支出。基本支出主要用于人员经费和环境宣传、固定资产采购、“三公”经费等公用支出。我分局202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年度总支出135.98万元，其中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工资福利性支出79.58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商品和服务性支出56.37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其他对个人及家庭的补助0.03万元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。202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年，我分局三公经费支出0.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万元，其中公务接待费0.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万元；公务用车运维费0万元；公务用车购置费0万元；因公出国费0万元。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政府性基金预算支出情况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年本单位没有使用政府性基金预算安排的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sz w:val="32"/>
          <w:szCs w:val="32"/>
        </w:rPr>
        <w:t>国有资本经营预算支出情况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年本单位没有使用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国有资本经营预算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社会保险基金预算支出情况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年本单位没有使用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社会保险基金预算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六、部门整体支出绩效情况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ascii="Times New Roman" w:hAnsi="楷体_GB2312" w:eastAsia="楷体_GB2312" w:cs="Times New Roman"/>
          <w:b/>
          <w:bCs/>
          <w:sz w:val="32"/>
          <w:szCs w:val="32"/>
        </w:rPr>
      </w:pPr>
      <w:r>
        <w:rPr>
          <w:rFonts w:ascii="Times New Roman" w:hAnsi="楷体_GB2312" w:eastAsia="楷体_GB2312" w:cs="Times New Roman"/>
          <w:b/>
          <w:bCs/>
          <w:sz w:val="32"/>
          <w:szCs w:val="32"/>
        </w:rPr>
        <w:t>（一）高位推动，扎实推进突出环境问题整改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全年共完成各级督察反馈问题整改销号15个，其中第二轮中央环保督察反馈问题2个，长江经济带生态警示片披露问题1个，省级环保督察“回头看”反馈问题1个，省“利剑”专项督察反馈问题3个，市“5+1”专项督查反馈问题3个，市人大常委会“一法一条例”执法检查反馈问题5个，剩余各级督察反馈问题整改均达序时进度要求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/>
        <w:textAlignment w:val="auto"/>
        <w:rPr>
          <w:rFonts w:hint="default"/>
        </w:rPr>
      </w:pPr>
      <w:r>
        <w:rPr>
          <w:rFonts w:ascii="Times New Roman" w:hAnsi="楷体_GB2312" w:eastAsia="楷体_GB2312" w:cs="Times New Roman"/>
          <w:b/>
          <w:bCs/>
          <w:sz w:val="32"/>
          <w:szCs w:val="32"/>
        </w:rPr>
        <w:t>（二）强化环境治理，深入打好打赢污防攻坚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1.加强水环境污染防治。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完成</w:t>
      </w:r>
      <w:r>
        <w:rPr>
          <w:rFonts w:ascii="Times New Roman" w:hAnsi="Times New Roman" w:eastAsia="仿宋_GB2312" w:cs="Times New Roman"/>
          <w:sz w:val="32"/>
          <w:szCs w:val="32"/>
        </w:rPr>
        <w:t>2个洞庭湖总磷污染控制与削减项目销号；督促深国际、华粮、高澜等企业完成雨污分流改造；编制工业园区依托城镇污水处理厂企业污水排放评估报告、枯水期地表水生态环境管理应急预案；开展高温期蓝藻水华防控工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和枯水期断面巡查</w:t>
      </w:r>
      <w:r>
        <w:rPr>
          <w:rFonts w:ascii="Times New Roman" w:hAnsi="Times New Roman" w:eastAsia="仿宋_GB2312" w:cs="Times New Roman"/>
          <w:sz w:val="32"/>
          <w:szCs w:val="32"/>
        </w:rPr>
        <w:t>，对芭蕉湖实施每周一次巡查预警；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17个排污口完成整治并销号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2.加强大气污染防治。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个“夏季攻势”</w:t>
      </w:r>
      <w:r>
        <w:rPr>
          <w:rFonts w:ascii="Times New Roman" w:hAnsi="Times New Roman" w:eastAsia="仿宋_GB2312" w:cs="Times New Roman"/>
          <w:sz w:val="32"/>
          <w:szCs w:val="32"/>
        </w:rPr>
        <w:t>重点行业VOCs综合治理项目销号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验收</w:t>
      </w:r>
      <w:r>
        <w:rPr>
          <w:rFonts w:ascii="Times New Roman" w:hAnsi="Times New Roman" w:eastAsia="仿宋_GB2312" w:cs="Times New Roman"/>
          <w:sz w:val="32"/>
          <w:szCs w:val="32"/>
        </w:rPr>
        <w:t>。督促际华易北河、道道全、盛亚体育等20家企业落实重污染天气橙色预警Ⅱ级应急响应管控措施。开展工地、储备土地扬尘污染问题排查，排查工地24个，下发督办函11份并督促完成整改。编制了新港区路检路查方案，完成机动车路检路查全年任务120台，完成机动车检测机构检查6次。开展工业企业、工地扬尘等空气污染物源排查，配合市局开展空气污染物源排放清单编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3.加强土壤污染防治。</w:t>
      </w:r>
      <w:r>
        <w:rPr>
          <w:rFonts w:ascii="Times New Roman" w:hAnsi="Times New Roman" w:eastAsia="仿宋_GB2312" w:cs="Times New Roman"/>
          <w:sz w:val="32"/>
          <w:szCs w:val="32"/>
        </w:rPr>
        <w:t>督促精诚博达疑似污染地块完成建筑垃圾清理、完成土壤污染初步调查；完成凯门科技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和中天石化</w:t>
      </w:r>
      <w:r>
        <w:rPr>
          <w:rFonts w:ascii="Times New Roman" w:hAnsi="Times New Roman" w:eastAsia="仿宋_GB2312" w:cs="Times New Roman"/>
          <w:sz w:val="32"/>
          <w:szCs w:val="32"/>
        </w:rPr>
        <w:t>土壤污染初步调查；完成7个疑似污染地块矢量坐标认定。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 w:firstLineChars="200"/>
        <w:textAlignment w:val="auto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4.加强固体废物监管。</w:t>
      </w:r>
      <w:r>
        <w:rPr>
          <w:rFonts w:ascii="Times New Roman" w:hAnsi="Times New Roman" w:eastAsia="仿宋_GB2312" w:cs="Times New Roman"/>
          <w:sz w:val="32"/>
          <w:szCs w:val="32"/>
        </w:rPr>
        <w:t>完成7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家产废单位危险废物申报登记备案；组织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全区企业开展</w:t>
      </w:r>
      <w:r>
        <w:rPr>
          <w:rFonts w:ascii="Times New Roman" w:hAnsi="Times New Roman" w:eastAsia="仿宋_GB2312" w:cs="Times New Roman"/>
          <w:sz w:val="32"/>
          <w:szCs w:val="32"/>
        </w:rPr>
        <w:t>危险废物规范化管理培训，提高管理水平；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开展涉危废专项执法，出动130余人次，排查危废企业65家，整改问题75个</w:t>
      </w:r>
      <w:r>
        <w:rPr>
          <w:rFonts w:ascii="Times New Roman" w:hAnsi="Times New Roman" w:eastAsia="仿宋_GB2312" w:cs="Times New Roman"/>
          <w:sz w:val="32"/>
          <w:szCs w:val="32"/>
        </w:rPr>
        <w:t>；完成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1家产废企业、经营单位的危险废物规范化管理评估。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 w:firstLineChars="200"/>
        <w:textAlignment w:val="auto"/>
        <w:rPr>
          <w:rFonts w:ascii="Times New Roman" w:hAnsi="Times New Roman" w:eastAsia="楷体" w:cs="Times New Roman"/>
          <w:b/>
          <w:bCs/>
          <w:sz w:val="32"/>
          <w:szCs w:val="32"/>
        </w:rPr>
      </w:pPr>
      <w:r>
        <w:rPr>
          <w:rFonts w:ascii="Times New Roman" w:hAnsi="楷体_GB2312" w:eastAsia="楷体_GB2312" w:cs="Times New Roman"/>
          <w:b/>
          <w:bCs/>
          <w:sz w:val="32"/>
          <w:szCs w:val="32"/>
        </w:rPr>
        <w:t>（三）严格排污管控，强势推进执法监管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0" w:firstLineChars="200"/>
        <w:textAlignment w:val="auto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完成54家企业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“双随机一公开”检查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开展工业园大排查大整治、砂石土矿专项、风险隐患排查等一系列专项行动，实施行政处罚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起，处罚金额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</w:t>
      </w:r>
      <w:r>
        <w:rPr>
          <w:rFonts w:ascii="Times New Roman" w:hAnsi="Times New Roman" w:eastAsia="仿宋_GB2312" w:cs="Times New Roman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开展涉塑企业专项监察，对辖区11家涉塑企业完成现场排查，下达文书7份，未发现相关问题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开展防范化解生态环境风险隐</w:t>
      </w:r>
      <w:r>
        <w:rPr>
          <w:rFonts w:hint="eastAsia" w:ascii="仿宋_GB2312" w:hAnsi="仿宋_GB2312" w:eastAsia="仿宋_GB2312" w:cs="仿宋_GB2312"/>
          <w:sz w:val="32"/>
          <w:szCs w:val="32"/>
        </w:rPr>
        <w:t>患“利剑”行</w:t>
      </w:r>
      <w:r>
        <w:rPr>
          <w:rFonts w:ascii="Times New Roman" w:hAnsi="Times New Roman" w:eastAsia="仿宋_GB2312" w:cs="Times New Roman"/>
          <w:sz w:val="32"/>
          <w:szCs w:val="32"/>
        </w:rPr>
        <w:t>动，累计摸排各类生态环境风险隐患共计25个，全</w:t>
      </w:r>
      <w:r>
        <w:rPr>
          <w:rFonts w:hint="eastAsia" w:ascii="仿宋_GB2312" w:hAnsi="仿宋_GB2312" w:eastAsia="仿宋_GB2312" w:cs="仿宋_GB2312"/>
          <w:sz w:val="32"/>
          <w:szCs w:val="32"/>
        </w:rPr>
        <w:t>部降至“绿”色和“蓝”色风</w:t>
      </w:r>
      <w:r>
        <w:rPr>
          <w:rFonts w:ascii="Times New Roman" w:hAnsi="Times New Roman" w:eastAsia="仿宋_GB2312" w:cs="Times New Roman"/>
          <w:sz w:val="32"/>
          <w:szCs w:val="32"/>
        </w:rPr>
        <w:t>险等级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开展联合执法，与市场监管分局开展环检、车检机构专项检查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与应急管理局开展安全生产、危废大排查、安全隐患排查等专项检查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与质安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三所</w:t>
      </w:r>
      <w:r>
        <w:rPr>
          <w:rFonts w:ascii="Times New Roman" w:hAnsi="Times New Roman" w:eastAsia="仿宋_GB2312" w:cs="Times New Roman"/>
          <w:sz w:val="32"/>
          <w:szCs w:val="32"/>
        </w:rPr>
        <w:t>开展扬尘专项督查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与区税务局开展环境税核查、排污权费收缴工作，完成了24家企业的排污权有偿使用收费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强化信访维稳工作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截止目前，共受理环境信访投诉、举报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28</w:t>
      </w:r>
      <w:r>
        <w:rPr>
          <w:rFonts w:ascii="Times New Roman" w:hAnsi="Times New Roman" w:eastAsia="仿宋_GB2312" w:cs="Times New Roman"/>
          <w:sz w:val="32"/>
          <w:szCs w:val="32"/>
        </w:rPr>
        <w:t>件，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均</w:t>
      </w:r>
      <w:r>
        <w:rPr>
          <w:rFonts w:ascii="Times New Roman" w:hAnsi="Times New Roman" w:eastAsia="仿宋_GB2312" w:cs="Times New Roman"/>
          <w:sz w:val="32"/>
          <w:szCs w:val="32"/>
        </w:rPr>
        <w:t>已按时回复、办结。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/>
        <w:textAlignment w:val="auto"/>
        <w:rPr>
          <w:rFonts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ascii="Times New Roman" w:hAnsi="楷体_GB2312" w:eastAsia="楷体_GB2312" w:cs="Times New Roman"/>
          <w:b/>
          <w:bCs/>
          <w:sz w:val="32"/>
          <w:szCs w:val="32"/>
        </w:rPr>
        <w:t>（四）防范环境风险，全面提升应急能力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完成70余家企业环境应急预案备案。开展应急专项检查，指导海益通、君泰、公元管材等10家企业完善应急物资储备。督促高澜、隆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森</w:t>
      </w:r>
      <w:r>
        <w:rPr>
          <w:rFonts w:ascii="Times New Roman" w:hAnsi="Times New Roman" w:eastAsia="仿宋_GB2312" w:cs="Times New Roman"/>
          <w:sz w:val="32"/>
          <w:szCs w:val="32"/>
        </w:rPr>
        <w:t>生物、水电八局、运想重工等6家企业完成应急预案修订；组织道道全，恒阳化工、中海油等重点企业开展应急演练；通过完善应急物资、修订应急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预案</w:t>
      </w:r>
      <w:r>
        <w:rPr>
          <w:rFonts w:ascii="Times New Roman" w:hAnsi="Times New Roman" w:eastAsia="仿宋_GB2312" w:cs="Times New Roman"/>
          <w:sz w:val="32"/>
          <w:szCs w:val="32"/>
        </w:rPr>
        <w:t>、开展应急演练等方式，进一步提升事故预防和处置能力。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 w:firstLineChars="200"/>
        <w:textAlignment w:val="auto"/>
        <w:rPr>
          <w:rFonts w:ascii="Times New Roman" w:hAnsi="楷体_GB2312" w:eastAsia="楷体_GB2312" w:cs="Times New Roman"/>
          <w:b/>
          <w:bCs/>
          <w:sz w:val="32"/>
          <w:szCs w:val="32"/>
        </w:rPr>
      </w:pPr>
      <w:r>
        <w:rPr>
          <w:rFonts w:ascii="Times New Roman" w:hAnsi="Times New Roman" w:eastAsia="楷体" w:cs="Times New Roman"/>
          <w:b/>
          <w:bCs/>
          <w:sz w:val="32"/>
          <w:szCs w:val="32"/>
        </w:rPr>
        <w:t>（</w:t>
      </w:r>
      <w:r>
        <w:rPr>
          <w:rFonts w:ascii="Times New Roman" w:hAnsi="楷体_GB2312" w:eastAsia="楷体_GB2312" w:cs="Times New Roman"/>
          <w:b/>
          <w:bCs/>
          <w:sz w:val="32"/>
          <w:szCs w:val="32"/>
        </w:rPr>
        <w:t>五）</w:t>
      </w:r>
      <w:r>
        <w:rPr>
          <w:rFonts w:hint="eastAsia" w:ascii="Times New Roman" w:hAnsi="楷体_GB2312" w:eastAsia="楷体_GB2312" w:cs="Times New Roman"/>
          <w:b/>
          <w:bCs/>
          <w:sz w:val="32"/>
          <w:szCs w:val="32"/>
        </w:rPr>
        <w:t>完善保障措施，全面优化服务升级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一是开展园区第三方治理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。聘请湖南中汇环境科技有限公司为新港区环保管家（含综保区），对园区企业进行全面排查，统一推进环境污染第三方治理服务工作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联合社发部建立园区环境监管信息平台，与省园区环境管理监管信息平台完成对接并上传数据。</w:t>
      </w:r>
      <w:r>
        <w:rPr>
          <w:rFonts w:hint="eastAsia"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是组织开展信用评价工作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岳阳临港高新技术产业开发区、岳阳城陵矶综合保税区均为环保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信用</w:t>
      </w:r>
      <w:r>
        <w:rPr>
          <w:rFonts w:ascii="Times New Roman" w:hAnsi="Times New Roman" w:eastAsia="仿宋_GB2312" w:cs="Times New Roman"/>
          <w:sz w:val="32"/>
          <w:szCs w:val="32"/>
        </w:rPr>
        <w:t>合格园区；开展企事业单位环保信用评价评级，其中省级参评企业10家（诚信企业2家，合格企业8家），市级参评企业36家（诚信企业3家，合格企业33家）。</w:t>
      </w:r>
      <w:r>
        <w:rPr>
          <w:rFonts w:hint="eastAsia"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是狠抓排污许可证后管理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。开展排污许可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证“回头看”和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专项执法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，对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辖区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31家企业排污许可信息、管理要求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、自行监测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内容开展核查，督促指导10余家企业完成排污许可证变更。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七、存在的问题及原因分析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根据预算一体化的要求，年初预算下达指标到达末级科目，年中不予调整，导致部分支出科目余额不足，使得付款效率大大降低。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下一步改进措施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进一步提高预算编制的准确性和科学性，提高工作效率。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九、部门整体支出绩效自评结果拟应用和公开情况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绩效自评结果为良好等级。下一步将根据财政检查绩效自评发现的问题等进行改善，并按政务公开的相关规定，及时将部门整体支出及项目绩效自评报告，通过门户网站向社会公开。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spacing w:before="120" w:beforeLines="50" w:after="120" w:afterLines="50"/>
        <w:jc w:val="center"/>
        <w:rPr>
          <w:rFonts w:hint="eastAsia" w:ascii="方正小标宋简体" w:hAnsi="方正小标宋简体" w:eastAsia="方正小标宋简体" w:cs="方正小标宋简体"/>
          <w:spacing w:val="-6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部门整体支出</w:t>
      </w:r>
      <w:r>
        <w:rPr>
          <w:rFonts w:hint="eastAsia" w:ascii="方正小标宋简体" w:hAnsi="方正小标宋简体" w:eastAsia="方正小标宋简体" w:cs="方正小标宋简体"/>
          <w:spacing w:val="-6"/>
          <w:sz w:val="36"/>
          <w:szCs w:val="36"/>
        </w:rPr>
        <w:t>绩效自评工作考核评分表</w:t>
      </w:r>
    </w:p>
    <w:tbl>
      <w:tblPr>
        <w:tblStyle w:val="4"/>
        <w:tblW w:w="99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1174"/>
        <w:gridCol w:w="5000"/>
        <w:gridCol w:w="30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</w:rPr>
              <w:t>一级指标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</w:rPr>
              <w:t>二级指标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</w:rPr>
              <w:t>评分标准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</w:rPr>
              <w:t>所需佐证材料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布置工作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10分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自评通知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（8分）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印发绩效自评通知的得2分，否则不得分。</w:t>
            </w:r>
          </w:p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按照本规程规定，绩效自评通知包括自评范围、自评主要依据、自评主要内容、自评程序和步骤、有关要求等内容，并附有本通知要求的附件的，得6分；否则缺1项扣1分，最多扣6分。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绩效自评通知盖章的电子版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工作小组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（2分）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成立绩效自评工作小组的得2分，否则不得分。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本部门、本单位预算绩效管理领导小组</w:t>
            </w:r>
            <w:r>
              <w:rPr>
                <w:rFonts w:hint="default" w:ascii="Times New Roman" w:hAnsi="Times New Roman" w:eastAsia="仿宋_GB2312" w:cs="Times New Roman"/>
                <w:spacing w:val="0"/>
                <w:sz w:val="20"/>
                <w:szCs w:val="20"/>
                <w:lang w:val="en-US" w:eastAsia="zh-CN"/>
              </w:rPr>
              <w:t>/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绩效评价工作小组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eastAsia="zh-CN"/>
              </w:rPr>
              <w:t>有关</w:t>
            </w:r>
            <w:r>
              <w:rPr>
                <w:rFonts w:hint="default" w:ascii="Times New Roman" w:hAnsi="Times New Roman" w:eastAsia="仿宋_GB2312" w:cs="Times New Roman"/>
                <w:spacing w:val="0"/>
                <w:sz w:val="20"/>
                <w:szCs w:val="20"/>
              </w:rPr>
              <w:t>文件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盖章的电子版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实施评价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20分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单位自查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（10分）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市级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预算部门本级和所属单位都要开展绩效自查，转移支付项目单位都要开展绩效自查，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县、区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级主管部门都要汇总本区域转移支付情况；以上各项每发现一个单位没有做相应工作的，扣1分，最多扣10分。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4"/>
              </w:num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转移支付项目单位名称和资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金情况清单</w:t>
            </w:r>
          </w:p>
          <w:p>
            <w:pPr>
              <w:numPr>
                <w:ilvl w:val="0"/>
                <w:numId w:val="4"/>
              </w:num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有转移支付资金的各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县区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主管部门汇总情况的盖章PDF版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提交报告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（10分）</w:t>
            </w:r>
          </w:p>
        </w:tc>
        <w:tc>
          <w:tcPr>
            <w:tcW w:w="8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按时向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市财政局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报送报告的得10分；每推迟一个工作日报送报告的扣1分，最多扣10分。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自评报告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70分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完整性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（15分）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绩效自评报告正文部分内容齐全的，得8分；否则每少一个部分扣2分，最多扣8分。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绩效自评报告附件部分内容齐全的，得7分；否则每少一个部分扣2分，最多扣7分。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绩效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自评表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（20分）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1、部门整体支出和项目支出绩效指标反映产出、效益、服务对象满意度方面的指标和预算执行率的权重符合《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岳阳市市级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预算部门绩效自评操作规程》要求的，得5分，否则按比例扣除相应的分数。</w:t>
            </w:r>
          </w:p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部门整体支出和项目支出绩效指标全部细化到三级指标的，得5分；部分细化的，酌情扣分；没有细化的，不得分。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部门整体支出和项目支出三级绩效指标内涵明确、具体、可衡量的得5分；突出核心指标，精简实用的得3分；指标与部门整体支出和项目支出密切相关，全面反映产出和效益的得2分；否则，每项酌情扣分，最多扣10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反映问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题情况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（20分）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从预算和预算绩效管理，部门履职效能，资金分配、使用和管理，资产和财务管理，政府采购等方面归纳问题、分析原因全面的，得20分；反映问题、分析原因较全面的，得16—18分；反映问题、分析原因不全面的，得13—15分；问题未归纳且过于简单的，得10—12分；只提出资金不足问题的不得分；其他情况酌情扣分。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建议情况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（15分）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建议与问题对应且全面的得15分，建议比较全面的得12—14分，建议不全面的得9—11分，建议过于简单的得6—8分，只提出加大资金投入建议的不得分；其他情况酌情扣分。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合计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100分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6EE791"/>
    <w:multiLevelType w:val="singleLevel"/>
    <w:tmpl w:val="A26EE79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47266DA"/>
    <w:multiLevelType w:val="singleLevel"/>
    <w:tmpl w:val="E47266D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F3D7EEC"/>
    <w:multiLevelType w:val="singleLevel"/>
    <w:tmpl w:val="FF3D7EEC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DDF8822"/>
    <w:multiLevelType w:val="singleLevel"/>
    <w:tmpl w:val="5DDF882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M2RiODNhYzYwODk5ZTg2MTVmODIyMGIzNjA1OGYifQ=="/>
  </w:docVars>
  <w:rsids>
    <w:rsidRoot w:val="23C77399"/>
    <w:rsid w:val="1B5D2DE7"/>
    <w:rsid w:val="23C77399"/>
    <w:rsid w:val="24F844E0"/>
    <w:rsid w:val="29784AF4"/>
    <w:rsid w:val="3CEB26D2"/>
    <w:rsid w:val="4CE975C8"/>
    <w:rsid w:val="7956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ind w:left="1680" w:leftChars="800"/>
    </w:p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95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2023-06-20T06:33:00Z</dcterms:created>
  <dc:creator>Administrator</dc:creator>
  <cp:lastModifiedBy>Gat</cp:lastModifiedBy>
  <cp:lastPrinted>2023-06-25T01:30:00Z</cp:lastPrinted>
  <dcterms:modified xsi:type="dcterms:W3CDTF">2023-10-26T02:46:22Z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5D19EBD797C044E09E04C3B43CF407C3</vt:lpwstr>
  </property>
</Properties>
</file>