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both"/>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spacing w:after="120" w:afterLines="50" w:line="600" w:lineRule="exact"/>
        <w:jc w:val="center"/>
        <w:rPr>
          <w:rFonts w:hint="eastAsia"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2</w:t>
      </w:r>
      <w:r>
        <w:rPr>
          <w:rFonts w:hint="eastAsia" w:ascii="方正小标宋简体" w:hAnsi="方正小标宋简体" w:eastAsia="方正小标宋简体" w:cs="方正小标宋简体"/>
          <w:sz w:val="36"/>
          <w:szCs w:val="36"/>
        </w:rPr>
        <w:t>年度部门整体支出绩效评价基础数据表</w:t>
      </w:r>
    </w:p>
    <w:tbl>
      <w:tblPr>
        <w:tblStyle w:val="8"/>
        <w:tblW w:w="9673" w:type="dxa"/>
        <w:jc w:val="center"/>
        <w:tblLayout w:type="fixed"/>
        <w:tblCellMar>
          <w:top w:w="0" w:type="dxa"/>
          <w:left w:w="108" w:type="dxa"/>
          <w:bottom w:w="0" w:type="dxa"/>
          <w:right w:w="108" w:type="dxa"/>
        </w:tblCellMar>
      </w:tblPr>
      <w:tblGrid>
        <w:gridCol w:w="3492"/>
        <w:gridCol w:w="1051"/>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49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财政供养人员情况（人）</w:t>
            </w:r>
          </w:p>
        </w:tc>
        <w:tc>
          <w:tcPr>
            <w:tcW w:w="190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2</w:t>
            </w:r>
            <w:r>
              <w:rPr>
                <w:rFonts w:hint="eastAsia" w:ascii="仿宋_GB2312" w:hAnsi="仿宋_GB2312" w:eastAsia="仿宋_GB2312" w:cs="仿宋_GB2312"/>
                <w:b/>
                <w:bCs/>
                <w:sz w:val="20"/>
                <w:szCs w:val="20"/>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控制率</w:t>
            </w:r>
          </w:p>
        </w:tc>
      </w:tr>
      <w:tr>
        <w:tblPrEx>
          <w:tblCellMar>
            <w:top w:w="0" w:type="dxa"/>
            <w:left w:w="108" w:type="dxa"/>
            <w:bottom w:w="0" w:type="dxa"/>
            <w:right w:w="108" w:type="dxa"/>
          </w:tblCellMar>
        </w:tblPrEx>
        <w:trPr>
          <w:trHeight w:val="0" w:hRule="atLeast"/>
          <w:jc w:val="center"/>
        </w:trPr>
        <w:tc>
          <w:tcPr>
            <w:tcW w:w="34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p>
        </w:tc>
        <w:tc>
          <w:tcPr>
            <w:tcW w:w="190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rPr>
            </w:pPr>
            <w:r>
              <w:rPr>
                <w:rFonts w:hint="eastAsia" w:ascii="仿宋_GB2312" w:hAnsi="仿宋_GB2312" w:eastAsia="仿宋_GB2312" w:cs="仿宋_GB2312"/>
                <w:sz w:val="20"/>
                <w:szCs w:val="20"/>
                <w:lang w:val="en-US" w:eastAsia="zh-CN"/>
              </w:rPr>
              <w:t>10</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7</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70%</w:t>
            </w: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经费控制情况（万元）</w:t>
            </w:r>
          </w:p>
        </w:tc>
        <w:tc>
          <w:tcPr>
            <w:tcW w:w="190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1</w:t>
            </w:r>
            <w:r>
              <w:rPr>
                <w:rFonts w:hint="eastAsia" w:ascii="仿宋_GB2312" w:hAnsi="仿宋_GB2312" w:eastAsia="仿宋_GB2312" w:cs="仿宋_GB2312"/>
                <w:b/>
                <w:bCs/>
                <w:sz w:val="20"/>
                <w:szCs w:val="20"/>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2</w:t>
            </w:r>
            <w:r>
              <w:rPr>
                <w:rFonts w:hint="eastAsia" w:ascii="仿宋_GB2312" w:hAnsi="仿宋_GB2312" w:eastAsia="仿宋_GB2312" w:cs="仿宋_GB2312"/>
                <w:b/>
                <w:bCs/>
                <w:sz w:val="20"/>
                <w:szCs w:val="20"/>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2</w:t>
            </w:r>
            <w:r>
              <w:rPr>
                <w:rFonts w:hint="eastAsia" w:ascii="仿宋_GB2312" w:hAnsi="仿宋_GB2312" w:eastAsia="仿宋_GB2312" w:cs="仿宋_GB2312"/>
                <w:b/>
                <w:bCs/>
                <w:sz w:val="20"/>
                <w:szCs w:val="20"/>
              </w:rPr>
              <w:t>年决算数</w:t>
            </w:r>
          </w:p>
        </w:tc>
      </w:tr>
      <w:tr>
        <w:tblPrEx>
          <w:tblCellMar>
            <w:top w:w="0" w:type="dxa"/>
            <w:left w:w="108" w:type="dxa"/>
            <w:bottom w:w="0" w:type="dxa"/>
            <w:right w:w="108" w:type="dxa"/>
          </w:tblCellMar>
        </w:tblPrEx>
        <w:trPr>
          <w:trHeight w:val="90" w:hRule="atLeast"/>
          <w:jc w:val="center"/>
        </w:trPr>
        <w:tc>
          <w:tcPr>
            <w:tcW w:w="3492"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三公经费</w:t>
            </w:r>
          </w:p>
        </w:tc>
        <w:tc>
          <w:tcPr>
            <w:tcW w:w="190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p>
        </w:tc>
      </w:tr>
      <w:tr>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1、公务用车购置和维护经费</w:t>
            </w:r>
          </w:p>
        </w:tc>
        <w:tc>
          <w:tcPr>
            <w:tcW w:w="190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其中：公车购置</w:t>
            </w:r>
          </w:p>
        </w:tc>
        <w:tc>
          <w:tcPr>
            <w:tcW w:w="190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公车运行维护</w:t>
            </w:r>
          </w:p>
        </w:tc>
        <w:tc>
          <w:tcPr>
            <w:tcW w:w="190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2、出国经费</w:t>
            </w:r>
          </w:p>
        </w:tc>
        <w:tc>
          <w:tcPr>
            <w:tcW w:w="190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3、公务接待</w:t>
            </w:r>
          </w:p>
        </w:tc>
        <w:tc>
          <w:tcPr>
            <w:tcW w:w="190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2.22</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0.59</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1.16</w:t>
            </w:r>
          </w:p>
        </w:tc>
      </w:tr>
      <w:tr>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项目支出：</w:t>
            </w:r>
          </w:p>
        </w:tc>
        <w:tc>
          <w:tcPr>
            <w:tcW w:w="190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p>
        </w:tc>
      </w:tr>
      <w:tr>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1、业务工作经费</w:t>
            </w:r>
          </w:p>
        </w:tc>
        <w:tc>
          <w:tcPr>
            <w:tcW w:w="190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2、运行维护经费</w:t>
            </w:r>
          </w:p>
        </w:tc>
        <w:tc>
          <w:tcPr>
            <w:tcW w:w="190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w:t>
            </w:r>
            <w:r>
              <w:rPr>
                <w:rFonts w:hint="eastAsia" w:ascii="仿宋_GB2312" w:hAnsi="仿宋_GB2312" w:eastAsia="仿宋_GB2312" w:cs="仿宋_GB2312"/>
                <w:sz w:val="20"/>
                <w:szCs w:val="20"/>
                <w:lang w:eastAsia="zh-CN"/>
              </w:rPr>
              <w:t>市级</w:t>
            </w:r>
            <w:r>
              <w:rPr>
                <w:rFonts w:hint="eastAsia" w:ascii="仿宋_GB2312" w:hAnsi="仿宋_GB2312" w:eastAsia="仿宋_GB2312" w:cs="仿宋_GB2312"/>
                <w:sz w:val="20"/>
                <w:szCs w:val="20"/>
              </w:rPr>
              <w:t>专项资金（一个专项一行）</w:t>
            </w:r>
          </w:p>
        </w:tc>
        <w:tc>
          <w:tcPr>
            <w:tcW w:w="190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tblPrEx>
          <w:tblCellMar>
            <w:top w:w="0" w:type="dxa"/>
            <w:left w:w="108" w:type="dxa"/>
            <w:bottom w:w="0" w:type="dxa"/>
            <w:right w:w="108" w:type="dxa"/>
          </w:tblCellMar>
        </w:tblPrEx>
        <w:trPr>
          <w:trHeight w:val="90" w:hRule="atLeast"/>
          <w:jc w:val="center"/>
        </w:trPr>
        <w:tc>
          <w:tcPr>
            <w:tcW w:w="3492"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公用经费</w:t>
            </w:r>
          </w:p>
        </w:tc>
        <w:tc>
          <w:tcPr>
            <w:tcW w:w="190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94.49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13.03</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155.36</w:t>
            </w:r>
          </w:p>
        </w:tc>
      </w:tr>
      <w:tr>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其中：办公经费</w:t>
            </w:r>
          </w:p>
        </w:tc>
        <w:tc>
          <w:tcPr>
            <w:tcW w:w="190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87.34</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10.02</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eastAsia="zh-CN"/>
              </w:rPr>
              <w:t>149.69</w:t>
            </w:r>
          </w:p>
        </w:tc>
      </w:tr>
      <w:tr>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水费、电费、差旅费</w:t>
            </w:r>
          </w:p>
        </w:tc>
        <w:tc>
          <w:tcPr>
            <w:tcW w:w="190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7.15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2.31</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eastAsia="zh-CN"/>
              </w:rPr>
              <w:t>5.67</w:t>
            </w:r>
          </w:p>
        </w:tc>
      </w:tr>
      <w:tr>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会议费、培训费</w:t>
            </w:r>
          </w:p>
        </w:tc>
        <w:tc>
          <w:tcPr>
            <w:tcW w:w="190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0.7</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0</w:t>
            </w:r>
          </w:p>
        </w:tc>
      </w:tr>
      <w:tr>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政府采购金额</w:t>
            </w:r>
          </w:p>
        </w:tc>
        <w:tc>
          <w:tcPr>
            <w:tcW w:w="190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170.64</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170.64</w:t>
            </w:r>
          </w:p>
        </w:tc>
      </w:tr>
      <w:tr>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部门基本支出预算调整 </w:t>
            </w:r>
          </w:p>
        </w:tc>
        <w:tc>
          <w:tcPr>
            <w:tcW w:w="190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492"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楼堂馆所控制情况</w:t>
            </w:r>
            <w:r>
              <w:rPr>
                <w:rFonts w:hint="eastAsia" w:ascii="仿宋_GB2312" w:hAnsi="仿宋_GB2312" w:eastAsia="仿宋_GB2312" w:cs="仿宋_GB2312"/>
                <w:sz w:val="20"/>
                <w:szCs w:val="20"/>
              </w:rPr>
              <w:br w:type="textWrapping"/>
            </w:r>
            <w:r>
              <w:rPr>
                <w:rFonts w:hint="eastAsia" w:ascii="仿宋_GB2312" w:hAnsi="仿宋_GB2312" w:eastAsia="仿宋_GB2312" w:cs="仿宋_GB2312"/>
                <w:sz w:val="20"/>
                <w:szCs w:val="20"/>
              </w:rPr>
              <w:t>（202</w:t>
            </w:r>
            <w:r>
              <w:rPr>
                <w:rFonts w:hint="eastAsia" w:ascii="仿宋_GB2312" w:hAnsi="仿宋_GB2312" w:eastAsia="仿宋_GB2312" w:cs="仿宋_GB2312"/>
                <w:sz w:val="20"/>
                <w:szCs w:val="20"/>
                <w:lang w:val="en-US" w:eastAsia="zh-CN"/>
              </w:rPr>
              <w:t>2</w:t>
            </w:r>
            <w:r>
              <w:rPr>
                <w:rFonts w:hint="eastAsia" w:ascii="仿宋_GB2312" w:hAnsi="仿宋_GB2312" w:eastAsia="仿宋_GB2312" w:cs="仿宋_GB2312"/>
                <w:sz w:val="20"/>
                <w:szCs w:val="20"/>
              </w:rPr>
              <w:t>年完工项目）</w:t>
            </w:r>
          </w:p>
        </w:tc>
        <w:tc>
          <w:tcPr>
            <w:tcW w:w="105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批复规模</w:t>
            </w:r>
            <w:r>
              <w:rPr>
                <w:rFonts w:hint="eastAsia" w:ascii="仿宋_GB2312" w:hAnsi="仿宋_GB2312" w:eastAsia="仿宋_GB2312" w:cs="仿宋_GB2312"/>
                <w:bCs/>
                <w:sz w:val="20"/>
                <w:szCs w:val="20"/>
              </w:rPr>
              <w:br w:type="textWrapping"/>
            </w:r>
            <w:r>
              <w:rPr>
                <w:rFonts w:hint="eastAsia" w:ascii="仿宋_GB2312" w:hAnsi="仿宋_GB2312" w:eastAsia="仿宋_GB2312" w:cs="仿宋_GB2312"/>
                <w:bCs/>
                <w:sz w:val="20"/>
                <w:szCs w:val="20"/>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投资概算控制率</w:t>
            </w:r>
          </w:p>
        </w:tc>
      </w:tr>
      <w:tr>
        <w:tblPrEx>
          <w:tblCellMar>
            <w:top w:w="0" w:type="dxa"/>
            <w:left w:w="108" w:type="dxa"/>
            <w:bottom w:w="0" w:type="dxa"/>
            <w:right w:w="108" w:type="dxa"/>
          </w:tblCellMar>
        </w:tblPrEx>
        <w:trPr>
          <w:trHeight w:val="0" w:hRule="atLeast"/>
          <w:jc w:val="center"/>
        </w:trPr>
        <w:tc>
          <w:tcPr>
            <w:tcW w:w="3492"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p>
        </w:tc>
        <w:tc>
          <w:tcPr>
            <w:tcW w:w="105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厉行节约保障措施</w:t>
            </w:r>
          </w:p>
        </w:tc>
        <w:tc>
          <w:tcPr>
            <w:tcW w:w="6181"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r>
    </w:tbl>
    <w:p>
      <w:pPr>
        <w:widowControl/>
        <w:spacing w:afterLines="0" w:line="400" w:lineRule="exact"/>
        <w:jc w:val="left"/>
        <w:rPr>
          <w:rFonts w:hint="default" w:ascii="Times New Roman" w:hAnsi="Times New Roman" w:eastAsia="仿宋_GB2312" w:cs="Times New Roman"/>
          <w:sz w:val="22"/>
        </w:rPr>
      </w:pPr>
      <w:r>
        <w:rPr>
          <w:rFonts w:hint="default" w:ascii="Times New Roman" w:hAnsi="Times New Roman" w:eastAsia="仿宋_GB2312" w:cs="Times New Roman"/>
          <w:sz w:val="22"/>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rPr>
      </w:pPr>
    </w:p>
    <w:p>
      <w:pPr>
        <w:widowControl/>
        <w:spacing w:after="0" w:afterLines="0" w:line="400" w:lineRule="exact"/>
        <w:jc w:val="left"/>
        <w:rPr>
          <w:rFonts w:hint="default" w:ascii="Times New Roman" w:hAnsi="Times New Roman" w:eastAsia="仿宋_GB2312" w:cs="Times New Roman"/>
          <w:sz w:val="22"/>
        </w:rPr>
      </w:pPr>
      <w:r>
        <w:rPr>
          <w:rFonts w:hint="default" w:ascii="Times New Roman" w:hAnsi="Times New Roman" w:eastAsia="仿宋_GB2312" w:cs="Times New Roman"/>
          <w:sz w:val="22"/>
        </w:rPr>
        <w:t>填表人</w:t>
      </w:r>
      <w:r>
        <w:rPr>
          <w:rFonts w:hint="eastAsia" w:ascii="Times New Roman" w:hAnsi="Times New Roman" w:eastAsia="仿宋_GB2312" w:cs="Times New Roman"/>
          <w:sz w:val="22"/>
          <w:lang w:eastAsia="zh-CN"/>
        </w:rPr>
        <w:t>：</w:t>
      </w:r>
      <w:r>
        <w:rPr>
          <w:rFonts w:hint="eastAsia" w:ascii="Times New Roman" w:hAnsi="Times New Roman" w:eastAsia="仿宋_GB2312" w:cs="Times New Roman"/>
          <w:sz w:val="22"/>
          <w:lang w:val="en-US" w:eastAsia="zh-CN"/>
        </w:rPr>
        <w:t>黄娟</w:t>
      </w:r>
      <w:r>
        <w:rPr>
          <w:rFonts w:hint="default" w:ascii="Times New Roman" w:hAnsi="Times New Roman" w:eastAsia="仿宋_GB2312" w:cs="Times New Roman"/>
          <w:sz w:val="22"/>
        </w:rPr>
        <w:t xml:space="preserve"> 填报日期： </w:t>
      </w:r>
      <w:r>
        <w:rPr>
          <w:rFonts w:hint="eastAsia" w:ascii="Times New Roman" w:hAnsi="Times New Roman" w:eastAsia="仿宋_GB2312" w:cs="Times New Roman"/>
          <w:sz w:val="22"/>
          <w:lang w:val="en-US" w:eastAsia="zh-CN"/>
        </w:rPr>
        <w:t>2023年6月28日</w:t>
      </w:r>
      <w:r>
        <w:rPr>
          <w:rFonts w:hint="default" w:ascii="Times New Roman" w:hAnsi="Times New Roman" w:eastAsia="仿宋_GB2312" w:cs="Times New Roman"/>
          <w:sz w:val="22"/>
        </w:rPr>
        <w:t xml:space="preserve">  联系电话：</w:t>
      </w:r>
      <w:r>
        <w:rPr>
          <w:rFonts w:hint="eastAsia" w:ascii="Times New Roman" w:hAnsi="Times New Roman" w:eastAsia="仿宋_GB2312" w:cs="Times New Roman"/>
          <w:sz w:val="22"/>
          <w:lang w:val="en-US" w:eastAsia="zh-CN"/>
        </w:rPr>
        <w:t>15575068909</w:t>
      </w:r>
      <w:r>
        <w:rPr>
          <w:rFonts w:hint="default" w:ascii="Times New Roman" w:hAnsi="Times New Roman" w:eastAsia="仿宋_GB2312" w:cs="Times New Roman"/>
          <w:sz w:val="22"/>
        </w:rPr>
        <w:t xml:space="preserve"> </w:t>
      </w:r>
    </w:p>
    <w:p>
      <w:pPr>
        <w:widowControl/>
        <w:spacing w:after="0" w:afterLines="0" w:line="400" w:lineRule="exact"/>
        <w:jc w:val="left"/>
        <w:rPr>
          <w:rFonts w:hint="eastAsia" w:ascii="黑体" w:hAnsi="黑体" w:eastAsia="黑体" w:cs="黑体"/>
          <w:sz w:val="32"/>
          <w:szCs w:val="32"/>
          <w:lang w:eastAsia="zh-CN"/>
        </w:rPr>
      </w:pPr>
      <w:r>
        <w:rPr>
          <w:rFonts w:hint="default" w:ascii="Times New Roman" w:hAnsi="Times New Roman" w:eastAsia="仿宋_GB2312" w:cs="Times New Roman"/>
          <w:sz w:val="22"/>
        </w:rPr>
        <w:t>单位负责人签字：</w:t>
      </w:r>
      <w:r>
        <w:rPr>
          <w:rFonts w:hint="eastAsia" w:ascii="Times New Roman" w:hAnsi="Times New Roman" w:eastAsia="仿宋_GB2312" w:cs="Times New Roman"/>
          <w:sz w:val="22"/>
          <w:lang w:val="en-US" w:eastAsia="zh-CN"/>
        </w:rPr>
        <w:t>高波</w:t>
      </w:r>
      <w:r>
        <w:rPr>
          <w:rFonts w:hint="default" w:ascii="Times New Roman" w:hAnsi="Times New Roman" w:eastAsia="仿宋_GB2312" w:cs="Times New Roman"/>
          <w:sz w:val="22"/>
        </w:rPr>
        <w:br w:type="page"/>
      </w: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w:t>
      </w:r>
      <w:r>
        <w:rPr>
          <w:rFonts w:hint="eastAsia" w:ascii="方正小标宋简体" w:hAnsi="方正小标宋简体" w:eastAsia="方正小标宋简体" w:cs="方正小标宋简体"/>
          <w:color w:val="000000"/>
          <w:sz w:val="36"/>
          <w:szCs w:val="36"/>
          <w:lang w:val="en-US" w:eastAsia="zh-CN"/>
        </w:rPr>
        <w:t>2</w:t>
      </w:r>
      <w:r>
        <w:rPr>
          <w:rFonts w:hint="eastAsia" w:ascii="方正小标宋简体" w:hAnsi="方正小标宋简体" w:eastAsia="方正小标宋简体" w:cs="方正小标宋简体"/>
          <w:color w:val="000000"/>
          <w:sz w:val="36"/>
          <w:szCs w:val="36"/>
        </w:rPr>
        <w:t>年度部门整体支出绩效自评表</w:t>
      </w:r>
    </w:p>
    <w:tbl>
      <w:tblPr>
        <w:tblStyle w:val="8"/>
        <w:tblW w:w="10079" w:type="dxa"/>
        <w:jc w:val="center"/>
        <w:tblLayout w:type="autofit"/>
        <w:tblCellMar>
          <w:top w:w="0" w:type="dxa"/>
          <w:left w:w="108" w:type="dxa"/>
          <w:bottom w:w="0" w:type="dxa"/>
          <w:right w:w="108" w:type="dxa"/>
        </w:tblCellMar>
      </w:tblPr>
      <w:tblGrid>
        <w:gridCol w:w="1080"/>
        <w:gridCol w:w="821"/>
        <w:gridCol w:w="1020"/>
        <w:gridCol w:w="1543"/>
        <w:gridCol w:w="1256"/>
        <w:gridCol w:w="1324"/>
        <w:gridCol w:w="716"/>
        <w:gridCol w:w="873"/>
        <w:gridCol w:w="1446"/>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市</w:t>
            </w:r>
            <w:r>
              <w:rPr>
                <w:rFonts w:hint="eastAsia" w:ascii="仿宋_GB2312" w:hAnsi="仿宋_GB2312" w:eastAsia="仿宋_GB2312" w:cs="仿宋_GB2312"/>
                <w:color w:val="000000"/>
                <w:sz w:val="20"/>
                <w:szCs w:val="20"/>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岳阳市生态环境局屈原分局</w:t>
            </w: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年度预</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算申请</w:t>
            </w:r>
            <w:r>
              <w:rPr>
                <w:rFonts w:hint="eastAsia" w:ascii="仿宋_GB2312" w:hAnsi="仿宋_GB2312" w:eastAsia="仿宋_GB2312" w:cs="仿宋_GB2312"/>
                <w:color w:val="000000"/>
                <w:sz w:val="20"/>
                <w:szCs w:val="20"/>
              </w:rPr>
              <w:br w:type="textWrapping"/>
            </w:r>
            <w:r>
              <w:rPr>
                <w:rFonts w:hint="eastAsia" w:ascii="仿宋_GB2312" w:hAnsi="仿宋_GB2312" w:eastAsia="仿宋_GB2312" w:cs="仿宋_GB2312"/>
                <w:color w:val="000000"/>
                <w:sz w:val="20"/>
                <w:szCs w:val="20"/>
              </w:rPr>
              <w:t>（万元）</w:t>
            </w:r>
          </w:p>
        </w:tc>
        <w:tc>
          <w:tcPr>
            <w:tcW w:w="1841"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p>
        </w:tc>
        <w:tc>
          <w:tcPr>
            <w:tcW w:w="154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年初预算数</w:t>
            </w:r>
          </w:p>
        </w:tc>
        <w:tc>
          <w:tcPr>
            <w:tcW w:w="125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全年预算数</w:t>
            </w:r>
          </w:p>
        </w:tc>
        <w:tc>
          <w:tcPr>
            <w:tcW w:w="1324"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全年执行数</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分值</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执行率</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得分</w:t>
            </w:r>
          </w:p>
        </w:tc>
      </w:tr>
      <w:tr>
        <w:tblPrEx>
          <w:tblCellMar>
            <w:top w:w="0" w:type="dxa"/>
            <w:left w:w="108" w:type="dxa"/>
            <w:bottom w:w="0" w:type="dxa"/>
            <w:right w:w="108" w:type="dxa"/>
          </w:tblCellMar>
        </w:tblPrEx>
        <w:trPr>
          <w:trHeight w:val="235" w:hRule="atLeast"/>
          <w:jc w:val="center"/>
        </w:trPr>
        <w:tc>
          <w:tcPr>
            <w:tcW w:w="1080"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1841"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sz w:val="20"/>
                <w:szCs w:val="20"/>
              </w:rPr>
              <w:t>年度资金总额</w:t>
            </w:r>
          </w:p>
        </w:tc>
        <w:tc>
          <w:tcPr>
            <w:tcW w:w="1543"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82.12</w:t>
            </w:r>
          </w:p>
        </w:tc>
        <w:tc>
          <w:tcPr>
            <w:tcW w:w="1256"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425.97</w:t>
            </w:r>
          </w:p>
        </w:tc>
        <w:tc>
          <w:tcPr>
            <w:tcW w:w="1324"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425.97</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100%</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10</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40"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按收入性质分：</w:t>
            </w:r>
          </w:p>
        </w:tc>
        <w:tc>
          <w:tcPr>
            <w:tcW w:w="4359"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按支出性质分：</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40"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xml:space="preserve">  其中：  一般公共预算：</w:t>
            </w:r>
            <w:r>
              <w:rPr>
                <w:rFonts w:hint="eastAsia" w:ascii="仿宋_GB2312" w:hAnsi="仿宋_GB2312" w:eastAsia="仿宋_GB2312" w:cs="仿宋_GB2312"/>
                <w:color w:val="000000"/>
                <w:sz w:val="20"/>
                <w:szCs w:val="20"/>
                <w:lang w:val="en-US" w:eastAsia="zh-CN"/>
              </w:rPr>
              <w:t>250.15</w:t>
            </w:r>
          </w:p>
        </w:tc>
        <w:tc>
          <w:tcPr>
            <w:tcW w:w="4359"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其中：基本支出：</w:t>
            </w:r>
            <w:r>
              <w:rPr>
                <w:rFonts w:hint="eastAsia" w:ascii="仿宋_GB2312" w:hAnsi="仿宋_GB2312" w:eastAsia="仿宋_GB2312" w:cs="仿宋_GB2312"/>
                <w:color w:val="000000"/>
                <w:sz w:val="20"/>
                <w:szCs w:val="20"/>
                <w:lang w:val="en-US" w:eastAsia="zh-CN"/>
              </w:rPr>
              <w:t>275.78</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40"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政府性基金拨款：</w:t>
            </w:r>
          </w:p>
        </w:tc>
        <w:tc>
          <w:tcPr>
            <w:tcW w:w="4359"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项目支出：</w:t>
            </w:r>
            <w:r>
              <w:rPr>
                <w:rFonts w:hint="eastAsia" w:ascii="仿宋_GB2312" w:hAnsi="仿宋_GB2312" w:eastAsia="仿宋_GB2312" w:cs="仿宋_GB2312"/>
                <w:color w:val="000000"/>
                <w:sz w:val="20"/>
                <w:szCs w:val="20"/>
                <w:lang w:val="en-US" w:eastAsia="zh-CN"/>
              </w:rPr>
              <w:t>150.19</w:t>
            </w:r>
            <w:bookmarkStart w:id="0" w:name="_GoBack"/>
            <w:bookmarkEnd w:id="0"/>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40"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纳入专户管理的非税收入拨款：</w:t>
            </w:r>
          </w:p>
        </w:tc>
        <w:tc>
          <w:tcPr>
            <w:tcW w:w="4359"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40"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其他资金：</w:t>
            </w:r>
            <w:r>
              <w:rPr>
                <w:rFonts w:hint="eastAsia" w:ascii="仿宋_GB2312" w:hAnsi="仿宋_GB2312" w:eastAsia="仿宋_GB2312" w:cs="仿宋_GB2312"/>
                <w:color w:val="000000"/>
                <w:sz w:val="20"/>
                <w:szCs w:val="20"/>
                <w:lang w:val="en-US" w:eastAsia="zh-CN"/>
              </w:rPr>
              <w:t>126.95</w:t>
            </w:r>
          </w:p>
        </w:tc>
        <w:tc>
          <w:tcPr>
            <w:tcW w:w="4359"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年度总体目标</w:t>
            </w:r>
          </w:p>
        </w:tc>
        <w:tc>
          <w:tcPr>
            <w:tcW w:w="4640"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预期目标</w:t>
            </w:r>
          </w:p>
        </w:tc>
        <w:tc>
          <w:tcPr>
            <w:tcW w:w="43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实际完成情况　</w:t>
            </w:r>
          </w:p>
        </w:tc>
      </w:tr>
      <w:tr>
        <w:tblPrEx>
          <w:tblCellMar>
            <w:top w:w="0" w:type="dxa"/>
            <w:left w:w="108" w:type="dxa"/>
            <w:bottom w:w="0" w:type="dxa"/>
            <w:right w:w="108" w:type="dxa"/>
          </w:tblCellMar>
        </w:tblPrEx>
        <w:trPr>
          <w:trHeight w:val="705"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40" w:type="dxa"/>
            <w:gridSpan w:val="4"/>
            <w:tcBorders>
              <w:top w:val="single" w:color="auto" w:sz="4" w:space="0"/>
              <w:left w:val="nil"/>
              <w:bottom w:val="single" w:color="auto" w:sz="4" w:space="0"/>
              <w:right w:val="single" w:color="000000" w:sz="4" w:space="0"/>
            </w:tcBorders>
            <w:noWrap w:val="0"/>
            <w:vAlign w:val="center"/>
          </w:tcPr>
          <w:p>
            <w:pPr>
              <w:widowControl/>
              <w:tabs>
                <w:tab w:val="left" w:pos="1103"/>
                <w:tab w:val="center" w:pos="2499"/>
              </w:tabs>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ab/>
            </w:r>
            <w:r>
              <w:rPr>
                <w:rFonts w:hint="eastAsia" w:ascii="仿宋_GB2312" w:hAnsi="仿宋_GB2312" w:eastAsia="仿宋_GB2312" w:cs="仿宋_GB2312"/>
                <w:color w:val="000000"/>
                <w:sz w:val="20"/>
                <w:szCs w:val="20"/>
                <w:lang w:eastAsia="zh-CN"/>
              </w:rPr>
              <w:t>1、完成化学需氧量、氨氮、二氧化硫、氮氧化物年度削减任务；2、水污染防治项目加快实施；3、土壤污染防治持续强化，加强重点监管企业土壤环境监管，完成农村黑臭水体和生活污水治理村任务；4、完成污染防治攻坚战“夏季攻势”任务；5、全面加强环境执法工作。</w:t>
            </w:r>
            <w:r>
              <w:rPr>
                <w:rFonts w:hint="eastAsia" w:ascii="仿宋_GB2312" w:hAnsi="仿宋_GB2312" w:eastAsia="仿宋_GB2312" w:cs="仿宋_GB2312"/>
                <w:color w:val="000000"/>
                <w:sz w:val="20"/>
                <w:szCs w:val="20"/>
                <w:lang w:eastAsia="zh-CN"/>
              </w:rPr>
              <w:tab/>
            </w:r>
            <w:r>
              <w:rPr>
                <w:rFonts w:hint="eastAsia" w:ascii="仿宋_GB2312" w:hAnsi="仿宋_GB2312" w:eastAsia="仿宋_GB2312" w:cs="仿宋_GB2312"/>
                <w:color w:val="000000"/>
                <w:sz w:val="20"/>
                <w:szCs w:val="20"/>
              </w:rPr>
              <w:t>　　</w:t>
            </w:r>
          </w:p>
        </w:tc>
        <w:tc>
          <w:tcPr>
            <w:tcW w:w="435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w:t>
            </w:r>
            <w:r>
              <w:rPr>
                <w:rFonts w:hint="eastAsia" w:ascii="仿宋_GB2312" w:hAnsi="仿宋_GB2312" w:eastAsia="仿宋_GB2312" w:cs="仿宋_GB2312"/>
                <w:b w:val="0"/>
                <w:bCs w:val="0"/>
                <w:kern w:val="2"/>
                <w:sz w:val="21"/>
                <w:szCs w:val="21"/>
                <w:lang w:val="en-US" w:eastAsia="zh-CN" w:bidi="ar-SA"/>
              </w:rPr>
              <w:t>我区“夏季攻势”共有7大项21小项任务，已全部完成整改销号。一批生态环境重点任务如期完成，有力地改善了区域环境质量。2、强势启动“利剑”行动风险隐患排查，共计排查问题20个，均已整改到位或者已采取风险管控措施。将固危废申报、排污许可证、排污信息公开作为推进企业自主环境治理的有效手段，已完成12家</w:t>
            </w:r>
            <w:r>
              <w:rPr>
                <w:rFonts w:hint="eastAsia" w:ascii="仿宋_GB2312" w:hAnsi="仿宋_GB2312" w:eastAsia="仿宋_GB2312" w:cs="仿宋_GB2312"/>
                <w:b w:val="0"/>
                <w:bCs w:val="0"/>
                <w:color w:val="000000"/>
                <w:kern w:val="0"/>
                <w:sz w:val="21"/>
                <w:szCs w:val="21"/>
                <w:lang w:val="en-US" w:eastAsia="zh-CN"/>
              </w:rPr>
              <w:t>企业排污许可证质量审核与核改.3、</w:t>
            </w:r>
            <w:r>
              <w:rPr>
                <w:rFonts w:hint="eastAsia" w:ascii="仿宋_GB2312" w:hAnsi="仿宋_GB2312" w:eastAsia="仿宋_GB2312" w:cs="仿宋_GB2312"/>
                <w:color w:val="auto"/>
                <w:kern w:val="2"/>
                <w:sz w:val="21"/>
                <w:szCs w:val="21"/>
                <w:highlight w:val="none"/>
                <w:lang w:val="en-US" w:eastAsia="zh-CN" w:bidi="ar-SA"/>
              </w:rPr>
              <w:t>分局坚持党建引领，扎实开展党建“四亮”主题活动，先后组织到联点帮扶村开展疫情防控“敲门行动”3次，疫情防控期间督促医疗废物、废水安全处置率100%。</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绩</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标</w:t>
            </w:r>
          </w:p>
          <w:p>
            <w:pPr>
              <w:widowControl/>
              <w:spacing w:line="240" w:lineRule="exact"/>
              <w:jc w:val="center"/>
              <w:rPr>
                <w:rFonts w:hint="eastAsia" w:ascii="仿宋_GB2312" w:hAnsi="仿宋_GB2312" w:eastAsia="仿宋_GB2312" w:cs="仿宋_GB2312"/>
                <w:color w:val="000000"/>
                <w:sz w:val="20"/>
                <w:szCs w:val="20"/>
              </w:rPr>
            </w:pPr>
          </w:p>
        </w:tc>
        <w:tc>
          <w:tcPr>
            <w:tcW w:w="82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一级指标</w:t>
            </w:r>
          </w:p>
        </w:tc>
        <w:tc>
          <w:tcPr>
            <w:tcW w:w="10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二级指标</w:t>
            </w:r>
          </w:p>
        </w:tc>
        <w:tc>
          <w:tcPr>
            <w:tcW w:w="154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三级指标</w:t>
            </w:r>
          </w:p>
        </w:tc>
        <w:tc>
          <w:tcPr>
            <w:tcW w:w="125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年度指标值</w:t>
            </w:r>
          </w:p>
        </w:tc>
        <w:tc>
          <w:tcPr>
            <w:tcW w:w="1324" w:type="dxa"/>
            <w:tcBorders>
              <w:top w:val="nil"/>
              <w:left w:val="nil"/>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实际完成值</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分值</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得分</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821"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产出指标</w:t>
            </w:r>
          </w:p>
          <w:p>
            <w:pPr>
              <w:widowControl/>
              <w:spacing w:line="240" w:lineRule="exact"/>
              <w:jc w:val="center"/>
              <w:rPr>
                <w:rFonts w:hint="eastAsia" w:ascii="仿宋_GB2312" w:hAnsi="仿宋_GB2312" w:eastAsia="仿宋_GB2312" w:cs="仿宋_GB2312"/>
                <w:color w:val="000000"/>
                <w:sz w:val="20"/>
                <w:szCs w:val="20"/>
              </w:rPr>
            </w:pP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(50分)</w:t>
            </w:r>
          </w:p>
        </w:tc>
        <w:tc>
          <w:tcPr>
            <w:tcW w:w="1020"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数量指标</w:t>
            </w:r>
          </w:p>
        </w:tc>
        <w:tc>
          <w:tcPr>
            <w:tcW w:w="154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sz w:val="18"/>
                <w:szCs w:val="18"/>
              </w:rPr>
            </w:pPr>
            <w:r>
              <w:rPr>
                <w:rFonts w:hint="eastAsia" w:ascii="仿宋" w:hAnsi="仿宋" w:eastAsia="仿宋" w:cs="仿宋"/>
                <w:color w:val="000000"/>
                <w:sz w:val="18"/>
                <w:szCs w:val="18"/>
              </w:rPr>
              <w:t>完成罚没收入</w:t>
            </w:r>
            <w:r>
              <w:rPr>
                <w:rFonts w:hint="eastAsia" w:eastAsia="仿宋" w:cs="仿宋"/>
                <w:color w:val="000000"/>
                <w:sz w:val="18"/>
                <w:szCs w:val="18"/>
                <w:lang w:val="en-US" w:eastAsia="zh-CN"/>
              </w:rPr>
              <w:t>11.53</w:t>
            </w:r>
            <w:r>
              <w:rPr>
                <w:rFonts w:hint="eastAsia" w:ascii="仿宋" w:hAnsi="仿宋" w:eastAsia="仿宋" w:cs="仿宋"/>
                <w:color w:val="000000"/>
                <w:sz w:val="18"/>
                <w:szCs w:val="18"/>
              </w:rPr>
              <w:t>万</w:t>
            </w:r>
          </w:p>
        </w:tc>
        <w:tc>
          <w:tcPr>
            <w:tcW w:w="1256"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sz w:val="18"/>
                <w:szCs w:val="18"/>
                <w:lang w:val="en-US" w:eastAsia="zh-CN"/>
              </w:rPr>
            </w:pPr>
            <w:r>
              <w:rPr>
                <w:rFonts w:hint="eastAsia" w:eastAsia="仿宋" w:cs="仿宋"/>
                <w:color w:val="000000"/>
                <w:sz w:val="18"/>
                <w:szCs w:val="18"/>
                <w:lang w:val="en-US" w:eastAsia="zh-CN"/>
              </w:rPr>
              <w:t>11.53万</w:t>
            </w:r>
          </w:p>
        </w:tc>
        <w:tc>
          <w:tcPr>
            <w:tcW w:w="132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sz w:val="18"/>
                <w:szCs w:val="18"/>
                <w:lang w:val="en-US" w:eastAsia="zh-CN"/>
              </w:rPr>
            </w:pPr>
            <w:r>
              <w:rPr>
                <w:rFonts w:hint="eastAsia" w:ascii="仿宋" w:hAnsi="仿宋" w:eastAsia="仿宋" w:cs="仿宋"/>
                <w:sz w:val="18"/>
                <w:szCs w:val="18"/>
              </w:rPr>
              <w:t>已</w:t>
            </w:r>
            <w:r>
              <w:rPr>
                <w:rFonts w:hint="eastAsia" w:ascii="仿宋" w:hAnsi="仿宋" w:eastAsia="仿宋" w:cs="仿宋"/>
                <w:sz w:val="18"/>
                <w:szCs w:val="18"/>
                <w:lang w:val="en-US" w:eastAsia="zh-CN"/>
              </w:rPr>
              <w:t>超额</w:t>
            </w:r>
            <w:r>
              <w:rPr>
                <w:rFonts w:hint="eastAsia" w:ascii="仿宋" w:hAnsi="仿宋" w:eastAsia="仿宋" w:cs="仿宋"/>
                <w:sz w:val="18"/>
                <w:szCs w:val="18"/>
              </w:rPr>
              <w:t>完成年初目标</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eastAsia="宋体"/>
                <w:lang w:val="en-US" w:eastAsia="zh-CN"/>
              </w:rPr>
            </w:pPr>
            <w:r>
              <w:rPr>
                <w:rFonts w:hint="eastAsia" w:ascii="仿宋_GB2312" w:hAnsi="仿宋_GB2312" w:eastAsia="仿宋_GB2312" w:cs="仿宋_GB2312"/>
                <w:color w:val="000000"/>
                <w:sz w:val="20"/>
                <w:szCs w:val="20"/>
                <w:lang w:val="en-US" w:eastAsia="zh-CN"/>
              </w:rPr>
              <w:t>10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385"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20"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rPr>
            </w:pPr>
          </w:p>
        </w:tc>
        <w:tc>
          <w:tcPr>
            <w:tcW w:w="154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sz w:val="21"/>
                <w:szCs w:val="21"/>
              </w:rPr>
            </w:pPr>
            <w:r>
              <w:rPr>
                <w:rFonts w:hint="eastAsia" w:ascii="仿宋" w:hAnsi="仿宋" w:eastAsia="仿宋" w:cs="仿宋"/>
                <w:color w:val="000000"/>
                <w:sz w:val="21"/>
                <w:szCs w:val="21"/>
              </w:rPr>
              <w:t>征收排污权有偿使用及交易费</w:t>
            </w:r>
            <w:r>
              <w:rPr>
                <w:rFonts w:hint="eastAsia" w:eastAsia="仿宋" w:cs="仿宋"/>
                <w:color w:val="000000"/>
                <w:sz w:val="21"/>
                <w:szCs w:val="21"/>
                <w:lang w:val="en-US" w:eastAsia="zh-CN"/>
              </w:rPr>
              <w:t>8.97</w:t>
            </w:r>
            <w:r>
              <w:rPr>
                <w:rFonts w:hint="eastAsia" w:ascii="仿宋" w:hAnsi="仿宋" w:eastAsia="仿宋" w:cs="仿宋"/>
                <w:color w:val="000000"/>
                <w:sz w:val="21"/>
                <w:szCs w:val="21"/>
              </w:rPr>
              <w:t>万元</w:t>
            </w:r>
          </w:p>
        </w:tc>
        <w:tc>
          <w:tcPr>
            <w:tcW w:w="1256" w:type="dxa"/>
            <w:tcBorders>
              <w:top w:val="nil"/>
              <w:left w:val="nil"/>
              <w:bottom w:val="single" w:color="auto" w:sz="4" w:space="0"/>
              <w:right w:val="single" w:color="auto" w:sz="4" w:space="0"/>
            </w:tcBorders>
            <w:noWrap w:val="0"/>
            <w:vAlign w:val="center"/>
          </w:tcPr>
          <w:p>
            <w:pPr>
              <w:widowControl/>
              <w:spacing w:line="240" w:lineRule="exact"/>
              <w:jc w:val="left"/>
              <w:rPr>
                <w:rFonts w:hint="default" w:eastAsia="仿宋" w:cs="仿宋"/>
                <w:color w:val="000000"/>
                <w:sz w:val="21"/>
                <w:szCs w:val="21"/>
                <w:lang w:val="en-US" w:eastAsia="zh-CN"/>
              </w:rPr>
            </w:pPr>
            <w:r>
              <w:rPr>
                <w:rFonts w:hint="eastAsia" w:eastAsia="仿宋" w:cs="仿宋"/>
                <w:color w:val="000000"/>
                <w:sz w:val="21"/>
                <w:szCs w:val="21"/>
                <w:lang w:val="en-US" w:eastAsia="zh-CN"/>
              </w:rPr>
              <w:t>8.97万无</w:t>
            </w:r>
          </w:p>
        </w:tc>
        <w:tc>
          <w:tcPr>
            <w:tcW w:w="132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sz w:val="21"/>
                <w:szCs w:val="21"/>
                <w:lang w:val="en-US" w:eastAsia="zh-CN"/>
              </w:rPr>
            </w:pPr>
            <w:r>
              <w:rPr>
                <w:rFonts w:hint="eastAsia" w:ascii="仿宋" w:hAnsi="仿宋" w:eastAsia="仿宋" w:cs="仿宋"/>
                <w:sz w:val="21"/>
                <w:szCs w:val="21"/>
              </w:rPr>
              <w:t>全面开展排污权有偿使用及交易费征缴工作，共收</w:t>
            </w:r>
            <w:r>
              <w:rPr>
                <w:rFonts w:hint="eastAsia" w:ascii="仿宋" w:hAnsi="仿宋" w:eastAsia="仿宋" w:cs="仿宋"/>
                <w:sz w:val="21"/>
                <w:szCs w:val="21"/>
                <w:lang w:val="en-US" w:eastAsia="zh-CN"/>
              </w:rPr>
              <w:t>8.9</w:t>
            </w:r>
            <w:r>
              <w:rPr>
                <w:rFonts w:hint="eastAsia" w:eastAsia="仿宋" w:cs="仿宋"/>
                <w:sz w:val="21"/>
                <w:szCs w:val="21"/>
                <w:lang w:val="en-US" w:eastAsia="zh-CN"/>
              </w:rPr>
              <w:t>7</w:t>
            </w:r>
            <w:r>
              <w:rPr>
                <w:rFonts w:hint="eastAsia" w:ascii="仿宋" w:hAnsi="仿宋" w:eastAsia="仿宋" w:cs="仿宋"/>
                <w:sz w:val="21"/>
                <w:szCs w:val="21"/>
              </w:rPr>
              <w:t>万元</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20"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154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委托第三方进行监督性监测</w:t>
            </w:r>
          </w:p>
        </w:tc>
        <w:tc>
          <w:tcPr>
            <w:tcW w:w="1256"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rPr>
              <w:t>　</w:t>
            </w:r>
            <w:r>
              <w:rPr>
                <w:rFonts w:hint="eastAsia" w:ascii="仿宋_GB2312" w:hAnsi="仿宋_GB2312" w:eastAsia="仿宋_GB2312" w:cs="仿宋_GB2312"/>
                <w:color w:val="auto"/>
                <w:sz w:val="20"/>
                <w:szCs w:val="20"/>
                <w:highlight w:val="none"/>
                <w:lang w:val="en-US" w:eastAsia="zh-CN"/>
              </w:rPr>
              <w:t>12次</w:t>
            </w:r>
          </w:p>
        </w:tc>
        <w:tc>
          <w:tcPr>
            <w:tcW w:w="1324"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rPr>
              <w:t>　</w:t>
            </w:r>
            <w:r>
              <w:rPr>
                <w:rFonts w:hint="eastAsia" w:ascii="仿宋_GB2312" w:hAnsi="仿宋_GB2312" w:eastAsia="仿宋_GB2312" w:cs="仿宋_GB2312"/>
                <w:color w:val="auto"/>
                <w:sz w:val="20"/>
                <w:szCs w:val="20"/>
                <w:highlight w:val="none"/>
                <w:lang w:val="en-US" w:eastAsia="zh-CN"/>
              </w:rPr>
              <w:t>12次</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62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2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质量指标</w:t>
            </w:r>
          </w:p>
        </w:tc>
        <w:tc>
          <w:tcPr>
            <w:tcW w:w="154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sz w:val="20"/>
                <w:szCs w:val="20"/>
              </w:rPr>
            </w:pPr>
            <w:r>
              <w:rPr>
                <w:rFonts w:hint="eastAsia" w:ascii="仿宋" w:hAnsi="仿宋" w:eastAsia="仿宋" w:cs="仿宋"/>
                <w:color w:val="000000"/>
                <w:sz w:val="21"/>
                <w:szCs w:val="21"/>
              </w:rPr>
              <w:t>全</w:t>
            </w:r>
            <w:r>
              <w:rPr>
                <w:rFonts w:hint="eastAsia" w:eastAsia="仿宋" w:cs="仿宋"/>
                <w:color w:val="000000"/>
                <w:sz w:val="21"/>
                <w:szCs w:val="21"/>
                <w:lang w:val="en-US" w:eastAsia="zh-CN"/>
              </w:rPr>
              <w:t>区</w:t>
            </w:r>
            <w:r>
              <w:rPr>
                <w:rFonts w:hint="eastAsia" w:ascii="仿宋" w:hAnsi="仿宋" w:eastAsia="仿宋" w:cs="仿宋"/>
                <w:color w:val="000000"/>
                <w:sz w:val="21"/>
                <w:szCs w:val="21"/>
              </w:rPr>
              <w:t>环境质量达标</w:t>
            </w:r>
          </w:p>
        </w:tc>
        <w:tc>
          <w:tcPr>
            <w:tcW w:w="125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 w:hAnsi="仿宋" w:eastAsia="仿宋" w:cs="仿宋"/>
                <w:color w:val="000000"/>
                <w:sz w:val="20"/>
                <w:szCs w:val="20"/>
                <w:lang w:val="en-US" w:eastAsia="zh-CN"/>
              </w:rPr>
            </w:pPr>
            <w:r>
              <w:rPr>
                <w:rFonts w:hint="eastAsia" w:eastAsia="仿宋" w:cs="仿宋"/>
                <w:color w:val="000000"/>
                <w:sz w:val="20"/>
                <w:szCs w:val="20"/>
                <w:lang w:val="en-US" w:eastAsia="zh-CN"/>
              </w:rPr>
              <w:t>≥90%</w:t>
            </w:r>
          </w:p>
        </w:tc>
        <w:tc>
          <w:tcPr>
            <w:tcW w:w="1324"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≥90%</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2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125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2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2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时效指标</w:t>
            </w:r>
          </w:p>
        </w:tc>
        <w:tc>
          <w:tcPr>
            <w:tcW w:w="154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按时完成各项指标任务</w:t>
            </w:r>
          </w:p>
        </w:tc>
        <w:tc>
          <w:tcPr>
            <w:tcW w:w="125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2022-12-31</w:t>
            </w:r>
          </w:p>
        </w:tc>
        <w:tc>
          <w:tcPr>
            <w:tcW w:w="1324"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2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125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2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515"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2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成本指标</w:t>
            </w:r>
          </w:p>
        </w:tc>
        <w:tc>
          <w:tcPr>
            <w:tcW w:w="154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经济成本指标</w:t>
            </w:r>
          </w:p>
        </w:tc>
        <w:tc>
          <w:tcPr>
            <w:tcW w:w="125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425.97</w:t>
            </w:r>
          </w:p>
        </w:tc>
        <w:tc>
          <w:tcPr>
            <w:tcW w:w="1324"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145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2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 w:hAnsi="仿宋" w:eastAsia="仿宋" w:cs="仿宋"/>
                <w:sz w:val="21"/>
                <w:szCs w:val="21"/>
              </w:rPr>
              <w:t>支出控制在预算内</w:t>
            </w:r>
          </w:p>
        </w:tc>
        <w:tc>
          <w:tcPr>
            <w:tcW w:w="125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132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sz w:val="21"/>
                <w:szCs w:val="21"/>
              </w:rPr>
            </w:pPr>
            <w:r>
              <w:rPr>
                <w:rFonts w:hint="eastAsia" w:ascii="仿宋" w:hAnsi="仿宋" w:eastAsia="仿宋" w:cs="仿宋"/>
                <w:color w:val="000000"/>
                <w:sz w:val="21"/>
                <w:szCs w:val="21"/>
              </w:rPr>
              <w:t>　</w:t>
            </w:r>
            <w:r>
              <w:rPr>
                <w:rFonts w:hint="eastAsia" w:ascii="仿宋" w:hAnsi="仿宋" w:eastAsia="仿宋" w:cs="仿宋"/>
                <w:sz w:val="21"/>
                <w:szCs w:val="21"/>
              </w:rPr>
              <w:t>工作经费和专项治理经费按要求控制在预算内</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 w:hAnsi="仿宋" w:eastAsia="仿宋" w:cs="仿宋"/>
                <w:color w:val="000000"/>
                <w:sz w:val="21"/>
                <w:szCs w:val="21"/>
                <w:lang w:val="en-US" w:eastAsia="zh-CN"/>
              </w:rPr>
            </w:pPr>
            <w:r>
              <w:rPr>
                <w:rFonts w:hint="eastAsia" w:eastAsia="仿宋" w:cs="仿宋"/>
                <w:color w:val="000000"/>
                <w:sz w:val="21"/>
                <w:szCs w:val="21"/>
                <w:lang w:val="en-US" w:eastAsia="zh-CN"/>
              </w:rPr>
              <w:t>10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9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10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15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eastAsia="zh-CN"/>
              </w:rPr>
            </w:pPr>
          </w:p>
        </w:tc>
        <w:tc>
          <w:tcPr>
            <w:tcW w:w="1256"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2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82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效益指标</w:t>
            </w:r>
          </w:p>
          <w:p>
            <w:pPr>
              <w:widowControl/>
              <w:spacing w:line="240" w:lineRule="exact"/>
              <w:jc w:val="left"/>
              <w:rPr>
                <w:rFonts w:hint="eastAsia" w:ascii="仿宋_GB2312" w:hAnsi="仿宋_GB2312" w:eastAsia="仿宋_GB2312" w:cs="仿宋_GB2312"/>
                <w:color w:val="000000"/>
                <w:sz w:val="20"/>
                <w:szCs w:val="20"/>
              </w:rPr>
            </w:pPr>
          </w:p>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（30分）</w:t>
            </w:r>
          </w:p>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2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经济效</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54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促进经济发展</w:t>
            </w:r>
          </w:p>
        </w:tc>
        <w:tc>
          <w:tcPr>
            <w:tcW w:w="125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经济平稳发展</w:t>
            </w:r>
          </w:p>
        </w:tc>
        <w:tc>
          <w:tcPr>
            <w:tcW w:w="132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保持稳定</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2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125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2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2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社会效</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54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改善居民生产、生活环境，提升幸福生活指数</w:t>
            </w:r>
          </w:p>
        </w:tc>
        <w:tc>
          <w:tcPr>
            <w:tcW w:w="125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社会效益好</w:t>
            </w:r>
          </w:p>
        </w:tc>
        <w:tc>
          <w:tcPr>
            <w:tcW w:w="132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r>
              <w:rPr>
                <w:rFonts w:hint="eastAsia" w:ascii="仿宋_GB2312" w:hAnsi="宋体" w:eastAsia="仿宋_GB2312" w:cs="仿宋_GB2312"/>
                <w:i w:val="0"/>
                <w:iCs w:val="0"/>
                <w:color w:val="000000"/>
                <w:kern w:val="0"/>
                <w:sz w:val="20"/>
                <w:szCs w:val="20"/>
                <w:u w:val="none"/>
                <w:lang w:val="en-US" w:eastAsia="zh-CN" w:bidi="ar"/>
              </w:rPr>
              <w:t>社会效益好</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2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125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top w:val="single" w:color="auto" w:sz="4" w:space="0"/>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2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生态效</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54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治理重点污染环境空气质量优良率达到</w:t>
            </w:r>
            <w:r>
              <w:rPr>
                <w:rFonts w:hint="eastAsia" w:ascii="仿宋_GB2312" w:hAnsi="仿宋_GB2312" w:eastAsia="仿宋_GB2312" w:cs="仿宋_GB2312"/>
                <w:color w:val="000000"/>
                <w:sz w:val="20"/>
                <w:szCs w:val="20"/>
                <w:lang w:val="en-US" w:eastAsia="zh-CN"/>
              </w:rPr>
              <w:t>90</w:t>
            </w:r>
            <w:r>
              <w:rPr>
                <w:rFonts w:hint="eastAsia" w:ascii="仿宋_GB2312" w:hAnsi="仿宋_GB2312" w:eastAsia="仿宋_GB2312" w:cs="仿宋_GB2312"/>
                <w:color w:val="000000"/>
                <w:sz w:val="20"/>
                <w:szCs w:val="20"/>
              </w:rPr>
              <w:t>%以上</w:t>
            </w:r>
          </w:p>
        </w:tc>
        <w:tc>
          <w:tcPr>
            <w:tcW w:w="125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有所改善</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有所改善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2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125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10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125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821"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102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可持续影响指标</w:t>
            </w:r>
          </w:p>
        </w:tc>
        <w:tc>
          <w:tcPr>
            <w:tcW w:w="154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对社会发展可能造成的负面影响</w:t>
            </w:r>
          </w:p>
        </w:tc>
        <w:tc>
          <w:tcPr>
            <w:tcW w:w="125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无</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无</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27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2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125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935"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821"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（10分）</w:t>
            </w:r>
          </w:p>
        </w:tc>
        <w:tc>
          <w:tcPr>
            <w:tcW w:w="102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服务对象满意度指标</w:t>
            </w:r>
          </w:p>
        </w:tc>
        <w:tc>
          <w:tcPr>
            <w:tcW w:w="154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color w:val="000000"/>
                <w:sz w:val="21"/>
                <w:szCs w:val="21"/>
              </w:rPr>
            </w:pPr>
            <w:r>
              <w:rPr>
                <w:rFonts w:hint="eastAsia" w:ascii="仿宋" w:hAnsi="仿宋" w:eastAsia="仿宋" w:cs="仿宋"/>
                <w:sz w:val="21"/>
                <w:szCs w:val="21"/>
              </w:rPr>
              <w:t>群众对环境质量改善的满意度</w:t>
            </w:r>
          </w:p>
        </w:tc>
        <w:tc>
          <w:tcPr>
            <w:tcW w:w="125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sz w:val="21"/>
                <w:szCs w:val="21"/>
              </w:rPr>
            </w:pPr>
            <w:r>
              <w:rPr>
                <w:rFonts w:hint="eastAsia" w:ascii="仿宋" w:hAnsi="仿宋" w:eastAsia="仿宋" w:cs="仿宋"/>
                <w:color w:val="000000"/>
                <w:sz w:val="21"/>
                <w:szCs w:val="21"/>
              </w:rPr>
              <w:t>　</w:t>
            </w:r>
            <w:r>
              <w:rPr>
                <w:rFonts w:hint="eastAsia" w:ascii="仿宋" w:hAnsi="仿宋" w:eastAsia="仿宋" w:cs="仿宋"/>
                <w:sz w:val="21"/>
                <w:szCs w:val="21"/>
              </w:rPr>
              <w:t>100%</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　</w:t>
            </w:r>
            <w:r>
              <w:rPr>
                <w:rFonts w:hint="eastAsia" w:ascii="仿宋" w:hAnsi="仿宋" w:eastAsia="仿宋" w:cs="仿宋"/>
                <w:sz w:val="21"/>
                <w:szCs w:val="21"/>
              </w:rPr>
              <w:t>回复率和满意率均达到</w:t>
            </w:r>
            <w:r>
              <w:rPr>
                <w:rFonts w:hint="eastAsia" w:ascii="仿宋" w:hAnsi="仿宋" w:eastAsia="仿宋" w:cs="仿宋"/>
                <w:sz w:val="21"/>
                <w:szCs w:val="21"/>
                <w:lang w:val="en-US" w:eastAsia="zh-CN"/>
              </w:rPr>
              <w:t>了100%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27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2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125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总分</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pPr>
        <w:rPr>
          <w:rFonts w:hint="eastAsia" w:ascii="黑体" w:hAnsi="黑体" w:eastAsia="黑体" w:cs="黑体"/>
          <w:sz w:val="32"/>
          <w:szCs w:val="32"/>
          <w:lang w:val="en-US" w:eastAsia="zh-CN"/>
        </w:rPr>
      </w:pPr>
      <w:r>
        <w:rPr>
          <w:rFonts w:hint="default" w:ascii="Times New Roman" w:hAnsi="Times New Roman" w:eastAsia="仿宋_GB2312" w:cs="Times New Roman"/>
          <w:sz w:val="22"/>
          <w:szCs w:val="22"/>
        </w:rPr>
        <w:t>填表人：</w:t>
      </w:r>
      <w:r>
        <w:rPr>
          <w:rFonts w:hint="eastAsia" w:ascii="Times New Roman" w:hAnsi="Times New Roman" w:eastAsia="仿宋_GB2312" w:cs="Times New Roman"/>
          <w:sz w:val="22"/>
          <w:szCs w:val="22"/>
          <w:lang w:val="en-US" w:eastAsia="zh-CN"/>
        </w:rPr>
        <w:t>黄娟</w:t>
      </w:r>
      <w:r>
        <w:rPr>
          <w:rFonts w:hint="default" w:ascii="Times New Roman" w:hAnsi="Times New Roman" w:eastAsia="仿宋_GB2312" w:cs="Times New Roman"/>
          <w:sz w:val="22"/>
          <w:szCs w:val="22"/>
        </w:rPr>
        <w:t xml:space="preserve">  填报日期：</w:t>
      </w:r>
      <w:r>
        <w:rPr>
          <w:rFonts w:hint="eastAsia" w:ascii="Times New Roman" w:hAnsi="Times New Roman" w:eastAsia="仿宋_GB2312" w:cs="Times New Roman"/>
          <w:sz w:val="22"/>
          <w:szCs w:val="22"/>
          <w:lang w:val="en-US" w:eastAsia="zh-CN"/>
        </w:rPr>
        <w:t>2023年6月28日</w:t>
      </w:r>
      <w:r>
        <w:rPr>
          <w:rFonts w:hint="default" w:ascii="Times New Roman" w:hAnsi="Times New Roman" w:eastAsia="仿宋_GB2312" w:cs="Times New Roman"/>
          <w:sz w:val="22"/>
          <w:szCs w:val="22"/>
        </w:rPr>
        <w:t xml:space="preserve">   联系电话：</w:t>
      </w:r>
      <w:r>
        <w:rPr>
          <w:rFonts w:hint="eastAsia" w:ascii="Times New Roman" w:hAnsi="Times New Roman" w:eastAsia="仿宋_GB2312" w:cs="Times New Roman"/>
          <w:sz w:val="22"/>
          <w:szCs w:val="22"/>
          <w:lang w:val="en-US" w:eastAsia="zh-CN"/>
        </w:rPr>
        <w:t>15575068909</w:t>
      </w:r>
      <w:r>
        <w:rPr>
          <w:rFonts w:hint="default" w:ascii="Times New Roman" w:hAnsi="Times New Roman" w:eastAsia="仿宋_GB2312" w:cs="Times New Roman"/>
          <w:sz w:val="22"/>
          <w:szCs w:val="22"/>
        </w:rPr>
        <w:t xml:space="preserve">   单位负责人签字：</w:t>
      </w:r>
      <w:r>
        <w:rPr>
          <w:rFonts w:hint="eastAsia" w:ascii="Times New Roman" w:hAnsi="Times New Roman" w:eastAsia="仿宋_GB2312" w:cs="Times New Roman"/>
          <w:sz w:val="22"/>
          <w:szCs w:val="22"/>
          <w:lang w:val="en-US" w:eastAsia="zh-CN"/>
        </w:rPr>
        <w:t>高波</w:t>
      </w:r>
      <w:r>
        <w:rPr>
          <w:rFonts w:hint="default" w:ascii="Times New Roman" w:hAnsi="Times New Roman" w:eastAsia="仿宋_GB2312" w:cs="Times New Roman"/>
          <w:sz w:val="22"/>
          <w:szCs w:val="22"/>
        </w:rPr>
        <w:br w:type="page"/>
      </w:r>
    </w:p>
    <w:p>
      <w:pPr>
        <w:jc w:val="center"/>
        <w:rPr>
          <w:rFonts w:hint="default" w:ascii="Times New Roman" w:hAnsi="Times New Roman" w:eastAsia="方正小标宋_GBK" w:cs="Times New Roman"/>
          <w:sz w:val="52"/>
          <w:szCs w:val="52"/>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2</w:t>
      </w:r>
      <w:r>
        <w:rPr>
          <w:rFonts w:hint="eastAsia" w:ascii="方正小标宋简体" w:hAnsi="方正小标宋简体" w:eastAsia="方正小标宋简体" w:cs="方正小标宋简体"/>
          <w:sz w:val="44"/>
          <w:szCs w:val="44"/>
        </w:rPr>
        <w:t>年度岳阳市生态环境局</w:t>
      </w:r>
      <w:r>
        <w:rPr>
          <w:rFonts w:hint="eastAsia" w:ascii="方正小标宋简体" w:hAnsi="方正小标宋简体" w:eastAsia="方正小标宋简体" w:cs="方正小标宋简体"/>
          <w:sz w:val="44"/>
          <w:szCs w:val="44"/>
          <w:lang w:val="en-US" w:eastAsia="zh-CN"/>
        </w:rPr>
        <w:t>屈原</w:t>
      </w:r>
      <w:r>
        <w:rPr>
          <w:rFonts w:hint="eastAsia" w:ascii="方正小标宋简体" w:hAnsi="方正小标宋简体" w:eastAsia="方正小标宋简体" w:cs="方正小标宋简体"/>
          <w:sz w:val="44"/>
          <w:szCs w:val="44"/>
        </w:rPr>
        <w:t>分局整体支出绩效自评报告</w:t>
      </w:r>
    </w:p>
    <w:p>
      <w:pPr>
        <w:jc w:val="center"/>
        <w:rPr>
          <w:rFonts w:hint="default" w:ascii="Times New Roman" w:hAnsi="Times New Roman" w:eastAsia="方正小标宋_GBK" w:cs="Times New Roman"/>
          <w:b/>
          <w:sz w:val="52"/>
          <w:szCs w:val="5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spacing w:line="600" w:lineRule="exact"/>
        <w:jc w:val="center"/>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部门（单位）名称：</w:t>
      </w:r>
      <w:r>
        <w:rPr>
          <w:rFonts w:hint="default" w:ascii="Times New Roman" w:hAnsi="Times New Roman" w:eastAsia="仿宋_GB2312" w:cs="Times New Roman"/>
          <w:sz w:val="32"/>
          <w:szCs w:val="32"/>
          <w:u w:val="single"/>
        </w:rPr>
        <w:t>（盖章）</w:t>
      </w:r>
    </w:p>
    <w:p>
      <w:pPr>
        <w:spacing w:line="600" w:lineRule="exact"/>
        <w:jc w:val="center"/>
        <w:rPr>
          <w:rFonts w:hint="default" w:ascii="Times New Roman" w:hAnsi="Times New Roman" w:eastAsia="楷体_GB2312" w:cs="Times New Roman"/>
          <w:sz w:val="32"/>
          <w:szCs w:val="32"/>
        </w:rPr>
      </w:pPr>
      <w:r>
        <w:rPr>
          <w:rFonts w:hint="eastAsia" w:ascii="Times New Roman" w:hAnsi="Times New Roman" w:eastAsia="楷体_GB2312" w:cs="Times New Roman"/>
          <w:sz w:val="32"/>
          <w:szCs w:val="32"/>
          <w:lang w:val="en-US" w:eastAsia="zh-CN"/>
        </w:rPr>
        <w:t>2023</w:t>
      </w:r>
      <w:r>
        <w:rPr>
          <w:rFonts w:hint="default" w:ascii="Times New Roman" w:hAnsi="Times New Roman" w:eastAsia="楷体_GB2312" w:cs="Times New Roman"/>
          <w:sz w:val="32"/>
          <w:szCs w:val="32"/>
        </w:rPr>
        <w:t xml:space="preserve">年 </w:t>
      </w:r>
      <w:r>
        <w:rPr>
          <w:rFonts w:hint="eastAsia" w:ascii="Times New Roman" w:hAnsi="Times New Roman" w:eastAsia="楷体_GB2312" w:cs="Times New Roman"/>
          <w:sz w:val="32"/>
          <w:szCs w:val="32"/>
          <w:lang w:val="en-US" w:eastAsia="zh-CN"/>
        </w:rPr>
        <w:t>6</w:t>
      </w:r>
      <w:r>
        <w:rPr>
          <w:rFonts w:hint="default" w:ascii="Times New Roman" w:hAnsi="Times New Roman" w:eastAsia="楷体_GB2312" w:cs="Times New Roman"/>
          <w:sz w:val="32"/>
          <w:szCs w:val="32"/>
        </w:rPr>
        <w:t xml:space="preserve"> 月</w:t>
      </w:r>
      <w:r>
        <w:rPr>
          <w:rFonts w:hint="eastAsia" w:ascii="Times New Roman" w:hAnsi="Times New Roman" w:eastAsia="楷体_GB2312" w:cs="Times New Roman"/>
          <w:sz w:val="32"/>
          <w:szCs w:val="32"/>
          <w:lang w:val="en-US" w:eastAsia="zh-CN"/>
        </w:rPr>
        <w:t>28</w:t>
      </w:r>
      <w:r>
        <w:rPr>
          <w:rFonts w:hint="default" w:ascii="Times New Roman" w:hAnsi="Times New Roman" w:eastAsia="楷体_GB2312" w:cs="Times New Roman"/>
          <w:sz w:val="32"/>
          <w:szCs w:val="32"/>
        </w:rPr>
        <w:t xml:space="preserve"> 日</w:t>
      </w:r>
    </w:p>
    <w:p>
      <w:pPr>
        <w:jc w:val="center"/>
        <w:rPr>
          <w:rFonts w:hint="eastAsia" w:ascii="方正小标宋简体" w:hAnsi="方正小标宋简体" w:eastAsia="方正小标宋简体" w:cs="方正小标宋简体"/>
          <w:sz w:val="44"/>
          <w:szCs w:val="44"/>
        </w:rPr>
      </w:pPr>
      <w:r>
        <w:rPr>
          <w:rFonts w:hint="default" w:ascii="Times New Roman" w:hAnsi="Times New Roman" w:eastAsia="仿宋_GB2312" w:cs="Times New Roman"/>
          <w:sz w:val="32"/>
          <w:szCs w:val="32"/>
        </w:rPr>
        <w:br w:type="page"/>
      </w:r>
      <w:r>
        <w:rPr>
          <w:rFonts w:hint="eastAsia" w:ascii="方正小标宋简体" w:hAnsi="方正小标宋简体" w:eastAsia="方正小标宋简体" w:cs="方正小标宋简体"/>
          <w:sz w:val="44"/>
          <w:szCs w:val="44"/>
        </w:rPr>
        <w:t>2022年度岳阳市生态环境局</w:t>
      </w:r>
      <w:r>
        <w:rPr>
          <w:rFonts w:hint="eastAsia" w:ascii="方正小标宋简体" w:hAnsi="方正小标宋简体" w:eastAsia="方正小标宋简体" w:cs="方正小标宋简体"/>
          <w:sz w:val="44"/>
          <w:szCs w:val="44"/>
          <w:lang w:val="en-US" w:eastAsia="zh-CN"/>
        </w:rPr>
        <w:t>屈原</w:t>
      </w:r>
      <w:r>
        <w:rPr>
          <w:rFonts w:hint="eastAsia" w:ascii="方正小标宋简体" w:hAnsi="方正小标宋简体" w:eastAsia="方正小标宋简体" w:cs="方正小标宋简体"/>
          <w:sz w:val="44"/>
          <w:szCs w:val="44"/>
        </w:rPr>
        <w:t>分局整体支出绩效自评报告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rPr>
      </w:pPr>
    </w:p>
    <w:p>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部门（单位）基本情况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（一）职能职责</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1、受市生态环境局委托，承担辖区内的生态环境相关工作；承担市生态环境局和区管委会交办的其他任务。</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2、负责本辖区内重点污染源在线监控系统现场监督管理；负责受理和办理生态环境保护举报（信访），负责生态环境信访维稳事件的现场调查处置工作</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负责本辖区生态环境质量监测、执法监测、污染源监测和应急监测；负责辖区内生态文明示范</w:t>
      </w:r>
      <w:r>
        <w:rPr>
          <w:rFonts w:hint="eastAsia" w:ascii="仿宋_GB2312" w:hAnsi="仿宋_GB2312" w:eastAsia="仿宋_GB2312" w:cs="仿宋_GB2312"/>
          <w:b w:val="0"/>
          <w:bCs w:val="0"/>
          <w:sz w:val="32"/>
          <w:szCs w:val="32"/>
          <w:lang w:val="en-US" w:eastAsia="zh-CN"/>
        </w:rPr>
        <w:t>区</w:t>
      </w:r>
      <w:r>
        <w:rPr>
          <w:rFonts w:hint="eastAsia" w:ascii="仿宋_GB2312" w:hAnsi="仿宋_GB2312" w:eastAsia="仿宋_GB2312" w:cs="仿宋_GB2312"/>
          <w:b w:val="0"/>
          <w:bCs w:val="0"/>
          <w:sz w:val="32"/>
          <w:szCs w:val="32"/>
        </w:rPr>
        <w:t>创建。</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（二）机构设置</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sz w:val="32"/>
          <w:szCs w:val="32"/>
        </w:rPr>
        <w:t>屈原生</w:t>
      </w:r>
      <w:r>
        <w:rPr>
          <w:rFonts w:hint="eastAsia" w:ascii="仿宋_GB2312" w:hAnsi="仿宋_GB2312" w:eastAsia="仿宋_GB2312" w:cs="仿宋_GB2312"/>
          <w:sz w:val="32"/>
          <w:szCs w:val="32"/>
          <w:lang w:val="en-US" w:eastAsia="zh-CN"/>
        </w:rPr>
        <w:t>态</w:t>
      </w:r>
      <w:r>
        <w:rPr>
          <w:rFonts w:hint="eastAsia" w:ascii="仿宋_GB2312" w:hAnsi="仿宋_GB2312" w:eastAsia="仿宋_GB2312" w:cs="仿宋_GB2312"/>
          <w:sz w:val="32"/>
          <w:szCs w:val="32"/>
        </w:rPr>
        <w:t>环</w:t>
      </w:r>
      <w:r>
        <w:rPr>
          <w:rFonts w:hint="eastAsia" w:ascii="仿宋_GB2312" w:hAnsi="仿宋_GB2312" w:eastAsia="仿宋_GB2312" w:cs="仿宋_GB2312"/>
          <w:sz w:val="32"/>
          <w:szCs w:val="32"/>
          <w:lang w:val="en-US" w:eastAsia="zh-CN"/>
        </w:rPr>
        <w:t>境</w:t>
      </w:r>
      <w:r>
        <w:rPr>
          <w:rFonts w:hint="eastAsia" w:ascii="仿宋_GB2312" w:hAnsi="仿宋_GB2312" w:eastAsia="仿宋_GB2312" w:cs="仿宋_GB2312"/>
          <w:sz w:val="32"/>
          <w:szCs w:val="32"/>
        </w:rPr>
        <w:t>分局属岳阳市生态环境局二级机构。根据分局的整体情况，分局下设四个股室（办公室、监察大队、管理股、法制股）。分局目前在编人员</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借调</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退休</w:t>
      </w:r>
      <w:r>
        <w:rPr>
          <w:rFonts w:hint="eastAsia" w:ascii="仿宋_GB2312" w:hAnsi="仿宋_GB2312" w:eastAsia="仿宋_GB2312" w:cs="仿宋_GB2312"/>
          <w:sz w:val="32"/>
          <w:szCs w:val="32"/>
        </w:rPr>
        <w:t>人员</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rPr>
        <w:t>本科及以上学历占90%以上</w:t>
      </w:r>
      <w:r>
        <w:rPr>
          <w:rFonts w:hint="eastAsia" w:ascii="仿宋_GB2312" w:hAnsi="仿宋_GB2312" w:eastAsia="仿宋_GB2312" w:cs="仿宋_GB2312"/>
          <w:b w:val="0"/>
          <w:bCs w:val="0"/>
          <w:sz w:val="32"/>
          <w:szCs w:val="32"/>
          <w:lang w:eastAsia="zh-CN"/>
        </w:rPr>
        <w:t>。</w:t>
      </w:r>
    </w:p>
    <w:p>
      <w:pPr>
        <w:pStyle w:val="11"/>
        <w:keepNext w:val="0"/>
        <w:keepLines w:val="0"/>
        <w:pageBreakBefore w:val="0"/>
        <w:widowControl/>
        <w:kinsoku/>
        <w:wordWrap/>
        <w:overflowPunct/>
        <w:topLinePunct w:val="0"/>
        <w:autoSpaceDE/>
        <w:autoSpaceDN/>
        <w:bidi w:val="0"/>
        <w:adjustRightInd/>
        <w:snapToGrid/>
        <w:spacing w:line="640" w:lineRule="exact"/>
        <w:ind w:left="0" w:leftChars="0" w:firstLine="0" w:firstLineChars="0"/>
        <w:jc w:val="both"/>
        <w:textAlignment w:val="auto"/>
        <w:rPr>
          <w:rFonts w:hint="default" w:ascii="Times New Roman" w:hAnsi="Times New Roman" w:eastAsia="黑体" w:cs="Times New Roman"/>
          <w:sz w:val="32"/>
          <w:szCs w:val="32"/>
        </w:rPr>
      </w:pPr>
    </w:p>
    <w:p>
      <w:pPr>
        <w:pStyle w:val="11"/>
        <w:keepNext w:val="0"/>
        <w:keepLines w:val="0"/>
        <w:pageBreakBefore w:val="0"/>
        <w:widowControl/>
        <w:kinsoku/>
        <w:wordWrap/>
        <w:overflowPunct/>
        <w:topLinePunct w:val="0"/>
        <w:autoSpaceDE/>
        <w:autoSpaceDN/>
        <w:bidi w:val="0"/>
        <w:adjustRightInd/>
        <w:snapToGrid/>
        <w:spacing w:line="640" w:lineRule="exact"/>
        <w:ind w:left="0" w:leftChars="0" w:firstLine="0" w:firstLineChars="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二、一般公共预算支出情况</w:t>
      </w:r>
    </w:p>
    <w:p>
      <w:pPr>
        <w:bidi w:val="0"/>
        <w:jc w:val="left"/>
        <w:rPr>
          <w:rFonts w:hint="default"/>
        </w:rPr>
      </w:pPr>
    </w:p>
    <w:p>
      <w:pPr>
        <w:pStyle w:val="11"/>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rPr>
        <w:t>我分局整体支出只有基本支出，没有专项支出。基本支出主要用于人员经费和环境宣传、固定资产采购、“三公”经费等公用支出。我分局202</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年度总支出</w:t>
      </w:r>
      <w:r>
        <w:rPr>
          <w:rFonts w:hint="eastAsia" w:ascii="仿宋_GB2312" w:hAnsi="仿宋_GB2312" w:eastAsia="仿宋_GB2312" w:cs="仿宋_GB2312"/>
          <w:b w:val="0"/>
          <w:bCs/>
          <w:sz w:val="32"/>
          <w:szCs w:val="32"/>
          <w:lang w:val="en-US" w:eastAsia="zh-CN"/>
        </w:rPr>
        <w:t>425.97</w:t>
      </w:r>
      <w:r>
        <w:rPr>
          <w:rFonts w:hint="eastAsia" w:ascii="仿宋_GB2312" w:hAnsi="仿宋_GB2312" w:eastAsia="仿宋_GB2312" w:cs="仿宋_GB2312"/>
          <w:b w:val="0"/>
          <w:bCs/>
          <w:sz w:val="32"/>
          <w:szCs w:val="32"/>
        </w:rPr>
        <w:t>万元，其中</w:t>
      </w:r>
      <w:r>
        <w:rPr>
          <w:rFonts w:hint="eastAsia" w:ascii="仿宋_GB2312" w:hAnsi="仿宋_GB2312" w:eastAsia="仿宋_GB2312" w:cs="仿宋_GB2312"/>
          <w:b w:val="0"/>
          <w:bCs/>
          <w:sz w:val="32"/>
          <w:szCs w:val="32"/>
          <w:lang w:val="en-US" w:eastAsia="zh-CN"/>
        </w:rPr>
        <w:t>工资福利性支出110.02</w:t>
      </w:r>
      <w:r>
        <w:rPr>
          <w:rFonts w:hint="eastAsia" w:ascii="仿宋_GB2312" w:hAnsi="仿宋_GB2312" w:eastAsia="仿宋_GB2312" w:cs="仿宋_GB2312"/>
          <w:b w:val="0"/>
          <w:bCs/>
          <w:sz w:val="32"/>
          <w:szCs w:val="32"/>
        </w:rPr>
        <w:t>万元，</w:t>
      </w:r>
      <w:r>
        <w:rPr>
          <w:rFonts w:hint="eastAsia" w:ascii="仿宋_GB2312" w:hAnsi="仿宋_GB2312" w:eastAsia="仿宋_GB2312" w:cs="仿宋_GB2312"/>
          <w:b w:val="0"/>
          <w:bCs/>
          <w:sz w:val="32"/>
          <w:szCs w:val="32"/>
          <w:lang w:val="en-US" w:eastAsia="zh-CN"/>
        </w:rPr>
        <w:t>商品和服务性支出210.86</w:t>
      </w:r>
      <w:r>
        <w:rPr>
          <w:rFonts w:hint="eastAsia" w:ascii="仿宋_GB2312" w:hAnsi="仿宋_GB2312" w:eastAsia="仿宋_GB2312" w:cs="仿宋_GB2312"/>
          <w:b w:val="0"/>
          <w:bCs/>
          <w:sz w:val="32"/>
          <w:szCs w:val="32"/>
        </w:rPr>
        <w:t>万元</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其他对个人及家庭的补助6.36万元；资本性支出98.73万元。</w:t>
      </w:r>
    </w:p>
    <w:p>
      <w:pPr>
        <w:pStyle w:val="7"/>
        <w:widowControl/>
        <w:wordWrap w:val="0"/>
        <w:snapToGrid w:val="0"/>
        <w:spacing w:before="150" w:after="150" w:line="620" w:lineRule="exact"/>
        <w:ind w:firstLine="640"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sz w:val="32"/>
          <w:szCs w:val="32"/>
          <w:lang w:val="en-US" w:eastAsia="zh-CN"/>
        </w:rPr>
        <w:t>2022年我局</w:t>
      </w:r>
      <w:r>
        <w:rPr>
          <w:rFonts w:hint="eastAsia" w:ascii="仿宋_GB2312" w:hAnsi="仿宋_GB2312" w:eastAsia="仿宋_GB2312" w:cs="仿宋_GB2312"/>
          <w:sz w:val="32"/>
          <w:szCs w:val="32"/>
        </w:rPr>
        <w:t>“三公”经费</w:t>
      </w:r>
      <w:r>
        <w:rPr>
          <w:rFonts w:hint="eastAsia" w:ascii="仿宋_GB2312" w:hAnsi="仿宋_GB2312" w:eastAsia="仿宋_GB2312" w:cs="仿宋_GB2312"/>
          <w:sz w:val="32"/>
          <w:szCs w:val="32"/>
          <w:lang w:val="en-US" w:eastAsia="zh-CN"/>
        </w:rPr>
        <w:t>合计1.16万元，</w:t>
      </w:r>
      <w:r>
        <w:rPr>
          <w:rFonts w:hint="eastAsia" w:ascii="仿宋_GB2312" w:hAnsi="仿宋_GB2312" w:eastAsia="仿宋_GB2312" w:cs="仿宋_GB2312"/>
          <w:sz w:val="32"/>
          <w:szCs w:val="32"/>
        </w:rPr>
        <w:t>公务接待费</w:t>
      </w:r>
      <w:r>
        <w:rPr>
          <w:rFonts w:hint="eastAsia" w:ascii="仿宋_GB2312" w:hAnsi="仿宋_GB2312" w:eastAsia="仿宋_GB2312" w:cs="仿宋_GB2312"/>
          <w:sz w:val="32"/>
          <w:szCs w:val="32"/>
          <w:lang w:val="en-US" w:eastAsia="zh-CN"/>
        </w:rPr>
        <w:t>1.16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与上年度1.87万相比，减少了0.71万元，</w:t>
      </w:r>
      <w:r>
        <w:rPr>
          <w:rFonts w:hint="eastAsia" w:ascii="仿宋_GB2312" w:hAnsi="仿宋_GB2312" w:eastAsia="仿宋_GB2312" w:cs="仿宋_GB2312"/>
          <w:sz w:val="32"/>
          <w:szCs w:val="32"/>
        </w:rPr>
        <w:t>实现了厉行节约的宗旨</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0万元；</w:t>
      </w:r>
      <w:r>
        <w:rPr>
          <w:rFonts w:hint="eastAsia" w:ascii="仿宋_GB2312" w:hAnsi="仿宋_GB2312" w:eastAsia="仿宋_GB2312" w:cs="仿宋_GB2312"/>
          <w:b w:val="0"/>
          <w:bCs/>
          <w:sz w:val="32"/>
          <w:szCs w:val="32"/>
        </w:rPr>
        <w:t>公务用车购置费0万元；因公出国费0万元。</w:t>
      </w:r>
    </w:p>
    <w:p>
      <w:pPr>
        <w:pStyle w:val="11"/>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三、</w:t>
      </w:r>
      <w:r>
        <w:rPr>
          <w:rFonts w:hint="default" w:ascii="Times New Roman" w:hAnsi="Times New Roman" w:eastAsia="黑体" w:cs="Times New Roman"/>
          <w:sz w:val="32"/>
          <w:szCs w:val="32"/>
        </w:rPr>
        <w:t>政府性基金预算支出情况</w:t>
      </w:r>
    </w:p>
    <w:p>
      <w:pPr>
        <w:pStyle w:val="11"/>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年本单位没有使用政府性基金预算安排的</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w:t>
      </w:r>
    </w:p>
    <w:p>
      <w:pPr>
        <w:pStyle w:val="11"/>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rPr>
        <w:t>国有资本经营预算支出情况</w:t>
      </w:r>
    </w:p>
    <w:p>
      <w:pPr>
        <w:pStyle w:val="11"/>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年本单位没有使用</w:t>
      </w:r>
      <w:r>
        <w:rPr>
          <w:rFonts w:hint="eastAsia" w:ascii="仿宋_GB2312" w:hAnsi="仿宋_GB2312" w:eastAsia="仿宋_GB2312" w:cs="仿宋_GB2312"/>
          <w:sz w:val="32"/>
          <w:szCs w:val="32"/>
          <w:lang w:val="en-US" w:eastAsia="zh-CN"/>
        </w:rPr>
        <w:t>国有资本经营预算</w:t>
      </w:r>
      <w:r>
        <w:rPr>
          <w:rFonts w:hint="eastAsia" w:ascii="仿宋_GB2312" w:hAnsi="仿宋_GB2312" w:eastAsia="仿宋_GB2312" w:cs="仿宋_GB2312"/>
          <w:sz w:val="32"/>
          <w:szCs w:val="32"/>
        </w:rPr>
        <w:t>安排的</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w:t>
      </w:r>
    </w:p>
    <w:p>
      <w:pPr>
        <w:pStyle w:val="11"/>
        <w:keepNext w:val="0"/>
        <w:keepLines w:val="0"/>
        <w:pageBreakBefore w:val="0"/>
        <w:widowControl/>
        <w:numPr>
          <w:ilvl w:val="0"/>
          <w:numId w:val="2"/>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社会保险基金预算支出情况</w:t>
      </w:r>
    </w:p>
    <w:p>
      <w:pPr>
        <w:pStyle w:val="11"/>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年本单位没有使用</w:t>
      </w:r>
      <w:r>
        <w:rPr>
          <w:rFonts w:hint="eastAsia" w:ascii="仿宋_GB2312" w:hAnsi="仿宋_GB2312" w:eastAsia="仿宋_GB2312" w:cs="仿宋_GB2312"/>
          <w:sz w:val="32"/>
          <w:szCs w:val="32"/>
          <w:lang w:val="en-US" w:eastAsia="zh-CN"/>
        </w:rPr>
        <w:t>社会保险基金预算</w:t>
      </w:r>
      <w:r>
        <w:rPr>
          <w:rFonts w:hint="eastAsia" w:ascii="仿宋_GB2312" w:hAnsi="仿宋_GB2312" w:eastAsia="仿宋_GB2312" w:cs="仿宋_GB2312"/>
          <w:sz w:val="32"/>
          <w:szCs w:val="32"/>
        </w:rPr>
        <w:t>安排的</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六、部门整体支出绩效情况</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kern w:val="2"/>
          <w:sz w:val="32"/>
          <w:szCs w:val="32"/>
          <w:lang w:val="en-US" w:eastAsia="zh-CN" w:bidi="ar-SA"/>
        </w:rPr>
      </w:pPr>
      <w:r>
        <w:rPr>
          <w:rFonts w:hint="eastAsia" w:ascii="Times New Roman" w:hAnsi="Times New Roman" w:eastAsia="黑体" w:cs="Times New Roman"/>
          <w:sz w:val="32"/>
          <w:szCs w:val="32"/>
          <w:lang w:eastAsia="zh-CN"/>
        </w:rPr>
        <w:tab/>
      </w:r>
      <w:r>
        <w:rPr>
          <w:rFonts w:hint="eastAsia" w:ascii="楷体_GB2312" w:hAnsi="楷体_GB2312" w:eastAsia="楷体_GB2312" w:cs="楷体_GB2312"/>
          <w:b/>
          <w:bCs/>
          <w:color w:val="000000"/>
          <w:kern w:val="0"/>
          <w:sz w:val="32"/>
          <w:szCs w:val="32"/>
          <w:lang w:eastAsia="zh-CN"/>
        </w:rPr>
        <w:t>（一）抓创新促落实，污染防治有新突破。</w:t>
      </w:r>
      <w:r>
        <w:rPr>
          <w:rFonts w:hint="eastAsia" w:ascii="仿宋_GB2312" w:hAnsi="仿宋_GB2312" w:eastAsia="仿宋_GB2312" w:cs="仿宋_GB2312"/>
          <w:b w:val="0"/>
          <w:bCs w:val="0"/>
          <w:kern w:val="2"/>
          <w:sz w:val="32"/>
          <w:szCs w:val="32"/>
          <w:lang w:val="en-US" w:eastAsia="zh-CN" w:bidi="ar-SA"/>
        </w:rPr>
        <w:t>坚持将推进污染防治攻坚“夏季攻势”、“5+1”专项督查整改摆在全局工作的突出位置，坚持“一个问题、一名领导、一套方案、一抓到底”，实行挂图作战、时间倒排、任务倒排，严格落实“一月一督查、一月一通报”等制度，截止11月16日，我区“夏季攻势”共有7大项21小项任务，已全部完成整改销号。一批生态环境重点任务如期完成，有力地改善了区域环境质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643" w:firstLineChars="200"/>
        <w:jc w:val="both"/>
        <w:textAlignment w:val="auto"/>
        <w:rPr>
          <w:rFonts w:hint="eastAsia" w:ascii="仿宋_GB2312" w:hAnsi="仿宋_GB2312" w:eastAsia="仿宋_GB2312" w:cs="Times New Roman"/>
          <w:kern w:val="2"/>
          <w:sz w:val="32"/>
          <w:szCs w:val="32"/>
          <w:lang w:val="en-US" w:eastAsia="zh-CN" w:bidi="ar-SA"/>
        </w:rPr>
      </w:pPr>
      <w:r>
        <w:rPr>
          <w:rFonts w:hint="eastAsia" w:ascii="楷体_GB2312" w:hAnsi="楷体_GB2312" w:eastAsia="楷体_GB2312" w:cs="楷体_GB2312"/>
          <w:b/>
          <w:bCs/>
          <w:color w:val="000000"/>
          <w:kern w:val="0"/>
          <w:sz w:val="32"/>
          <w:szCs w:val="32"/>
          <w:lang w:eastAsia="zh-CN"/>
        </w:rPr>
        <w:t>（二）抓创新促落实，执法监管有新突破。</w:t>
      </w:r>
      <w:r>
        <w:rPr>
          <w:rFonts w:hint="eastAsia" w:ascii="仿宋_GB2312" w:hAnsi="仿宋_GB2312" w:eastAsia="仿宋_GB2312" w:cs="仿宋_GB2312"/>
          <w:b w:val="0"/>
          <w:bCs w:val="0"/>
          <w:kern w:val="2"/>
          <w:sz w:val="32"/>
          <w:szCs w:val="32"/>
          <w:lang w:val="en" w:eastAsia="zh-CN" w:bidi="ar-SA"/>
        </w:rPr>
        <w:t>始终紧盯环境治理的主责主业，对环境污染实施靶向治理</w:t>
      </w:r>
      <w:r>
        <w:rPr>
          <w:rFonts w:hint="eastAsia" w:ascii="仿宋_GB2312" w:hAnsi="仿宋_GB2312" w:eastAsia="仿宋_GB2312" w:cs="仿宋_GB2312"/>
          <w:b w:val="0"/>
          <w:bCs w:val="0"/>
          <w:kern w:val="2"/>
          <w:sz w:val="32"/>
          <w:szCs w:val="32"/>
          <w:lang w:val="en-US" w:eastAsia="zh-CN" w:bidi="ar-SA"/>
        </w:rPr>
        <w:t>。加快推进非道路移动编码机械编码登记、机动车尾气排放超标现象检测和非道路移动机械监督性抽测，加大对高排放车辆的执法检查，截止11月份，已完成路检45台，完成全年任务的112%，处罚超标车辆1台。严格落实对车检机构每月1次的常态化监管。强势启动“利剑”行动风险隐患排查，共计排查问题20个，截止11月份，均已整改到位或者已采取风险管控措施。将固危废申报、排污许可证、排污信息公开作为推进企业自主环境治理的有效手段，已完成12家</w:t>
      </w:r>
      <w:r>
        <w:rPr>
          <w:rFonts w:hint="eastAsia" w:ascii="仿宋_GB2312" w:hAnsi="仿宋_GB2312" w:eastAsia="仿宋_GB2312" w:cs="仿宋_GB2312"/>
          <w:b w:val="0"/>
          <w:bCs w:val="0"/>
          <w:color w:val="000000"/>
          <w:kern w:val="0"/>
          <w:sz w:val="32"/>
          <w:szCs w:val="32"/>
          <w:lang w:val="en-US" w:eastAsia="zh-CN"/>
        </w:rPr>
        <w:t>企业排污许可证质量审核与核改</w:t>
      </w:r>
      <w:r>
        <w:rPr>
          <w:rFonts w:hint="eastAsia" w:ascii="仿宋_GB2312" w:hAnsi="仿宋_GB2312" w:eastAsia="仿宋_GB2312" w:cs="仿宋_GB2312"/>
          <w:b w:val="0"/>
          <w:bCs w:val="0"/>
          <w:sz w:val="32"/>
          <w:szCs w:val="32"/>
          <w:lang w:val="en-US" w:eastAsia="zh-CN"/>
        </w:rPr>
        <w:t>。对全部已核发排污许可证进行了清查，督促按照排污实际进行重新申报。督促企业自主公开排污信息8家，企业投入环境治理主动性、积极性明显提升。</w:t>
      </w:r>
      <w:r>
        <w:rPr>
          <w:rFonts w:hint="eastAsia" w:ascii="仿宋_GB2312" w:hAnsi="仿宋_GB2312" w:eastAsia="仿宋_GB2312" w:cs="仿宋_GB2312"/>
          <w:b w:val="0"/>
          <w:bCs w:val="0"/>
          <w:color w:val="000000"/>
          <w:kern w:val="2"/>
          <w:sz w:val="32"/>
          <w:szCs w:val="32"/>
          <w:lang w:val="en-US" w:eastAsia="zh-CN" w:bidi="ar-SA"/>
        </w:rPr>
        <w:t>受理各类信访投诉78件</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处理率</w:t>
      </w:r>
      <w:r>
        <w:rPr>
          <w:rFonts w:hint="eastAsia" w:ascii="仿宋_GB2312" w:hAnsi="仿宋_GB2312" w:eastAsia="仿宋_GB2312" w:cs="仿宋_GB2312"/>
          <w:b w:val="0"/>
          <w:bCs w:val="0"/>
          <w:sz w:val="32"/>
          <w:szCs w:val="32"/>
          <w:lang w:eastAsia="zh-CN"/>
        </w:rPr>
        <w:t>、回访满意率均为</w:t>
      </w:r>
      <w:r>
        <w:rPr>
          <w:rFonts w:hint="eastAsia" w:ascii="仿宋_GB2312" w:hAnsi="仿宋_GB2312" w:eastAsia="仿宋_GB2312" w:cs="仿宋_GB2312"/>
          <w:b w:val="0"/>
          <w:bCs w:val="0"/>
          <w:sz w:val="32"/>
          <w:szCs w:val="32"/>
        </w:rPr>
        <w:t>100%</w:t>
      </w:r>
      <w:r>
        <w:rPr>
          <w:rFonts w:hint="eastAsia" w:ascii="仿宋_GB2312" w:hAnsi="仿宋_GB2312" w:eastAsia="仿宋_GB2312" w:cs="仿宋_GB2312"/>
          <w:b w:val="0"/>
          <w:bCs w:val="0"/>
          <w:sz w:val="32"/>
          <w:szCs w:val="32"/>
          <w:lang w:eastAsia="zh-CN"/>
        </w:rPr>
        <w:t>，有效维护了人民群众的环境权益。入河排污口整治方面，将我区</w:t>
      </w:r>
      <w:r>
        <w:rPr>
          <w:rFonts w:hint="eastAsia" w:ascii="仿宋_GB2312" w:hAnsi="仿宋_GB2312" w:eastAsia="仿宋_GB2312" w:cs="仿宋_GB2312"/>
          <w:b w:val="0"/>
          <w:bCs w:val="0"/>
          <w:sz w:val="32"/>
          <w:szCs w:val="32"/>
          <w:lang w:val="en-US" w:eastAsia="zh-CN"/>
        </w:rPr>
        <w:t>46个长江入河排口，通过排查整治，清理合并14个。分局纳入整治清单的2个饮用水源地，凤凰乡横港自来水厂</w:t>
      </w:r>
      <w:r>
        <w:rPr>
          <w:rFonts w:hint="eastAsia" w:ascii="仿宋_GB2312" w:hAnsi="仿宋_GB2312" w:eastAsia="仿宋_GB2312" w:cs="Times New Roman"/>
          <w:kern w:val="2"/>
          <w:sz w:val="32"/>
          <w:szCs w:val="32"/>
          <w:lang w:val="en-US" w:eastAsia="zh-CN" w:bidi="ar-SA"/>
        </w:rPr>
        <w:t>已进行了封井，并取得了市人民政府关于同意取消该饮用水源保护区的批复；河市供水二厂的整改工作已全面完成，两个饮用水源地的整改工作均已于7月底前全面销号，并于10月底完成了重点民生实事项目年终核查。</w:t>
      </w:r>
    </w:p>
    <w:p>
      <w:pPr>
        <w:numPr>
          <w:ilvl w:val="0"/>
          <w:numId w:val="0"/>
        </w:numPr>
        <w:ind w:firstLine="643" w:firstLineChars="200"/>
        <w:jc w:val="both"/>
        <w:rPr>
          <w:rFonts w:hint="eastAsia" w:ascii="仿宋_GB2312" w:hAnsi="仿宋_GB2312" w:eastAsia="仿宋_GB2312" w:cs="仿宋_GB2312"/>
          <w:color w:val="auto"/>
          <w:kern w:val="2"/>
          <w:sz w:val="32"/>
          <w:szCs w:val="32"/>
          <w:lang w:val="en-US" w:eastAsia="zh-CN" w:bidi="ar-SA"/>
        </w:rPr>
      </w:pPr>
      <w:r>
        <w:rPr>
          <w:rFonts w:hint="eastAsia" w:ascii="楷体_GB2312" w:hAnsi="楷体_GB2312" w:eastAsia="楷体_GB2312" w:cs="楷体_GB2312"/>
          <w:b/>
          <w:bCs/>
          <w:color w:val="000000"/>
          <w:kern w:val="0"/>
          <w:sz w:val="32"/>
          <w:szCs w:val="32"/>
          <w:lang w:eastAsia="zh-CN"/>
        </w:rPr>
        <w:t>（三）抓创新促落实，争资争项有新突破。</w:t>
      </w:r>
      <w:r>
        <w:rPr>
          <w:rFonts w:hint="eastAsia" w:ascii="仿宋_GB2312" w:hAnsi="仿宋_GB2312" w:eastAsia="仿宋_GB2312" w:cs="仿宋_GB2312"/>
          <w:color w:val="auto"/>
          <w:kern w:val="2"/>
          <w:sz w:val="32"/>
          <w:szCs w:val="32"/>
          <w:lang w:val="en-US" w:eastAsia="zh-CN" w:bidi="ar-SA"/>
        </w:rPr>
        <w:t>分局</w:t>
      </w:r>
      <w:r>
        <w:rPr>
          <w:rFonts w:hint="eastAsia" w:ascii="仿宋_GB2312" w:hAnsi="仿宋_GB2312" w:eastAsia="仿宋_GB2312" w:cs="仿宋_GB2312"/>
          <w:color w:val="auto"/>
          <w:kern w:val="0"/>
          <w:sz w:val="32"/>
          <w:szCs w:val="32"/>
          <w:lang w:eastAsia="zh-CN"/>
        </w:rPr>
        <w:t>不断解放思想，创新争资争项工作思路，</w:t>
      </w:r>
      <w:r>
        <w:rPr>
          <w:rFonts w:hint="eastAsia" w:ascii="仿宋_GB2312" w:hAnsi="仿宋_GB2312" w:eastAsia="仿宋_GB2312" w:cs="仿宋_GB2312"/>
          <w:color w:val="auto"/>
          <w:kern w:val="2"/>
          <w:sz w:val="32"/>
          <w:szCs w:val="32"/>
          <w:lang w:val="en-US" w:eastAsia="zh-CN" w:bidi="ar-SA"/>
        </w:rPr>
        <w:t>充分发挥中央专项资金、优化营商环境政策对环境治理的撬动效应，推动争资争项、放管服”取得新突破。</w:t>
      </w:r>
      <w:r>
        <w:rPr>
          <w:rFonts w:hint="eastAsia" w:ascii="仿宋_GB2312" w:hAnsi="仿宋_GB2312" w:eastAsia="仿宋_GB2312" w:cs="仿宋_GB2312"/>
          <w:b w:val="0"/>
          <w:bCs w:val="0"/>
          <w:color w:val="auto"/>
          <w:kern w:val="2"/>
          <w:sz w:val="32"/>
          <w:szCs w:val="32"/>
          <w:lang w:val="en-US" w:eastAsia="zh-CN" w:bidi="ar-SA"/>
        </w:rPr>
        <w:t>现已包装各类重点项目6个，到位资金2115万元，已完成今年计划的84.6%，较去年同期增长8倍以上。</w:t>
      </w:r>
      <w:r>
        <w:rPr>
          <w:rFonts w:hint="eastAsia" w:ascii="仿宋_GB2312" w:hAnsi="仿宋_GB2312" w:eastAsia="仿宋_GB2312" w:cs="仿宋_GB2312"/>
          <w:color w:val="auto"/>
          <w:kern w:val="2"/>
          <w:sz w:val="32"/>
          <w:szCs w:val="32"/>
          <w:lang w:val="en-US" w:eastAsia="zh-CN" w:bidi="ar-SA"/>
        </w:rPr>
        <w:t>其中平江河（凤凰段）水环境综合治理工程获批专项资金1750万元，生活污水治理省级专项资金20万元，</w:t>
      </w:r>
      <w:r>
        <w:rPr>
          <w:rFonts w:hint="eastAsia" w:ascii="仿宋_GB2312" w:hAnsi="仿宋_GB2312" w:eastAsia="仿宋_GB2312" w:cs="仿宋_GB2312"/>
          <w:color w:val="auto"/>
          <w:kern w:val="2"/>
          <w:sz w:val="32"/>
          <w:szCs w:val="32"/>
          <w:highlight w:val="none"/>
          <w:lang w:val="en-US" w:eastAsia="zh-CN" w:bidi="ar-SA"/>
        </w:rPr>
        <w:t>营田镇湘江流域水环境综合治理项目获得山水林田湖草项目第一期资金345万元。</w:t>
      </w:r>
      <w:r>
        <w:rPr>
          <w:rFonts w:hint="eastAsia" w:ascii="仿宋_GB2312" w:hAnsi="仿宋_GB2312" w:eastAsia="仿宋_GB2312" w:cs="仿宋_GB2312"/>
          <w:color w:val="auto"/>
          <w:kern w:val="2"/>
          <w:sz w:val="32"/>
          <w:szCs w:val="32"/>
          <w:lang w:val="en-US" w:eastAsia="zh-CN" w:bidi="ar-SA"/>
        </w:rPr>
        <w:t>营田镇污水处理厂尾水治理、“千人以上”饮用水水源地整治两个项目已入中央水污染防治库。</w:t>
      </w:r>
      <w:r>
        <w:rPr>
          <w:rFonts w:hint="eastAsia" w:ascii="仿宋_GB2312" w:hAnsi="仿宋_GB2312" w:eastAsia="仿宋_GB2312" w:cs="仿宋_GB2312"/>
          <w:color w:val="auto"/>
          <w:kern w:val="2"/>
          <w:sz w:val="32"/>
          <w:szCs w:val="32"/>
          <w:highlight w:val="none"/>
          <w:lang w:val="en-US" w:eastAsia="zh-CN" w:bidi="ar-SA"/>
        </w:rPr>
        <w:t>湖南海丰物流有限公司已进入第二批中央大气污染防治资金库。屈原管理区农村生活污水治理项目已进入中央土壤污染防治资金库。</w:t>
      </w:r>
      <w:r>
        <w:rPr>
          <w:rFonts w:hint="eastAsia" w:ascii="仿宋_GB2312" w:hAnsi="仿宋_GB2312" w:eastAsia="仿宋_GB2312" w:cs="仿宋_GB2312"/>
          <w:color w:val="auto"/>
          <w:kern w:val="2"/>
          <w:sz w:val="32"/>
          <w:szCs w:val="32"/>
          <w:lang w:val="en-US" w:eastAsia="zh-CN" w:bidi="ar-SA"/>
        </w:rPr>
        <w:t>同时，分局严格落实优化营商环境惠企政策，积极加大对企业帮扶力度，实行生态环境轻微违法“首违免罚”，让环境执法有力度更有温度。前三季度，分局积极服务屈原创建国家农高区，联手帮扶企业20多家次，助推企业完成升级改造6家，以实际举措助推屈原高质量发展。</w:t>
      </w:r>
    </w:p>
    <w:p>
      <w:pPr>
        <w:numPr>
          <w:ilvl w:val="0"/>
          <w:numId w:val="0"/>
        </w:numPr>
        <w:ind w:firstLine="643" w:firstLineChars="200"/>
        <w:jc w:val="both"/>
        <w:rPr>
          <w:rFonts w:hint="eastAsia" w:ascii="楷体_GB2312" w:hAnsi="楷体_GB2312" w:eastAsia="楷体_GB2312" w:cs="楷体_GB2312"/>
          <w:b/>
          <w:bCs/>
          <w:color w:val="000000"/>
          <w:kern w:val="0"/>
          <w:sz w:val="32"/>
          <w:szCs w:val="32"/>
          <w:lang w:val="en-US" w:eastAsia="zh-CN"/>
        </w:rPr>
      </w:pPr>
      <w:r>
        <w:rPr>
          <w:rFonts w:hint="eastAsia" w:ascii="楷体_GB2312" w:hAnsi="楷体_GB2312" w:eastAsia="楷体_GB2312" w:cs="楷体_GB2312"/>
          <w:b/>
          <w:bCs/>
          <w:color w:val="000000"/>
          <w:kern w:val="0"/>
          <w:sz w:val="32"/>
          <w:szCs w:val="32"/>
          <w:lang w:val="en-US" w:eastAsia="zh-CN"/>
        </w:rPr>
        <w:t>（四）</w:t>
      </w:r>
      <w:r>
        <w:rPr>
          <w:rFonts w:hint="eastAsia" w:ascii="楷体_GB2312" w:hAnsi="楷体_GB2312" w:eastAsia="楷体_GB2312" w:cs="楷体_GB2312"/>
          <w:b/>
          <w:bCs/>
          <w:color w:val="000000"/>
          <w:kern w:val="0"/>
          <w:sz w:val="32"/>
          <w:szCs w:val="32"/>
          <w:lang w:eastAsia="zh-CN"/>
        </w:rPr>
        <w:t>抓创新促落实，党风廉政建设不放松</w:t>
      </w:r>
    </w:p>
    <w:p>
      <w:pPr>
        <w:numPr>
          <w:ilvl w:val="0"/>
          <w:numId w:val="0"/>
        </w:numPr>
        <w:ind w:firstLine="640" w:firstLineChars="200"/>
        <w:jc w:val="both"/>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分局坚持党建引领，扎实开展党建“四亮”主题活动，严格落实“三会一课”、主题当日等制度，先后组织到联点帮扶村开展疫情防控“敲门行动”3次，疫情防控期间督促医疗废物、废水安全处置率100%，党组织的战斗堡垒进一步建强，党员的先锋模范进一步彰显。坚持党风廉政建设不放松，积极开展清廉单元建设活动，如参加市局举办的“清廉•青年说”演讲比赛，凡昕获得二等奖、到屈原管理区河伯潭廉政文化教育基地参观、组织观看屈原廉洁文化艺术作品展等；全体干部职工均签定承诺书，承诺不参与打牌赌博和违规吃喝、严格遵守岳阳市国家公职人员打牌赌博与违规吃喝“双十严禁”，严禁违规收送礼金红包的相关要求。分局开展谈心谈话20多次，组织收看警示片3次，通报损害营商环境、生态环境系统违法等典型案例5次，党员干部廉洁从政意识有效提升。</w:t>
      </w:r>
    </w:p>
    <w:p>
      <w:pPr>
        <w:numPr>
          <w:ilvl w:val="0"/>
          <w:numId w:val="0"/>
        </w:numPr>
        <w:ind w:firstLine="643" w:firstLineChars="200"/>
        <w:jc w:val="both"/>
        <w:rPr>
          <w:rFonts w:hint="eastAsia" w:ascii="楷体_GB2312" w:hAnsi="楷体_GB2312" w:eastAsia="楷体_GB2312" w:cs="楷体_GB2312"/>
          <w:b/>
          <w:bCs/>
          <w:color w:val="000000"/>
          <w:kern w:val="0"/>
          <w:sz w:val="32"/>
          <w:szCs w:val="32"/>
          <w:lang w:val="en-US" w:eastAsia="zh-CN"/>
        </w:rPr>
      </w:pPr>
      <w:r>
        <w:rPr>
          <w:rFonts w:hint="eastAsia" w:ascii="楷体_GB2312" w:hAnsi="楷体_GB2312" w:eastAsia="楷体_GB2312" w:cs="楷体_GB2312"/>
          <w:b/>
          <w:bCs/>
          <w:color w:val="000000"/>
          <w:kern w:val="0"/>
          <w:sz w:val="32"/>
          <w:szCs w:val="32"/>
          <w:lang w:val="en-US" w:eastAsia="zh-CN"/>
        </w:rPr>
        <w:t>（五）</w:t>
      </w:r>
      <w:r>
        <w:rPr>
          <w:rFonts w:hint="eastAsia" w:ascii="楷体_GB2312" w:hAnsi="楷体_GB2312" w:eastAsia="楷体_GB2312" w:cs="楷体_GB2312"/>
          <w:b/>
          <w:bCs/>
          <w:color w:val="000000"/>
          <w:kern w:val="0"/>
          <w:sz w:val="32"/>
          <w:szCs w:val="32"/>
          <w:lang w:eastAsia="zh-CN"/>
        </w:rPr>
        <w:t>抓创新促落实，</w:t>
      </w:r>
      <w:r>
        <w:rPr>
          <w:rFonts w:hint="eastAsia" w:ascii="楷体_GB2312" w:hAnsi="楷体_GB2312" w:eastAsia="楷体_GB2312" w:cs="楷体_GB2312"/>
          <w:b/>
          <w:bCs/>
          <w:color w:val="000000"/>
          <w:kern w:val="0"/>
          <w:sz w:val="32"/>
          <w:szCs w:val="32"/>
          <w:lang w:val="en-US" w:eastAsia="zh-CN"/>
        </w:rPr>
        <w:t>文明宣传有新热度</w:t>
      </w:r>
    </w:p>
    <w:p>
      <w:pPr>
        <w:numPr>
          <w:ilvl w:val="0"/>
          <w:numId w:val="0"/>
        </w:numPr>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val="0"/>
          <w:bCs w:val="0"/>
          <w:sz w:val="32"/>
          <w:szCs w:val="32"/>
          <w:lang w:eastAsia="zh-CN"/>
        </w:rPr>
        <w:t>分局以创建市级文明标兵单位为契机，先后投入资金</w:t>
      </w:r>
      <w:r>
        <w:rPr>
          <w:rFonts w:hint="eastAsia" w:ascii="仿宋_GB2312" w:hAnsi="仿宋_GB2312" w:eastAsia="仿宋_GB2312" w:cs="仿宋_GB2312"/>
          <w:b w:val="0"/>
          <w:bCs w:val="0"/>
          <w:sz w:val="32"/>
          <w:szCs w:val="32"/>
          <w:lang w:val="en-US" w:eastAsia="zh-CN"/>
        </w:rPr>
        <w:t>XX</w:t>
      </w:r>
      <w:r>
        <w:rPr>
          <w:rFonts w:hint="eastAsia" w:ascii="仿宋_GB2312" w:hAnsi="仿宋_GB2312" w:eastAsia="仿宋_GB2312" w:cs="仿宋_GB2312"/>
          <w:b w:val="0"/>
          <w:bCs w:val="0"/>
          <w:sz w:val="32"/>
          <w:szCs w:val="32"/>
          <w:lang w:eastAsia="zh-CN"/>
        </w:rPr>
        <w:t>万元，改善院落环境，为创建市级文明标兵单位打好了良好的基础。通过宣传使广大人民群众提高环境保护意识，</w:t>
      </w:r>
      <w:r>
        <w:rPr>
          <w:rFonts w:hint="eastAsia" w:ascii="仿宋_GB2312" w:hAnsi="仿宋_GB2312" w:eastAsia="仿宋_GB2312" w:cs="仿宋_GB2312"/>
          <w:sz w:val="32"/>
          <w:szCs w:val="32"/>
          <w:lang w:val="en-US" w:eastAsia="zh-CN"/>
        </w:rPr>
        <w:t>将日常宣传与主题宣传有机结合，先后开展“河小青”守护汨罗江、“4.22世界地球日”、“6.5世界环境日”、节能宣传周绿色低碳日、</w:t>
      </w:r>
      <w:r>
        <w:rPr>
          <w:rFonts w:hint="eastAsia" w:ascii="仿宋_GB2312" w:hAnsi="仿宋_GB2312" w:eastAsia="仿宋_GB2312" w:cs="仿宋_GB2312"/>
          <w:kern w:val="2"/>
          <w:sz w:val="32"/>
          <w:szCs w:val="32"/>
          <w:lang w:val="en-US" w:eastAsia="zh-CN" w:bidi="ar-SA"/>
        </w:rPr>
        <w:t>“我为群众讲监测，走进岳阳屈原水质自动监测站”对外开放日活动</w:t>
      </w:r>
      <w:r>
        <w:rPr>
          <w:rFonts w:hint="eastAsia" w:ascii="仿宋_GB2312" w:hAnsi="仿宋_GB2312" w:eastAsia="仿宋_GB2312" w:cs="仿宋_GB2312"/>
          <w:sz w:val="32"/>
          <w:szCs w:val="32"/>
          <w:lang w:val="en-US" w:eastAsia="zh-CN"/>
        </w:rPr>
        <w:t>等主题活动5次，参加人员1000多人次，营造了人人参与环境保护的浓厚氛围。</w:t>
      </w:r>
    </w:p>
    <w:p>
      <w:pPr>
        <w:pStyle w:val="11"/>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七、存在的问题及原因分析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根据预算一体化的要求，年初预算下达指标到达末级科目，年中不予调整，导致部分支出科目余额不足，使得付款效率大大降低。</w:t>
      </w:r>
    </w:p>
    <w:p>
      <w:pPr>
        <w:keepNext w:val="0"/>
        <w:keepLines w:val="0"/>
        <w:pageBreakBefore w:val="0"/>
        <w:widowControl/>
        <w:numPr>
          <w:ilvl w:val="0"/>
          <w:numId w:val="3"/>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下一步改进措施</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进一步提高预算编制的准确性和科学性，提高工作效率。</w:t>
      </w:r>
    </w:p>
    <w:p>
      <w:pPr>
        <w:pStyle w:val="11"/>
        <w:keepNext w:val="0"/>
        <w:keepLines w:val="0"/>
        <w:pageBreakBefore w:val="0"/>
        <w:widowControl/>
        <w:tabs>
          <w:tab w:val="left" w:pos="1332"/>
        </w:tabs>
        <w:kinsoku/>
        <w:wordWrap/>
        <w:overflowPunct/>
        <w:topLinePunct w:val="0"/>
        <w:autoSpaceDE/>
        <w:autoSpaceDN/>
        <w:bidi w:val="0"/>
        <w:adjustRightInd/>
        <w:snapToGrid/>
        <w:spacing w:line="640" w:lineRule="exact"/>
        <w:ind w:left="0" w:leftChars="0" w:firstLine="0" w:firstLineChars="0"/>
        <w:jc w:val="both"/>
        <w:textAlignment w:val="auto"/>
        <w:rPr>
          <w:rFonts w:hint="eastAsia" w:ascii="Times New Roman" w:hAnsi="Times New Roman" w:eastAsia="黑体" w:cs="Times New Roman"/>
          <w:sz w:val="32"/>
          <w:szCs w:val="32"/>
          <w:lang w:eastAsia="zh-CN"/>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九、部门整体支出绩效自评结果拟应用和公开情况</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本单位</w:t>
      </w:r>
      <w:r>
        <w:rPr>
          <w:rFonts w:hint="eastAsia" w:ascii="仿宋_GB2312" w:hAnsi="仿宋_GB2312" w:eastAsia="仿宋_GB2312" w:cs="仿宋_GB2312"/>
          <w:sz w:val="32"/>
          <w:szCs w:val="32"/>
          <w:lang w:eastAsia="zh-CN"/>
        </w:rPr>
        <w:t>绩效自评结果为良好等级。下一步将根据财政检查绩效自评发现的问题等进行改善，并按政务公开的相关规定，及时将部门整体支出及项目绩效自评报告，通过门户网站向社会公开。</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rPr>
      </w:pPr>
    </w:p>
    <w:p>
      <w:pPr>
        <w:keepNext w:val="0"/>
        <w:keepLines w:val="0"/>
        <w:pageBreakBefore w:val="0"/>
        <w:widowControl/>
        <w:kinsoku/>
        <w:wordWrap/>
        <w:overflowPunct/>
        <w:topLinePunct w:val="0"/>
        <w:autoSpaceDE/>
        <w:autoSpaceDN/>
        <w:bidi w:val="0"/>
        <w:adjustRightInd/>
        <w:snapToGrid/>
        <w:spacing w:line="640" w:lineRule="exact"/>
        <w:ind w:left="638" w:leftChars="228" w:firstLine="8000" w:firstLineChars="25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pPr>
        <w:keepNext w:val="0"/>
        <w:keepLines w:val="0"/>
        <w:pageBreakBefore w:val="0"/>
        <w:widowControl/>
        <w:kinsoku/>
        <w:wordWrap/>
        <w:overflowPunct/>
        <w:topLinePunct w:val="0"/>
        <w:autoSpaceDE/>
        <w:autoSpaceDN/>
        <w:bidi w:val="0"/>
        <w:adjustRightInd/>
        <w:snapToGrid/>
        <w:spacing w:line="640" w:lineRule="exact"/>
        <w:ind w:left="638" w:leftChars="228" w:firstLine="8000" w:firstLineChars="2500"/>
        <w:jc w:val="both"/>
        <w:textAlignment w:val="auto"/>
        <w:rPr>
          <w:rFonts w:hint="eastAsia" w:ascii="黑体" w:hAnsi="黑体" w:eastAsia="黑体" w:cs="黑体"/>
          <w:sz w:val="32"/>
          <w:szCs w:val="32"/>
          <w:lang w:val="en-US" w:eastAsia="zh-CN"/>
        </w:rPr>
      </w:pPr>
    </w:p>
    <w:p>
      <w:pPr>
        <w:keepNext w:val="0"/>
        <w:keepLines w:val="0"/>
        <w:pageBreakBefore w:val="0"/>
        <w:widowControl/>
        <w:kinsoku/>
        <w:wordWrap/>
        <w:overflowPunct/>
        <w:topLinePunct w:val="0"/>
        <w:autoSpaceDE/>
        <w:autoSpaceDN/>
        <w:bidi w:val="0"/>
        <w:adjustRightInd/>
        <w:snapToGrid/>
        <w:spacing w:line="640" w:lineRule="exact"/>
        <w:ind w:left="638" w:leftChars="228" w:firstLine="8000" w:firstLineChars="2500"/>
        <w:jc w:val="both"/>
        <w:textAlignment w:val="auto"/>
        <w:rPr>
          <w:rFonts w:hint="eastAsia" w:ascii="黑体" w:hAnsi="黑体" w:eastAsia="黑体" w:cs="黑体"/>
          <w:sz w:val="32"/>
          <w:szCs w:val="32"/>
          <w:lang w:val="en-US" w:eastAsia="zh-CN"/>
        </w:rPr>
      </w:pPr>
    </w:p>
    <w:p>
      <w:pPr>
        <w:keepNext w:val="0"/>
        <w:keepLines w:val="0"/>
        <w:pageBreakBefore w:val="0"/>
        <w:widowControl/>
        <w:kinsoku/>
        <w:wordWrap/>
        <w:overflowPunct/>
        <w:topLinePunct w:val="0"/>
        <w:autoSpaceDE/>
        <w:autoSpaceDN/>
        <w:bidi w:val="0"/>
        <w:adjustRightInd/>
        <w:snapToGrid/>
        <w:spacing w:line="640" w:lineRule="exact"/>
        <w:ind w:left="638" w:leftChars="228" w:firstLine="8000" w:firstLineChars="2500"/>
        <w:jc w:val="both"/>
        <w:textAlignment w:val="auto"/>
        <w:rPr>
          <w:rFonts w:hint="eastAsia" w:ascii="黑体" w:hAnsi="黑体" w:eastAsia="黑体" w:cs="黑体"/>
          <w:sz w:val="32"/>
          <w:szCs w:val="32"/>
          <w:lang w:val="en-US" w:eastAsia="zh-CN"/>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5</w:t>
      </w:r>
    </w:p>
    <w:p>
      <w:pPr>
        <w:spacing w:before="120" w:beforeLines="50" w:after="120" w:afterLines="50"/>
        <w:jc w:val="center"/>
        <w:rPr>
          <w:rFonts w:hint="eastAsia" w:ascii="方正小标宋简体" w:hAnsi="方正小标宋简体" w:eastAsia="方正小标宋简体" w:cs="方正小标宋简体"/>
          <w:spacing w:val="-6"/>
          <w:sz w:val="36"/>
          <w:szCs w:val="36"/>
        </w:rPr>
      </w:pPr>
      <w:r>
        <w:rPr>
          <w:rFonts w:hint="eastAsia" w:ascii="方正小标宋简体" w:hAnsi="方正小标宋简体" w:eastAsia="方正小标宋简体" w:cs="方正小标宋简体"/>
          <w:sz w:val="36"/>
          <w:szCs w:val="36"/>
        </w:rPr>
        <w:t>部门整体支出</w:t>
      </w:r>
      <w:r>
        <w:rPr>
          <w:rFonts w:hint="eastAsia" w:ascii="方正小标宋简体" w:hAnsi="方正小标宋简体" w:eastAsia="方正小标宋简体" w:cs="方正小标宋简体"/>
          <w:spacing w:val="-6"/>
          <w:sz w:val="36"/>
          <w:szCs w:val="36"/>
        </w:rPr>
        <w:t>绩效自评工作考核评分表</w:t>
      </w:r>
    </w:p>
    <w:tbl>
      <w:tblPr>
        <w:tblStyle w:val="8"/>
        <w:tblW w:w="9941" w:type="dxa"/>
        <w:jc w:val="center"/>
        <w:tblLayout w:type="fixed"/>
        <w:tblCellMar>
          <w:top w:w="0" w:type="dxa"/>
          <w:left w:w="108" w:type="dxa"/>
          <w:bottom w:w="0" w:type="dxa"/>
          <w:right w:w="108" w:type="dxa"/>
        </w:tblCellMar>
      </w:tblPr>
      <w:tblGrid>
        <w:gridCol w:w="745"/>
        <w:gridCol w:w="1174"/>
        <w:gridCol w:w="5000"/>
        <w:gridCol w:w="3022"/>
      </w:tblGrid>
      <w:tr>
        <w:tblPrEx>
          <w:tblCellMar>
            <w:top w:w="0" w:type="dxa"/>
            <w:left w:w="108" w:type="dxa"/>
            <w:bottom w:w="0" w:type="dxa"/>
            <w:right w:w="108" w:type="dxa"/>
          </w:tblCellMar>
        </w:tblPrEx>
        <w:trPr>
          <w:tblHeader/>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一级指标</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二级指标</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评分标准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所需佐证材料</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布置工作</w:t>
            </w:r>
          </w:p>
          <w:p>
            <w:pPr>
              <w:spacing w:line="300" w:lineRule="exact"/>
              <w:jc w:val="center"/>
              <w:rPr>
                <w:rFonts w:hint="default" w:ascii="Times New Roman" w:hAnsi="Times New Roman" w:eastAsia="仿宋_GB2312" w:cs="Times New Roman"/>
                <w:sz w:val="20"/>
                <w:szCs w:val="20"/>
              </w:rPr>
            </w:pPr>
          </w:p>
          <w:p>
            <w:pPr>
              <w:spacing w:line="30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10分</w:t>
            </w: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自评通知</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（8分）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印发绩效自评通知的得2分，否则不得分。</w:t>
            </w:r>
          </w:p>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按照本规程规定，绩效自评通知包括自评范围、自评主要依据、自评主要内容、自评程序和步骤、有关要求等内容，并附有本通知要求的附件的，得6分；否则缺1项扣1分，最多扣6分。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绩效自评通知盖章的电子版</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工作小组</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成立绩效自评工作小组的得2分，否则不得分。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本部门、本单位预算绩效管理领导小组</w:t>
            </w:r>
            <w:r>
              <w:rPr>
                <w:rFonts w:hint="default" w:ascii="Times New Roman" w:hAnsi="Times New Roman" w:eastAsia="仿宋_GB2312" w:cs="Times New Roman"/>
                <w:spacing w:val="0"/>
                <w:sz w:val="20"/>
                <w:szCs w:val="20"/>
                <w:lang w:val="en-US" w:eastAsia="zh-CN"/>
              </w:rPr>
              <w:t>/</w:t>
            </w:r>
            <w:r>
              <w:rPr>
                <w:rFonts w:hint="default" w:ascii="Times New Roman" w:hAnsi="Times New Roman" w:eastAsia="仿宋_GB2312" w:cs="Times New Roman"/>
                <w:sz w:val="20"/>
                <w:szCs w:val="20"/>
              </w:rPr>
              <w:t>绩效评价工作小组</w:t>
            </w:r>
            <w:r>
              <w:rPr>
                <w:rFonts w:hint="default" w:ascii="Times New Roman" w:hAnsi="Times New Roman" w:eastAsia="仿宋_GB2312" w:cs="Times New Roman"/>
                <w:sz w:val="20"/>
                <w:szCs w:val="20"/>
                <w:lang w:eastAsia="zh-CN"/>
              </w:rPr>
              <w:t>有关</w:t>
            </w:r>
            <w:r>
              <w:rPr>
                <w:rFonts w:hint="default" w:ascii="Times New Roman" w:hAnsi="Times New Roman" w:eastAsia="仿宋_GB2312" w:cs="Times New Roman"/>
                <w:spacing w:val="0"/>
                <w:sz w:val="20"/>
                <w:szCs w:val="20"/>
              </w:rPr>
              <w:t>文件</w:t>
            </w:r>
            <w:r>
              <w:rPr>
                <w:rFonts w:hint="default" w:ascii="Times New Roman" w:hAnsi="Times New Roman" w:eastAsia="仿宋_GB2312" w:cs="Times New Roman"/>
                <w:sz w:val="20"/>
                <w:szCs w:val="20"/>
              </w:rPr>
              <w:t>盖章的电子版</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实施评价</w:t>
            </w:r>
          </w:p>
          <w:p>
            <w:pPr>
              <w:spacing w:line="300" w:lineRule="exact"/>
              <w:jc w:val="center"/>
              <w:rPr>
                <w:rFonts w:hint="default" w:ascii="Times New Roman" w:hAnsi="Times New Roman" w:eastAsia="仿宋_GB2312" w:cs="Times New Roman"/>
                <w:sz w:val="20"/>
                <w:szCs w:val="20"/>
              </w:rPr>
            </w:pP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单位自查</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eastAsia" w:ascii="Times New Roman" w:hAnsi="Times New Roman" w:eastAsia="仿宋_GB2312" w:cs="Times New Roman"/>
                <w:sz w:val="20"/>
                <w:szCs w:val="20"/>
                <w:lang w:eastAsia="zh-CN"/>
              </w:rPr>
              <w:t>市级</w:t>
            </w:r>
            <w:r>
              <w:rPr>
                <w:rFonts w:hint="default" w:ascii="Times New Roman" w:hAnsi="Times New Roman" w:eastAsia="仿宋_GB2312" w:cs="Times New Roman"/>
                <w:sz w:val="20"/>
                <w:szCs w:val="20"/>
              </w:rPr>
              <w:t>预算部门本级和所属单位都要开展绩效自查，转移支付项目单位都要开展绩效自查，</w:t>
            </w:r>
            <w:r>
              <w:rPr>
                <w:rFonts w:hint="eastAsia" w:ascii="Times New Roman" w:hAnsi="Times New Roman" w:eastAsia="仿宋_GB2312" w:cs="Times New Roman"/>
                <w:sz w:val="20"/>
                <w:szCs w:val="20"/>
                <w:lang w:eastAsia="zh-CN"/>
              </w:rPr>
              <w:t>县、区</w:t>
            </w:r>
            <w:r>
              <w:rPr>
                <w:rFonts w:hint="default" w:ascii="Times New Roman" w:hAnsi="Times New Roman" w:eastAsia="仿宋_GB2312" w:cs="Times New Roman"/>
                <w:sz w:val="20"/>
                <w:szCs w:val="20"/>
              </w:rPr>
              <w:t>级主管部门都要汇总本区域转移支付情况；以上各项每发现一个单位没有做相应工作的，扣1分，最多扣10分。</w:t>
            </w:r>
          </w:p>
        </w:tc>
        <w:tc>
          <w:tcPr>
            <w:tcW w:w="3022" w:type="dxa"/>
            <w:tcBorders>
              <w:top w:val="single" w:color="auto" w:sz="4" w:space="0"/>
              <w:left w:val="nil"/>
              <w:bottom w:val="single" w:color="auto" w:sz="4" w:space="0"/>
              <w:right w:val="single" w:color="auto" w:sz="4" w:space="0"/>
            </w:tcBorders>
            <w:noWrap w:val="0"/>
            <w:vAlign w:val="center"/>
          </w:tcPr>
          <w:p>
            <w:pPr>
              <w:numPr>
                <w:ilvl w:val="0"/>
                <w:numId w:val="4"/>
              </w:num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转移支付项目单位名称和资</w:t>
            </w:r>
            <w:r>
              <w:rPr>
                <w:rFonts w:hint="eastAsia" w:ascii="Times New Roman" w:hAnsi="Times New Roman" w:eastAsia="仿宋_GB2312" w:cs="Times New Roman"/>
                <w:sz w:val="20"/>
                <w:szCs w:val="20"/>
                <w:lang w:val="en-US" w:eastAsia="zh-CN"/>
              </w:rPr>
              <w:t xml:space="preserve"> </w:t>
            </w:r>
            <w:r>
              <w:rPr>
                <w:rFonts w:hint="default" w:ascii="Times New Roman" w:hAnsi="Times New Roman" w:eastAsia="仿宋_GB2312" w:cs="Times New Roman"/>
                <w:sz w:val="20"/>
                <w:szCs w:val="20"/>
              </w:rPr>
              <w:t>金情况清单</w:t>
            </w:r>
          </w:p>
          <w:p>
            <w:pPr>
              <w:numPr>
                <w:ilvl w:val="0"/>
                <w:numId w:val="4"/>
              </w:num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有转移支付资金的各</w:t>
            </w:r>
            <w:r>
              <w:rPr>
                <w:rFonts w:hint="eastAsia" w:ascii="Times New Roman" w:hAnsi="Times New Roman" w:eastAsia="仿宋_GB2312" w:cs="Times New Roman"/>
                <w:sz w:val="20"/>
                <w:szCs w:val="20"/>
                <w:lang w:eastAsia="zh-CN"/>
              </w:rPr>
              <w:t>县区</w:t>
            </w:r>
            <w:r>
              <w:rPr>
                <w:rFonts w:hint="default" w:ascii="Times New Roman" w:hAnsi="Times New Roman" w:eastAsia="仿宋_GB2312" w:cs="Times New Roman"/>
                <w:sz w:val="20"/>
                <w:szCs w:val="20"/>
              </w:rPr>
              <w:t>主管部门汇总情况的盖章PDF版　</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p>
        </w:tc>
        <w:tc>
          <w:tcPr>
            <w:tcW w:w="1174" w:type="dxa"/>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提交报告</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（10分）</w:t>
            </w:r>
          </w:p>
        </w:tc>
        <w:tc>
          <w:tcPr>
            <w:tcW w:w="8022" w:type="dxa"/>
            <w:gridSpan w:val="2"/>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按时向</w:t>
            </w:r>
            <w:r>
              <w:rPr>
                <w:rFonts w:hint="eastAsia" w:ascii="Times New Roman" w:hAnsi="Times New Roman" w:eastAsia="仿宋_GB2312" w:cs="Times New Roman"/>
                <w:sz w:val="20"/>
                <w:szCs w:val="20"/>
                <w:lang w:eastAsia="zh-CN"/>
              </w:rPr>
              <w:t>市财政局</w:t>
            </w:r>
            <w:r>
              <w:rPr>
                <w:rFonts w:hint="default" w:ascii="Times New Roman" w:hAnsi="Times New Roman" w:eastAsia="仿宋_GB2312" w:cs="Times New Roman"/>
                <w:sz w:val="20"/>
                <w:szCs w:val="20"/>
              </w:rPr>
              <w:t>报送报告的得10分；每推迟一个工作日报送报告的扣1分，最多扣10分。</w:t>
            </w:r>
          </w:p>
        </w:tc>
      </w:tr>
      <w:tr>
        <w:tblPrEx>
          <w:tblCellMar>
            <w:top w:w="0" w:type="dxa"/>
            <w:left w:w="108" w:type="dxa"/>
            <w:bottom w:w="0" w:type="dxa"/>
            <w:right w:w="108" w:type="dxa"/>
          </w:tblCellMar>
        </w:tblPrEx>
        <w:trPr>
          <w:trHeight w:val="740" w:hRule="atLeast"/>
          <w:jc w:val="center"/>
        </w:trPr>
        <w:tc>
          <w:tcPr>
            <w:tcW w:w="7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自评报告</w:t>
            </w:r>
          </w:p>
          <w:p>
            <w:pPr>
              <w:spacing w:line="300" w:lineRule="exact"/>
              <w:jc w:val="center"/>
              <w:rPr>
                <w:rFonts w:hint="default" w:ascii="Times New Roman" w:hAnsi="Times New Roman" w:eastAsia="仿宋_GB2312" w:cs="Times New Roman"/>
                <w:sz w:val="20"/>
                <w:szCs w:val="20"/>
              </w:rPr>
            </w:pP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70分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完整性</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绩效自评报告正文部分内容齐全的，得8分；否则每少一个部分扣2分，最多扣8分。</w:t>
            </w:r>
          </w:p>
          <w:p>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绩效自评报告附件部分内容齐全的，得7分；否则每少一个部分扣2分，最多扣7分。</w:t>
            </w:r>
          </w:p>
        </w:tc>
      </w:tr>
      <w:tr>
        <w:tblPrEx>
          <w:tblCellMar>
            <w:top w:w="0" w:type="dxa"/>
            <w:left w:w="108" w:type="dxa"/>
            <w:bottom w:w="0" w:type="dxa"/>
            <w:right w:w="108" w:type="dxa"/>
          </w:tblCellMar>
        </w:tblPrEx>
        <w:trPr>
          <w:trHeight w:val="2143"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绩效</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自评表</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1、部门整体支出和项目支出绩效指标反映产出、效益、服务对象满意度方面的指标和预算执行率的权重符合《</w:t>
            </w:r>
            <w:r>
              <w:rPr>
                <w:rFonts w:hint="eastAsia" w:ascii="Times New Roman" w:hAnsi="Times New Roman" w:eastAsia="仿宋_GB2312" w:cs="Times New Roman"/>
                <w:sz w:val="20"/>
                <w:szCs w:val="20"/>
                <w:lang w:eastAsia="zh-CN"/>
              </w:rPr>
              <w:t>岳阳市市级</w:t>
            </w:r>
            <w:r>
              <w:rPr>
                <w:rFonts w:hint="default" w:ascii="Times New Roman" w:hAnsi="Times New Roman" w:eastAsia="仿宋_GB2312" w:cs="Times New Roman"/>
                <w:sz w:val="20"/>
                <w:szCs w:val="20"/>
              </w:rPr>
              <w:t>预算部门绩效自评操作规程》要求的，得5分，否则按比例扣除相应的分数。</w:t>
            </w:r>
          </w:p>
          <w:p>
            <w:pPr>
              <w:spacing w:line="240" w:lineRule="auto"/>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部门整体支出和项目支出绩效指标全部细化到三级指标的，得5分；部分细化的，酌情扣分；没有细化的，不得分。</w:t>
            </w:r>
          </w:p>
          <w:p>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3</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部门整体支出和项目支出三级绩效指标内涵明确、具体、可衡量的得5分；突出核心指标，精简实用的得3分；指标与部门整体支出和项目支出密切相关，全面反映产出和效益的得2分；否则，每项酌情扣分，最多扣10分。</w:t>
            </w:r>
          </w:p>
        </w:tc>
      </w:tr>
      <w:tr>
        <w:tblPrEx>
          <w:tblCellMar>
            <w:top w:w="0" w:type="dxa"/>
            <w:left w:w="108" w:type="dxa"/>
            <w:bottom w:w="0" w:type="dxa"/>
            <w:right w:w="108" w:type="dxa"/>
          </w:tblCellMar>
        </w:tblPrEx>
        <w:trPr>
          <w:trHeight w:val="119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p>
        </w:tc>
        <w:tc>
          <w:tcPr>
            <w:tcW w:w="1174"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cs="Times New Roman"/>
              </w:rPr>
            </w:pPr>
          </w:p>
          <w:p>
            <w:pPr>
              <w:spacing w:line="240" w:lineRule="auto"/>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反映问</w:t>
            </w:r>
          </w:p>
          <w:p>
            <w:pPr>
              <w:spacing w:line="240" w:lineRule="auto"/>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题情况</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从预算和预算绩效管理，部门履职效能，资金分配、使用和管理，资产和财务管理，政府采购等方面归纳问题、分析原因全面的，得20分；反映问题、分析原因较全面的，得16—18分；反映问题、分析原因不全面的，得13—15分；问题未归纳且过于简单的，得10—12分；只提出资金不足问题的不得分；其他情况酌情扣分。　</w:t>
            </w:r>
          </w:p>
        </w:tc>
      </w:tr>
      <w:tr>
        <w:tblPrEx>
          <w:tblCellMar>
            <w:top w:w="0" w:type="dxa"/>
            <w:left w:w="108" w:type="dxa"/>
            <w:bottom w:w="0" w:type="dxa"/>
            <w:right w:w="108" w:type="dxa"/>
          </w:tblCellMar>
        </w:tblPrEx>
        <w:trPr>
          <w:trHeight w:val="62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建议情况</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建议与问题对应且全面的得15分，建议比较全面的得12—14分，建议不全面的得9—11分，建议过于简单的得6—8分，只提出加大资金投入建议的不得分；其他情况酌情扣分。</w:t>
            </w:r>
          </w:p>
        </w:tc>
      </w:tr>
      <w:tr>
        <w:tblPrEx>
          <w:tblCellMar>
            <w:top w:w="0" w:type="dxa"/>
            <w:left w:w="108" w:type="dxa"/>
            <w:bottom w:w="0" w:type="dxa"/>
            <w:right w:w="108" w:type="dxa"/>
          </w:tblCellMar>
        </w:tblPrEx>
        <w:trPr>
          <w:trHeight w:val="495" w:hRule="atLeast"/>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合计</w:t>
            </w:r>
          </w:p>
        </w:tc>
        <w:tc>
          <w:tcPr>
            <w:tcW w:w="117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100分</w:t>
            </w:r>
          </w:p>
        </w:tc>
        <w:tc>
          <w:tcPr>
            <w:tcW w:w="8022"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footerReference r:id="rId3" w:type="default"/>
      <w:pgSz w:w="11906" w:h="16838"/>
      <w:pgMar w:top="1587" w:right="1587" w:bottom="1587" w:left="1587" w:header="851" w:footer="992" w:gutter="0"/>
      <w:pgNumType w:fmt="decimal"/>
      <w:cols w:space="720" w:num="1"/>
      <w:rtlGutter w:val="0"/>
      <w:docGrid w:type="lines" w:linePitch="3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82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LK+nM7gAQAAwQMAAA4AAAAA&#10;AAAAAQAgAAAAHgEAAGRycy9lMm9Eb2MueG1sUEsFBgAAAAAGAAYAWQEAAHAFAAAAAA==&#10;">
              <v:fill on="f" focussize="0,0"/>
              <v:stroke on="f"/>
              <v:imagedata o:title=""/>
              <o:lock v:ext="edit" aspectratio="f"/>
              <v:textbox inset="0mm,0mm,0mm,0mm" style="mso-fit-shape-to-text:t;">
                <w:txbxContent>
                  <w:p>
                    <w:pPr>
                      <w:pStyle w:val="5"/>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6EE791"/>
    <w:multiLevelType w:val="singleLevel"/>
    <w:tmpl w:val="A26EE791"/>
    <w:lvl w:ilvl="0" w:tentative="0">
      <w:start w:val="5"/>
      <w:numFmt w:val="chineseCounting"/>
      <w:suff w:val="nothing"/>
      <w:lvlText w:val="%1、"/>
      <w:lvlJc w:val="left"/>
      <w:rPr>
        <w:rFonts w:hint="eastAsia"/>
      </w:rPr>
    </w:lvl>
  </w:abstractNum>
  <w:abstractNum w:abstractNumId="1">
    <w:nsid w:val="E47266DA"/>
    <w:multiLevelType w:val="singleLevel"/>
    <w:tmpl w:val="E47266DA"/>
    <w:lvl w:ilvl="0" w:tentative="0">
      <w:start w:val="1"/>
      <w:numFmt w:val="chineseCounting"/>
      <w:suff w:val="nothing"/>
      <w:lvlText w:val="%1、"/>
      <w:lvlJc w:val="left"/>
      <w:rPr>
        <w:rFonts w:hint="eastAsia"/>
      </w:rPr>
    </w:lvl>
  </w:abstractNum>
  <w:abstractNum w:abstractNumId="2">
    <w:nsid w:val="FF3D7EEC"/>
    <w:multiLevelType w:val="singleLevel"/>
    <w:tmpl w:val="FF3D7EEC"/>
    <w:lvl w:ilvl="0" w:tentative="0">
      <w:start w:val="8"/>
      <w:numFmt w:val="chineseCounting"/>
      <w:suff w:val="nothing"/>
      <w:lvlText w:val="%1、"/>
      <w:lvlJc w:val="left"/>
      <w:rPr>
        <w:rFonts w:hint="eastAsia"/>
      </w:rPr>
    </w:lvl>
  </w:abstractNum>
  <w:abstractNum w:abstractNumId="3">
    <w:nsid w:val="5DDF8822"/>
    <w:multiLevelType w:val="singleLevel"/>
    <w:tmpl w:val="5DDF8822"/>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95"/>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zMmYxOTY5YTJkYjFmMjY1NTQ4Y2ZiYzQ4YzQ4ZjEifQ=="/>
  </w:docVars>
  <w:rsids>
    <w:rsidRoot w:val="CCFF8E41"/>
    <w:rsid w:val="02D13AA8"/>
    <w:rsid w:val="046B4C58"/>
    <w:rsid w:val="06494230"/>
    <w:rsid w:val="0661708D"/>
    <w:rsid w:val="088F103C"/>
    <w:rsid w:val="0C0F0642"/>
    <w:rsid w:val="0C233266"/>
    <w:rsid w:val="0C5D5C14"/>
    <w:rsid w:val="0F5B463D"/>
    <w:rsid w:val="14245BD8"/>
    <w:rsid w:val="15732C83"/>
    <w:rsid w:val="159348F7"/>
    <w:rsid w:val="16E26839"/>
    <w:rsid w:val="16FE78F1"/>
    <w:rsid w:val="17F7788B"/>
    <w:rsid w:val="1A893CD4"/>
    <w:rsid w:val="206F5F60"/>
    <w:rsid w:val="21316710"/>
    <w:rsid w:val="21EB477C"/>
    <w:rsid w:val="2502737B"/>
    <w:rsid w:val="263867A8"/>
    <w:rsid w:val="27744E56"/>
    <w:rsid w:val="283D0BF4"/>
    <w:rsid w:val="28475DF4"/>
    <w:rsid w:val="29082D4B"/>
    <w:rsid w:val="2A3049B2"/>
    <w:rsid w:val="2A6227AB"/>
    <w:rsid w:val="2AD76BDC"/>
    <w:rsid w:val="2AFE685E"/>
    <w:rsid w:val="2B1144D8"/>
    <w:rsid w:val="2C4B14B4"/>
    <w:rsid w:val="2EB80FBF"/>
    <w:rsid w:val="2F5E167A"/>
    <w:rsid w:val="30F009F7"/>
    <w:rsid w:val="34710C09"/>
    <w:rsid w:val="353C5801"/>
    <w:rsid w:val="36502E7E"/>
    <w:rsid w:val="37585548"/>
    <w:rsid w:val="37E02EF0"/>
    <w:rsid w:val="37FC7C58"/>
    <w:rsid w:val="3ABF0799"/>
    <w:rsid w:val="3D015878"/>
    <w:rsid w:val="3E111FAD"/>
    <w:rsid w:val="3E4E3D05"/>
    <w:rsid w:val="3E69364E"/>
    <w:rsid w:val="3F5F4FF7"/>
    <w:rsid w:val="414245DE"/>
    <w:rsid w:val="42100EF9"/>
    <w:rsid w:val="428E6E5F"/>
    <w:rsid w:val="49DC7913"/>
    <w:rsid w:val="4B1936C2"/>
    <w:rsid w:val="4B493125"/>
    <w:rsid w:val="4DBF37D4"/>
    <w:rsid w:val="4F916E36"/>
    <w:rsid w:val="4F9F1B0F"/>
    <w:rsid w:val="50BA5D8C"/>
    <w:rsid w:val="518A74AB"/>
    <w:rsid w:val="552705DC"/>
    <w:rsid w:val="567E2A11"/>
    <w:rsid w:val="58F702C5"/>
    <w:rsid w:val="59590A7F"/>
    <w:rsid w:val="5A6174A5"/>
    <w:rsid w:val="5AF0176D"/>
    <w:rsid w:val="5FDF9D25"/>
    <w:rsid w:val="62A3501A"/>
    <w:rsid w:val="62E21267"/>
    <w:rsid w:val="63CD3EDB"/>
    <w:rsid w:val="653B778C"/>
    <w:rsid w:val="653D3504"/>
    <w:rsid w:val="66920EF0"/>
    <w:rsid w:val="697A54D9"/>
    <w:rsid w:val="6AF827CC"/>
    <w:rsid w:val="6B1E1382"/>
    <w:rsid w:val="6C4F49D6"/>
    <w:rsid w:val="6DBE2B44"/>
    <w:rsid w:val="6F6A0C6D"/>
    <w:rsid w:val="6F7540DD"/>
    <w:rsid w:val="711C21CF"/>
    <w:rsid w:val="71294509"/>
    <w:rsid w:val="725F3101"/>
    <w:rsid w:val="72F652A6"/>
    <w:rsid w:val="7315161C"/>
    <w:rsid w:val="78AE7934"/>
    <w:rsid w:val="7B8437E3"/>
    <w:rsid w:val="7C7331AD"/>
    <w:rsid w:val="7DDF84BA"/>
    <w:rsid w:val="7EA429DF"/>
    <w:rsid w:val="7F726DF2"/>
    <w:rsid w:val="7F9B7D6E"/>
    <w:rsid w:val="7FF65C39"/>
    <w:rsid w:val="B57639E9"/>
    <w:rsid w:val="B7DFD28A"/>
    <w:rsid w:val="CCFF8E41"/>
    <w:rsid w:val="F7FB0F6A"/>
    <w:rsid w:val="FB0FB09A"/>
    <w:rsid w:val="FB7F71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宋体" w:cs="Times New Roman"/>
      <w:kern w:val="0"/>
      <w:sz w:val="28"/>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qFormat/>
    <w:uiPriority w:val="0"/>
    <w:pPr>
      <w:ind w:left="1680" w:leftChars="800"/>
    </w:pPr>
  </w:style>
  <w:style w:type="paragraph" w:styleId="4">
    <w:name w:val="Normal Indent"/>
    <w:basedOn w:val="1"/>
    <w:qFormat/>
    <w:uiPriority w:val="0"/>
    <w:pPr>
      <w:ind w:firstLine="200" w:firstLineChars="200"/>
    </w:pPr>
    <w:rPr>
      <w:rFonts w:ascii="Calibri" w:hAnsi="Calibri" w:eastAsia="宋体" w:cs="宋体"/>
      <w:kern w:val="2"/>
      <w:sz w:val="21"/>
      <w:szCs w:val="24"/>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99"/>
    <w:pPr>
      <w:spacing w:line="432" w:lineRule="auto"/>
      <w:jc w:val="left"/>
    </w:pPr>
    <w:rPr>
      <w:kern w:val="0"/>
      <w:sz w:val="24"/>
      <w:szCs w:val="24"/>
    </w:rPr>
  </w:style>
  <w:style w:type="paragraph" w:customStyle="1" w:styleId="10">
    <w:name w:val="列出段落1"/>
    <w:basedOn w:val="1"/>
    <w:qFormat/>
    <w:uiPriority w:val="34"/>
    <w:pPr>
      <w:ind w:firstLine="420" w:firstLineChars="200"/>
    </w:pPr>
  </w:style>
  <w:style w:type="paragraph" w:styleId="11">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4952</Words>
  <Characters>5329</Characters>
  <Lines>0</Lines>
  <Paragraphs>0</Paragraphs>
  <TotalTime>12</TotalTime>
  <ScaleCrop>false</ScaleCrop>
  <LinksUpToDate>false</LinksUpToDate>
  <CharactersWithSpaces>5511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2023-05-13T09:09:00Z</dcterms:created>
  <dc:creator>yyadmin</dc:creator>
  <cp:lastModifiedBy>Administrator</cp:lastModifiedBy>
  <cp:lastPrinted>2023-07-10T04:39:00Z</cp:lastPrinted>
  <dcterms:modified xsi:type="dcterms:W3CDTF">2023-10-31T01:28:26Z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4EE28B277C1B4E9B83AB54F35307C1B7_13</vt:lpwstr>
  </property>
</Properties>
</file>