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</w:t>
      </w:r>
      <w:r>
        <w:rPr>
          <w:rFonts w:hint="eastAsia" w:eastAsia="仿宋_GB2312"/>
          <w:sz w:val="32"/>
          <w:u w:val="single"/>
          <w:lang w:eastAsia="zh-CN"/>
        </w:rPr>
        <w:t>环境监控、监测及监察能力建设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</w:t>
      </w:r>
      <w:r>
        <w:rPr>
          <w:rFonts w:hint="eastAsia" w:eastAsia="仿宋_GB2312"/>
          <w:sz w:val="32"/>
          <w:u w:val="single"/>
        </w:rPr>
        <w:t xml:space="preserve">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岳阳市生态环境局屈原分局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</w:t>
      </w:r>
      <w:r>
        <w:rPr>
          <w:rFonts w:hint="eastAsia" w:eastAsia="仿宋_GB2312"/>
          <w:sz w:val="32"/>
          <w:u w:val="single"/>
        </w:rPr>
        <w:t xml:space="preserve">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岳阳市生态环境局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</w:t>
      </w:r>
      <w:r>
        <w:rPr>
          <w:rFonts w:hint="eastAsia" w:eastAsia="仿宋_GB2312"/>
          <w:sz w:val="32"/>
          <w:u w:val="single"/>
        </w:rPr>
        <w:t xml:space="preserve">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</w:t>
      </w:r>
      <w:r>
        <w:rPr>
          <w:rFonts w:hint="eastAsia" w:eastAsia="仿宋_GB2312"/>
          <w:sz w:val="32"/>
          <w:u w:val="single"/>
        </w:rPr>
        <w:t xml:space="preserve">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 xml:space="preserve"> 2023  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 xml:space="preserve">   6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 xml:space="preserve"> 28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602"/>
        <w:gridCol w:w="1598"/>
        <w:gridCol w:w="321"/>
        <w:gridCol w:w="413"/>
        <w:gridCol w:w="307"/>
        <w:gridCol w:w="585"/>
        <w:gridCol w:w="762"/>
        <w:gridCol w:w="409"/>
        <w:gridCol w:w="141"/>
        <w:gridCol w:w="467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方强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13637305746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岳阳市屈原管理区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1" w:type="dxa"/>
            <w:gridSpan w:val="12"/>
            <w:vAlign w:val="center"/>
          </w:tcPr>
          <w:p>
            <w:pPr>
              <w:ind w:firstLine="1190" w:firstLineChars="496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2022年1月1日起至20222年12月31日止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25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25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二</w:t>
            </w:r>
            <w:r>
              <w:rPr>
                <w:rFonts w:hint="eastAsia" w:eastAsia="仿宋_GB2312"/>
                <w:b/>
                <w:sz w:val="24"/>
              </w:rPr>
              <w:t>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</w:rPr>
              <w:t>全面加强环境执法监管，提高环境监测、监察及监控能力方面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已完成预期目标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79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59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5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生态环保整改任务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10项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我区“夏季攻势”共有7大项21小项任务，已全部完成整改销号。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8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入河排污口监察整治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14个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入河排污口整治方面，将我区46个长江入河排口，通过排查整治，清理合并14个。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环境信访受理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78件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受理各类信访投诉78件，处理率、回访满意率均为100%，有效维护了人民群众的环境权益。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生态环保整改完成率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入河排污口监察率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生态环境巡查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/>
              </w:rPr>
              <w:t>一月一次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按计划完成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环境信访受理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/>
              </w:rPr>
              <w:t>全年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按计划完成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成本控制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  <w:t>工作经费和专项治理经费按要求控制在预算内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执行率为100%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598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改善辖区环境质量及群众生产生活环境，达到环境质量控制目标。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促进环境质量认知度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有可持续影响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98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62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社会反响良好</w:t>
            </w:r>
          </w:p>
        </w:tc>
        <w:tc>
          <w:tcPr>
            <w:tcW w:w="13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群众满意率上升到95%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大于等于9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319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319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三</w:t>
            </w:r>
            <w:r>
              <w:rPr>
                <w:rFonts w:hint="eastAsia" w:eastAsia="仿宋_GB2312"/>
                <w:b/>
                <w:sz w:val="24"/>
              </w:rPr>
              <w:t>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方强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副局长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岳阳市生态环境局屈原分局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柳新辉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办公室主任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岳阳市生态环境局屈原分局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黄娟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会计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岳阳市生态环境局屈原分局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按年初目标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  <w:lang w:val="en-US" w:eastAsia="zh-CN"/>
              </w:rPr>
              <w:t>，如期超质量完成任务，绩效考评为优秀。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tabs>
                <w:tab w:val="left" w:pos="6678"/>
              </w:tabs>
              <w:spacing w:line="440" w:lineRule="exact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ab/>
            </w:r>
            <w:r>
              <w:rPr>
                <w:rFonts w:hint="eastAsia" w:eastAsia="仿宋_GB2312"/>
                <w:sz w:val="24"/>
                <w:lang w:val="en-US" w:eastAsia="zh-CN"/>
              </w:rPr>
              <w:t>2023年6月28日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黄娟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15575068909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eastAsia="仿宋_GB2312"/>
                <w:b/>
                <w:bCs/>
                <w:sz w:val="28"/>
                <w:szCs w:val="28"/>
              </w:rPr>
              <w:t>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ind w:firstLine="560" w:firstLineChars="200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坚持问题导向、突出整治重点，全面打好打赢各项污染防治攻坚战，顺利开展了“利剑”专项整治行动、大气污染防治“特护期”攻坚，完成了2022年生态环境保护各项目标任务。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本项目申报资金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万元，202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年财政实际拨付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万元，项目实际支出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 xml:space="preserve">万元，结余0万元。 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坚持将推进污染防治攻坚“夏季攻势”、“5+1”专项督查整改摆在全局工作的突出位置，坚持“一个问题、一名领导、一套方案、一抓到底”，实行挂图作战、时间倒排、任务倒排，严格落实“一月一督查、一月一通报”等制度，截止11月16日，我区“夏季攻势”共有7大项21小项任务，已全部完成整改销号。一批生态环境重点任务如期完成，有力地改善了区域环境质量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  <w:t>入河排污口整治方面，将我区46个长江入河排口，通过排查整治，清理合并14个。分局纳入整治清单的2个饮用水源地，凤凰乡横港自来水厂已进行了封井，并取得了市人民政府关于同意取消该饮用水源保护区的批复；河市供水二厂的整改工作已全面完成，两个饮用水源地的整改工作均已于7月底前全面销号，并于10月底完成了重点民生实事项目年终核查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综合评价情况及评价结论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  <w:t>本单</w:t>
            </w:r>
            <w:r>
              <w:rPr>
                <w:rFonts w:hint="eastAsia" w:ascii="楷体_GB2312" w:hAnsi="楷体_GB2312" w:eastAsia="楷体_GB2312" w:cs="楷体_GB2312"/>
                <w:bCs/>
                <w:kern w:val="2"/>
                <w:sz w:val="28"/>
                <w:szCs w:val="28"/>
                <w:lang w:val="en-US" w:eastAsia="zh-CN" w:bidi="ar-SA"/>
              </w:rPr>
              <w:t>位及时</w:t>
            </w:r>
            <w:r>
              <w:rPr>
                <w:rFonts w:hint="eastAsia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  <w:t>发现问题，处理问题，全面加强环境执法监管，提高环境监测、监察及监控能力方面；对平江河水环境综合治理项目，督促业主单位加快实施，切实履行监管部门职责，争取年底完成主要建设内容。加快推进营田镇湘江流域水环境综合治理。紧密跟踪营田镇污水处理厂尾水治理、屈原管理区农村生活污水治理等重点项目，推动尽快落地实施。各部门切实履职尽责，细化量化工作措施、通力协作，形成了齐抓共管生态环境保护工作的合力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（五）项目主要绩效情况分析</w:t>
            </w:r>
          </w:p>
          <w:p>
            <w:pPr>
              <w:ind w:firstLine="560" w:firstLineChars="200"/>
              <w:rPr>
                <w:rFonts w:hint="default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  <w:t>主要工作推进情况：1、坚持推进污染防治专项督查整改；2、突出抓好环境综合治理；3、受理各类信访，投诉处理率、回访满意率均为100%。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（六）主要经验及做法、存在问题和建议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认真贯彻执行财政资金政策，充分发挥项目资金在环境保护、经济发展和社会和谐中的杠杆作用，取到了良好效果。但还存在环境监管能力不够强、执法水平不够高、排查工作不够细、推进工作不够快等短板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。在今后的工作中，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将做好以下重点工作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：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、加强财务管理，严格财务审批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做到专款专用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2、注重部门协作，增强工作合力；3、发挥资金的引导功能，发挥项目资金实效，争取环境效益最大化；4、突出抓好清廉单元建设。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AAAC82"/>
    <w:multiLevelType w:val="singleLevel"/>
    <w:tmpl w:val="CFAAAC82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6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3"/>
  <w:drawingGridVerticalSpacing w:val="30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zMmYxOTY5YTJkYjFmMjY1NTQ4Y2ZiYzQ4YzQ4ZjE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31B7EC3"/>
    <w:rsid w:val="03F81946"/>
    <w:rsid w:val="04723566"/>
    <w:rsid w:val="04EA2C78"/>
    <w:rsid w:val="07532D57"/>
    <w:rsid w:val="08321B5D"/>
    <w:rsid w:val="086957D3"/>
    <w:rsid w:val="08806C9E"/>
    <w:rsid w:val="092C1F5D"/>
    <w:rsid w:val="099F6F75"/>
    <w:rsid w:val="09BB340E"/>
    <w:rsid w:val="09D46F84"/>
    <w:rsid w:val="0A0B2BA1"/>
    <w:rsid w:val="0AAF0CDE"/>
    <w:rsid w:val="0AE97DD7"/>
    <w:rsid w:val="0B0B3459"/>
    <w:rsid w:val="0B1F3FDB"/>
    <w:rsid w:val="0BA6031D"/>
    <w:rsid w:val="0BCC4C65"/>
    <w:rsid w:val="0BEF049C"/>
    <w:rsid w:val="0C1426AD"/>
    <w:rsid w:val="0C545261"/>
    <w:rsid w:val="0CB31362"/>
    <w:rsid w:val="0CD27968"/>
    <w:rsid w:val="0D005B4E"/>
    <w:rsid w:val="0E875A86"/>
    <w:rsid w:val="0EC753DD"/>
    <w:rsid w:val="10371B3F"/>
    <w:rsid w:val="10ED4807"/>
    <w:rsid w:val="111C4602"/>
    <w:rsid w:val="11751C07"/>
    <w:rsid w:val="11E64743"/>
    <w:rsid w:val="13013117"/>
    <w:rsid w:val="130C5B6F"/>
    <w:rsid w:val="139A36C9"/>
    <w:rsid w:val="13C92844"/>
    <w:rsid w:val="13FD6BA3"/>
    <w:rsid w:val="16C26394"/>
    <w:rsid w:val="17A43566"/>
    <w:rsid w:val="17D62449"/>
    <w:rsid w:val="18166C57"/>
    <w:rsid w:val="19995198"/>
    <w:rsid w:val="1A061399"/>
    <w:rsid w:val="1A816D32"/>
    <w:rsid w:val="1B451F82"/>
    <w:rsid w:val="1BC17DD9"/>
    <w:rsid w:val="1D5875E2"/>
    <w:rsid w:val="20C05FEB"/>
    <w:rsid w:val="2150117A"/>
    <w:rsid w:val="230663AE"/>
    <w:rsid w:val="234356F6"/>
    <w:rsid w:val="234D11AE"/>
    <w:rsid w:val="248B0D70"/>
    <w:rsid w:val="24F47A9F"/>
    <w:rsid w:val="25362417"/>
    <w:rsid w:val="26910987"/>
    <w:rsid w:val="27831DEA"/>
    <w:rsid w:val="27F33C7F"/>
    <w:rsid w:val="282F1E8B"/>
    <w:rsid w:val="28B453D5"/>
    <w:rsid w:val="28B501B6"/>
    <w:rsid w:val="29333BE2"/>
    <w:rsid w:val="29381B9B"/>
    <w:rsid w:val="29920A20"/>
    <w:rsid w:val="29FF3454"/>
    <w:rsid w:val="2A024927"/>
    <w:rsid w:val="2AC038F1"/>
    <w:rsid w:val="2AE20F52"/>
    <w:rsid w:val="2AE422B4"/>
    <w:rsid w:val="2B571D3D"/>
    <w:rsid w:val="2E124D4B"/>
    <w:rsid w:val="2EF5165B"/>
    <w:rsid w:val="2FA75A19"/>
    <w:rsid w:val="2FAB3B39"/>
    <w:rsid w:val="30096031"/>
    <w:rsid w:val="31B47AAC"/>
    <w:rsid w:val="32F61BFE"/>
    <w:rsid w:val="33D81965"/>
    <w:rsid w:val="33FB79C4"/>
    <w:rsid w:val="35327B23"/>
    <w:rsid w:val="3547731A"/>
    <w:rsid w:val="35AF423C"/>
    <w:rsid w:val="365D4CE4"/>
    <w:rsid w:val="3662489D"/>
    <w:rsid w:val="366375D2"/>
    <w:rsid w:val="379B40A4"/>
    <w:rsid w:val="38AF309F"/>
    <w:rsid w:val="3B681D67"/>
    <w:rsid w:val="3CC6041E"/>
    <w:rsid w:val="3DB14044"/>
    <w:rsid w:val="3E446A1F"/>
    <w:rsid w:val="407229FE"/>
    <w:rsid w:val="41016AB0"/>
    <w:rsid w:val="41DB497A"/>
    <w:rsid w:val="432C3BF6"/>
    <w:rsid w:val="456A3C81"/>
    <w:rsid w:val="456F6819"/>
    <w:rsid w:val="471A1161"/>
    <w:rsid w:val="47AC402E"/>
    <w:rsid w:val="480E23EA"/>
    <w:rsid w:val="488C1A5A"/>
    <w:rsid w:val="497A5C9E"/>
    <w:rsid w:val="4A921CA8"/>
    <w:rsid w:val="4B0D129B"/>
    <w:rsid w:val="4C150F77"/>
    <w:rsid w:val="4CAD6623"/>
    <w:rsid w:val="4CC47888"/>
    <w:rsid w:val="4D78026E"/>
    <w:rsid w:val="4F0A0126"/>
    <w:rsid w:val="4F5E49F3"/>
    <w:rsid w:val="4FC86BB2"/>
    <w:rsid w:val="4FDF32BD"/>
    <w:rsid w:val="50770BDE"/>
    <w:rsid w:val="51110E1C"/>
    <w:rsid w:val="51574B32"/>
    <w:rsid w:val="518665EC"/>
    <w:rsid w:val="52CB6318"/>
    <w:rsid w:val="531A0AE1"/>
    <w:rsid w:val="53810CBC"/>
    <w:rsid w:val="543D24FB"/>
    <w:rsid w:val="54D01A26"/>
    <w:rsid w:val="54DA5AFE"/>
    <w:rsid w:val="54E96D2E"/>
    <w:rsid w:val="55737069"/>
    <w:rsid w:val="55742F2F"/>
    <w:rsid w:val="55C331B7"/>
    <w:rsid w:val="55CC7CA4"/>
    <w:rsid w:val="57D24C11"/>
    <w:rsid w:val="59876B61"/>
    <w:rsid w:val="5A8E583E"/>
    <w:rsid w:val="5C771920"/>
    <w:rsid w:val="5DD123FC"/>
    <w:rsid w:val="5DE825D6"/>
    <w:rsid w:val="5E153581"/>
    <w:rsid w:val="5F681F1D"/>
    <w:rsid w:val="6022537E"/>
    <w:rsid w:val="604844AC"/>
    <w:rsid w:val="60617302"/>
    <w:rsid w:val="60BE5BFB"/>
    <w:rsid w:val="60FF1D56"/>
    <w:rsid w:val="615F2210"/>
    <w:rsid w:val="62616160"/>
    <w:rsid w:val="639F5900"/>
    <w:rsid w:val="64452A14"/>
    <w:rsid w:val="647F431B"/>
    <w:rsid w:val="656715B4"/>
    <w:rsid w:val="658658CD"/>
    <w:rsid w:val="6596001E"/>
    <w:rsid w:val="65D43BF4"/>
    <w:rsid w:val="67A24393"/>
    <w:rsid w:val="689D49C6"/>
    <w:rsid w:val="6A535F74"/>
    <w:rsid w:val="6B7E1985"/>
    <w:rsid w:val="6E394A98"/>
    <w:rsid w:val="6E81656F"/>
    <w:rsid w:val="6ED872FF"/>
    <w:rsid w:val="6F642AF4"/>
    <w:rsid w:val="70796201"/>
    <w:rsid w:val="720D5929"/>
    <w:rsid w:val="722B2CC2"/>
    <w:rsid w:val="7261193B"/>
    <w:rsid w:val="74AF008E"/>
    <w:rsid w:val="759A216F"/>
    <w:rsid w:val="77253503"/>
    <w:rsid w:val="77444BC6"/>
    <w:rsid w:val="7762008D"/>
    <w:rsid w:val="777A7FD6"/>
    <w:rsid w:val="779E30CB"/>
    <w:rsid w:val="7801100A"/>
    <w:rsid w:val="78592FD3"/>
    <w:rsid w:val="78875A40"/>
    <w:rsid w:val="79C618C2"/>
    <w:rsid w:val="7ACE4250"/>
    <w:rsid w:val="7B09056F"/>
    <w:rsid w:val="7BC307D9"/>
    <w:rsid w:val="7C4A40EA"/>
    <w:rsid w:val="7D102939"/>
    <w:rsid w:val="7DEF2DD8"/>
    <w:rsid w:val="7EA06D55"/>
    <w:rsid w:val="7F0A3C90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ody Text Indent 2"/>
    <w:basedOn w:val="1"/>
    <w:link w:val="14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Balloon Text"/>
    <w:basedOn w:val="1"/>
    <w:link w:val="17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sz w:val="18"/>
      <w:szCs w:val="18"/>
    </w:rPr>
  </w:style>
  <w:style w:type="character" w:customStyle="1" w:styleId="12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3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4">
    <w:name w:val="正文文本缩进 2 字符"/>
    <w:basedOn w:val="8"/>
    <w:link w:val="3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5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7">
    <w:name w:val="批注框文本 字符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5239</Words>
  <Characters>5497</Characters>
  <Lines>47</Lines>
  <Paragraphs>13</Paragraphs>
  <TotalTime>0</TotalTime>
  <ScaleCrop>false</ScaleCrop>
  <LinksUpToDate>false</LinksUpToDate>
  <CharactersWithSpaces>6078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Administrator</cp:lastModifiedBy>
  <cp:lastPrinted>2021-06-25T03:03:00Z</cp:lastPrinted>
  <dcterms:modified xsi:type="dcterms:W3CDTF">2023-10-31T01:26:57Z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E9AB61422BA345C6B3FEB1316985C953</vt:lpwstr>
  </property>
</Properties>
</file>