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hint="default" w:eastAsia="方正小标宋简体"/>
          <w:bCs/>
          <w:color w:val="auto"/>
          <w:sz w:val="42"/>
          <w:szCs w:val="42"/>
          <w:lang w:val="en-US" w:eastAsia="zh-CN"/>
        </w:rPr>
      </w:pPr>
      <w:r>
        <w:rPr>
          <w:rFonts w:hint="eastAsia" w:eastAsia="方正小标宋简体"/>
          <w:bCs/>
          <w:color w:val="auto"/>
          <w:sz w:val="42"/>
          <w:szCs w:val="42"/>
          <w:lang w:eastAsia="zh-CN"/>
        </w:rPr>
        <w:t>附件</w:t>
      </w:r>
      <w:r>
        <w:rPr>
          <w:rFonts w:hint="eastAsia" w:eastAsia="方正小标宋简体"/>
          <w:bCs/>
          <w:color w:val="auto"/>
          <w:sz w:val="42"/>
          <w:szCs w:val="42"/>
          <w:lang w:val="en-US" w:eastAsia="zh-CN"/>
        </w:rPr>
        <w:t>2</w:t>
      </w:r>
    </w:p>
    <w:p>
      <w:pPr>
        <w:spacing w:line="800" w:lineRule="exact"/>
        <w:jc w:val="center"/>
        <w:rPr>
          <w:rFonts w:hint="eastAsia" w:eastAsia="方正小标宋简体"/>
          <w:bCs/>
          <w:color w:val="auto"/>
          <w:sz w:val="46"/>
          <w:szCs w:val="46"/>
        </w:rPr>
      </w:pPr>
    </w:p>
    <w:p>
      <w:pPr>
        <w:spacing w:line="800" w:lineRule="exact"/>
        <w:jc w:val="center"/>
        <w:rPr>
          <w:rFonts w:eastAsia="方正小标宋简体"/>
          <w:bCs/>
          <w:color w:val="auto"/>
          <w:sz w:val="46"/>
          <w:szCs w:val="46"/>
        </w:rPr>
      </w:pPr>
      <w:r>
        <w:rPr>
          <w:rFonts w:hint="eastAsia" w:eastAsia="方正小标宋简体"/>
          <w:bCs/>
          <w:color w:val="auto"/>
          <w:sz w:val="46"/>
          <w:szCs w:val="46"/>
        </w:rPr>
        <w:t>岳阳市</w:t>
      </w:r>
      <w:r>
        <w:rPr>
          <w:rFonts w:eastAsia="方正小标宋简体"/>
          <w:bCs/>
          <w:color w:val="auto"/>
          <w:sz w:val="46"/>
          <w:szCs w:val="46"/>
        </w:rPr>
        <w:t>202</w:t>
      </w:r>
      <w:r>
        <w:rPr>
          <w:rFonts w:hint="eastAsia" w:eastAsia="方正小标宋简体"/>
          <w:bCs/>
          <w:color w:val="auto"/>
          <w:sz w:val="46"/>
          <w:szCs w:val="46"/>
          <w:lang w:val="en-US" w:eastAsia="zh-CN"/>
        </w:rPr>
        <w:t>1</w:t>
      </w:r>
      <w:r>
        <w:rPr>
          <w:rFonts w:hint="eastAsia" w:eastAsia="方正小标宋简体"/>
          <w:bCs/>
          <w:color w:val="auto"/>
          <w:sz w:val="46"/>
          <w:szCs w:val="46"/>
        </w:rPr>
        <w:t>年度部门整体支出</w:t>
      </w:r>
    </w:p>
    <w:p>
      <w:pPr>
        <w:spacing w:line="800" w:lineRule="exact"/>
        <w:jc w:val="center"/>
        <w:rPr>
          <w:rFonts w:eastAsia="方正小标宋简体"/>
          <w:bCs/>
          <w:color w:val="auto"/>
          <w:sz w:val="46"/>
          <w:szCs w:val="46"/>
        </w:rPr>
      </w:pPr>
      <w:r>
        <w:rPr>
          <w:rFonts w:hint="eastAsia" w:eastAsia="方正小标宋简体"/>
          <w:bCs/>
          <w:color w:val="auto"/>
          <w:sz w:val="46"/>
          <w:szCs w:val="46"/>
        </w:rPr>
        <w:t>绩效评价自评报告</w:t>
      </w:r>
    </w:p>
    <w:p>
      <w:pPr>
        <w:rPr>
          <w:rFonts w:eastAsia="仿宋_GB2312"/>
          <w:b/>
          <w:color w:val="auto"/>
          <w:sz w:val="32"/>
        </w:rPr>
      </w:pPr>
    </w:p>
    <w:p>
      <w:pPr>
        <w:rPr>
          <w:rFonts w:eastAsia="仿宋_GB2312"/>
          <w:b/>
          <w:color w:val="auto"/>
          <w:sz w:val="32"/>
        </w:rPr>
      </w:pPr>
    </w:p>
    <w:p>
      <w:pPr>
        <w:spacing w:beforeLines="50" w:line="348" w:lineRule="auto"/>
        <w:ind w:firstLine="476" w:firstLineChars="150"/>
        <w:rPr>
          <w:rFonts w:hint="eastAsia" w:ascii="仿宋" w:hAnsi="仿宋" w:eastAsia="仿宋" w:cs="仿宋"/>
          <w:color w:val="auto"/>
          <w:sz w:val="32"/>
          <w:szCs w:val="32"/>
          <w:u w:val="single"/>
        </w:rPr>
      </w:pPr>
      <w:r>
        <w:rPr>
          <w:rFonts w:hint="eastAsia" w:ascii="仿宋" w:hAnsi="仿宋" w:eastAsia="仿宋" w:cs="仿宋"/>
          <w:color w:val="auto"/>
          <w:sz w:val="32"/>
          <w:szCs w:val="32"/>
        </w:rPr>
        <w:t>部门(单位)名称：</w:t>
      </w:r>
      <w:r>
        <w:rPr>
          <w:rFonts w:hint="eastAsia" w:ascii="仿宋" w:hAnsi="仿宋" w:eastAsia="仿宋" w:cs="仿宋"/>
          <w:color w:val="auto"/>
          <w:sz w:val="32"/>
          <w:szCs w:val="32"/>
          <w:u w:val="single"/>
        </w:rPr>
        <w:t xml:space="preserve">  岳阳市</w:t>
      </w:r>
      <w:r>
        <w:rPr>
          <w:rFonts w:hint="eastAsia" w:ascii="仿宋" w:hAnsi="仿宋" w:eastAsia="仿宋" w:cs="仿宋"/>
          <w:color w:val="auto"/>
          <w:sz w:val="32"/>
          <w:szCs w:val="32"/>
          <w:u w:val="single"/>
          <w:lang w:eastAsia="zh-CN"/>
        </w:rPr>
        <w:t>洋溪湖水利工程服务中心</w:t>
      </w:r>
      <w:r>
        <w:rPr>
          <w:rFonts w:hint="eastAsia" w:ascii="仿宋" w:hAnsi="仿宋" w:eastAsia="仿宋" w:cs="仿宋"/>
          <w:color w:val="auto"/>
          <w:sz w:val="32"/>
          <w:szCs w:val="32"/>
          <w:u w:val="single"/>
        </w:rPr>
        <w:t xml:space="preserve">                                </w:t>
      </w:r>
    </w:p>
    <w:p>
      <w:pPr>
        <w:spacing w:beforeLines="50" w:line="348" w:lineRule="auto"/>
        <w:ind w:firstLine="476" w:firstLineChars="150"/>
        <w:rPr>
          <w:rFonts w:hint="eastAsia" w:ascii="仿宋" w:hAnsi="仿宋" w:eastAsia="仿宋" w:cs="仿宋"/>
          <w:color w:val="auto"/>
          <w:spacing w:val="20"/>
          <w:sz w:val="32"/>
          <w:szCs w:val="32"/>
        </w:rPr>
      </w:pPr>
      <w:r>
        <w:rPr>
          <w:rFonts w:hint="eastAsia" w:ascii="仿宋" w:hAnsi="仿宋" w:eastAsia="仿宋" w:cs="仿宋"/>
          <w:color w:val="auto"/>
          <w:sz w:val="32"/>
          <w:szCs w:val="32"/>
        </w:rPr>
        <w:t>预</w:t>
      </w:r>
      <w:r>
        <w:rPr>
          <w:rFonts w:hint="eastAsia" w:ascii="仿宋" w:hAnsi="仿宋" w:eastAsia="仿宋" w:cs="仿宋"/>
          <w:color w:val="auto"/>
          <w:spacing w:val="30"/>
          <w:sz w:val="32"/>
          <w:szCs w:val="32"/>
        </w:rPr>
        <w:t xml:space="preserve"> 算 编 码：</w:t>
      </w:r>
      <w:r>
        <w:rPr>
          <w:rFonts w:hint="eastAsia" w:ascii="仿宋" w:hAnsi="仿宋" w:eastAsia="仿宋" w:cs="仿宋"/>
          <w:color w:val="auto"/>
          <w:spacing w:val="20"/>
          <w:sz w:val="32"/>
          <w:szCs w:val="32"/>
          <w:u w:val="single"/>
        </w:rPr>
        <w:t xml:space="preserve">  </w:t>
      </w:r>
      <w:r>
        <w:rPr>
          <w:rFonts w:hint="eastAsia" w:ascii="仿宋" w:hAnsi="仿宋" w:eastAsia="仿宋" w:cs="仿宋"/>
          <w:color w:val="auto"/>
          <w:spacing w:val="20"/>
          <w:sz w:val="32"/>
          <w:szCs w:val="32"/>
          <w:u w:val="single"/>
          <w:lang w:val="en-US" w:eastAsia="zh-CN"/>
        </w:rPr>
        <w:t>302002</w:t>
      </w:r>
      <w:r>
        <w:rPr>
          <w:rFonts w:hint="eastAsia" w:ascii="仿宋" w:hAnsi="仿宋" w:eastAsia="仿宋" w:cs="仿宋"/>
          <w:color w:val="auto"/>
          <w:spacing w:val="20"/>
          <w:sz w:val="32"/>
          <w:szCs w:val="32"/>
          <w:u w:val="single"/>
        </w:rPr>
        <w:t xml:space="preserve">                         </w:t>
      </w:r>
    </w:p>
    <w:p>
      <w:pPr>
        <w:spacing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评价方式：部门（单位）绩效自评</w:t>
      </w:r>
    </w:p>
    <w:p>
      <w:pPr>
        <w:spacing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 xml:space="preserve">评价机构：部门（单位）评价组   </w:t>
      </w: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348" w:lineRule="auto"/>
        <w:jc w:val="center"/>
        <w:rPr>
          <w:rFonts w:eastAsia="仿宋_GB2312"/>
          <w:color w:val="auto"/>
          <w:sz w:val="32"/>
        </w:rPr>
      </w:pPr>
      <w:r>
        <w:rPr>
          <w:rFonts w:hint="eastAsia" w:eastAsia="仿宋_GB2312"/>
          <w:color w:val="auto"/>
          <w:sz w:val="32"/>
        </w:rPr>
        <w:t>报告日期：</w:t>
      </w:r>
      <w:r>
        <w:rPr>
          <w:rFonts w:eastAsia="仿宋_GB2312"/>
          <w:color w:val="auto"/>
          <w:sz w:val="32"/>
        </w:rPr>
        <w:t xml:space="preserve"> 202</w:t>
      </w:r>
      <w:r>
        <w:rPr>
          <w:rFonts w:hint="eastAsia" w:eastAsia="仿宋_GB2312"/>
          <w:color w:val="auto"/>
          <w:sz w:val="32"/>
          <w:lang w:val="en-US" w:eastAsia="zh-CN"/>
        </w:rPr>
        <w:t>2</w:t>
      </w:r>
      <w:r>
        <w:rPr>
          <w:rFonts w:hint="eastAsia" w:eastAsia="仿宋_GB2312"/>
          <w:color w:val="auto"/>
          <w:sz w:val="32"/>
        </w:rPr>
        <w:t>年</w:t>
      </w:r>
      <w:r>
        <w:rPr>
          <w:rFonts w:eastAsia="仿宋_GB2312"/>
          <w:color w:val="auto"/>
          <w:sz w:val="32"/>
        </w:rPr>
        <w:t xml:space="preserve"> 6 </w:t>
      </w:r>
      <w:r>
        <w:rPr>
          <w:rFonts w:hint="eastAsia" w:eastAsia="仿宋_GB2312"/>
          <w:color w:val="auto"/>
          <w:sz w:val="32"/>
        </w:rPr>
        <w:t>月</w:t>
      </w:r>
      <w:r>
        <w:rPr>
          <w:rFonts w:eastAsia="仿宋_GB2312"/>
          <w:color w:val="auto"/>
          <w:sz w:val="32"/>
        </w:rPr>
        <w:t>1</w:t>
      </w:r>
      <w:r>
        <w:rPr>
          <w:rFonts w:hint="eastAsia" w:eastAsia="仿宋_GB2312"/>
          <w:color w:val="auto"/>
          <w:sz w:val="32"/>
          <w:lang w:val="en-US" w:eastAsia="zh-CN"/>
        </w:rPr>
        <w:t>5</w:t>
      </w:r>
      <w:r>
        <w:rPr>
          <w:rFonts w:hint="eastAsia" w:eastAsia="仿宋_GB2312"/>
          <w:color w:val="auto"/>
          <w:sz w:val="32"/>
        </w:rPr>
        <w:t>日</w:t>
      </w:r>
    </w:p>
    <w:p>
      <w:pPr>
        <w:autoSpaceDN w:val="0"/>
        <w:jc w:val="center"/>
        <w:textAlignment w:val="center"/>
        <w:rPr>
          <w:rFonts w:eastAsia="仿宋_GB2312"/>
          <w:color w:val="auto"/>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color w:val="auto"/>
          <w:sz w:val="32"/>
        </w:rPr>
        <w:t>岳阳市财政</w:t>
      </w:r>
      <w:r>
        <w:rPr>
          <w:rFonts w:hint="eastAsia" w:eastAsia="仿宋_GB2312"/>
          <w:color w:val="auto"/>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995"/>
        <w:gridCol w:w="150"/>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3561" w:type="dxa"/>
            <w:gridSpan w:val="7"/>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陈敏</w:t>
            </w:r>
          </w:p>
        </w:tc>
        <w:tc>
          <w:tcPr>
            <w:tcW w:w="1479" w:type="dxa"/>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联络电话</w:t>
            </w:r>
          </w:p>
        </w:tc>
        <w:tc>
          <w:tcPr>
            <w:tcW w:w="3106" w:type="dxa"/>
            <w:gridSpan w:val="8"/>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8092204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人员编制</w:t>
            </w:r>
          </w:p>
        </w:tc>
        <w:tc>
          <w:tcPr>
            <w:tcW w:w="3561" w:type="dxa"/>
            <w:gridSpan w:val="7"/>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479" w:type="dxa"/>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实有人数</w:t>
            </w:r>
          </w:p>
        </w:tc>
        <w:tc>
          <w:tcPr>
            <w:tcW w:w="3106" w:type="dxa"/>
            <w:gridSpan w:val="8"/>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职能职责概述</w:t>
            </w:r>
          </w:p>
        </w:tc>
        <w:tc>
          <w:tcPr>
            <w:tcW w:w="8146" w:type="dxa"/>
            <w:gridSpan w:val="16"/>
            <w:vAlign w:val="center"/>
          </w:tcPr>
          <w:p>
            <w:pPr>
              <w:autoSpaceDN w:val="0"/>
              <w:spacing w:line="320" w:lineRule="exact"/>
              <w:ind w:firstLine="480" w:firstLineChars="200"/>
              <w:jc w:val="left"/>
              <w:textAlignment w:val="center"/>
              <w:rPr>
                <w:rFonts w:hint="eastAsia" w:ascii="仿宋" w:hAnsi="仿宋" w:eastAsia="仿宋" w:cs="仿宋"/>
                <w:color w:val="auto"/>
                <w:kern w:val="0"/>
                <w:sz w:val="24"/>
                <w:szCs w:val="24"/>
                <w:lang w:eastAsia="zh-CN"/>
              </w:rPr>
            </w:pPr>
          </w:p>
          <w:p>
            <w:pPr>
              <w:autoSpaceDN w:val="0"/>
              <w:spacing w:line="320" w:lineRule="exact"/>
              <w:ind w:firstLine="480" w:firstLineChars="200"/>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协调临湘市和云溪区冶湖撇洪地区边界水事纠纷，调度冶湖撇洪地区水事，管理冶湖撇洪地区“三闸三排”水利工程。</w:t>
            </w:r>
          </w:p>
          <w:p>
            <w:pPr>
              <w:autoSpaceDN w:val="0"/>
              <w:spacing w:line="320" w:lineRule="exact"/>
              <w:jc w:val="left"/>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年度主要</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8146" w:type="dxa"/>
            <w:gridSpan w:val="16"/>
            <w:vAlign w:val="center"/>
          </w:tcPr>
          <w:p>
            <w:pPr>
              <w:widowControl/>
              <w:numPr>
                <w:ilvl w:val="0"/>
                <w:numId w:val="2"/>
              </w:numPr>
              <w:jc w:val="left"/>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val="en-US" w:eastAsia="zh-CN" w:bidi="ar-SA"/>
              </w:rPr>
              <w:t>搞好</w:t>
            </w:r>
            <w:r>
              <w:rPr>
                <w:rFonts w:hint="eastAsia" w:ascii="仿宋" w:hAnsi="仿宋" w:eastAsia="仿宋" w:cs="仿宋"/>
                <w:color w:val="auto"/>
                <w:kern w:val="0"/>
                <w:sz w:val="24"/>
                <w:szCs w:val="24"/>
                <w:lang w:eastAsia="zh-CN"/>
              </w:rPr>
              <w:t>冶湖撇洪地区水事调度</w:t>
            </w:r>
          </w:p>
          <w:p>
            <w:pPr>
              <w:widowControl/>
              <w:numPr>
                <w:ilvl w:val="0"/>
                <w:numId w:val="2"/>
              </w:numPr>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协调好临湘市和云溪区冶湖撇洪地区边界水事纠纷</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eastAsia="zh-CN"/>
              </w:rPr>
              <w:t>搞好冶湖撇洪地区防洪排涝调度工作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85"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年度部门（单位）总体运行情况及取得的成绩</w:t>
            </w:r>
          </w:p>
        </w:tc>
        <w:tc>
          <w:tcPr>
            <w:tcW w:w="8146" w:type="dxa"/>
            <w:gridSpan w:val="16"/>
            <w:vAlign w:val="center"/>
          </w:tcPr>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在局党组的正解领导下，市防御中心的具体指导下，原洋溪湖服务中心在水事调度、矛盾调处、设备管护、防汛排涝等方面尽职尽责，确保了临湘市、云溪区边界地区冶湖撇洪渠流域的度汛安全，维护了一方稳定。现就有关工作情况汇报如下：</w:t>
            </w:r>
          </w:p>
          <w:p>
            <w:pPr>
              <w:widowControl/>
              <w:numPr>
                <w:ilvl w:val="0"/>
                <w:numId w:val="0"/>
              </w:numPr>
              <w:ind w:firstLine="481" w:firstLineChars="200"/>
              <w:jc w:val="left"/>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一是抓好维修养护防汛备汛工作。</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经历2020年大汛之后，我中心认真组织工程设施、设备的冬修工作。在完成常规维护任务的同时，重点对2台电机返厂大修，6台电机返厂检测维护；8台水泵更换易损件；土矶头电排变电站及户外高压设备安全隐患整改，共投入维修养护经费54.63万元，在汛前基本完成维修养护任务。4月21日机组空载试运行正常，4月29日三处泵站机组设备满负载试运行正常，为迎战今年防洪排涝工作作好了坚实准备。</w:t>
            </w:r>
          </w:p>
          <w:p>
            <w:pPr>
              <w:widowControl/>
              <w:numPr>
                <w:ilvl w:val="0"/>
                <w:numId w:val="0"/>
              </w:numPr>
              <w:ind w:firstLine="481" w:firstLineChars="200"/>
              <w:jc w:val="left"/>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二是科学调度协调防洪排涝工作。</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及时掌握雨水情信息，协调两调蓄湖周边春季工农业生产用水，科学调控汛期撇洪渠水位，有效保障干旱期撇洪渠上游工农业生产用水需要。认真抓好日常防汛值班、开机排渍值班和工程巡查，及时做好电排设备突发故障的抢修处置。根据调度方案，我中心所辖电排分别于5月2日、5月4日、5月24日开机排渍。今年入汛后长江水位上涨较早，汛期发生多轮强降雨，防汛排涝消耗较大。曾家汊分洪闸执行分洪调度1次，分洪调蓄水量约620万立方米，电排机组故障停机3台次，经紧急抢修恢复。排涝工作至9月18日结束，三处电排累计运行6518台时，外排水量约6800万立方米，消耗排渍电费78.15万元。汛期未发生群众上访或12345热线投诉情况，较好地完成今年度防汛排涝任务。</w:t>
            </w:r>
          </w:p>
          <w:p>
            <w:pPr>
              <w:widowControl/>
              <w:numPr>
                <w:ilvl w:val="0"/>
                <w:numId w:val="0"/>
              </w:numPr>
              <w:ind w:firstLine="481" w:firstLineChars="200"/>
              <w:jc w:val="left"/>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三是逐步衔接长江补水工程运行管理工作。</w:t>
            </w:r>
          </w:p>
          <w:p>
            <w:pPr>
              <w:widowControl/>
              <w:numPr>
                <w:ilvl w:val="0"/>
                <w:numId w:val="0"/>
              </w:numPr>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SA"/>
              </w:rPr>
              <w:t>机构改革后，开展了1次长江补水工程工程现状、管理现状、试运行情况的实地调研，为工程移交后的运行管理工作开展，做好前期基础资料准备。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700" w:type="dxa"/>
            <w:gridSpan w:val="3"/>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收入合计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3" w:hRule="atLeast"/>
          <w:jc w:val="center"/>
        </w:trPr>
        <w:tc>
          <w:tcPr>
            <w:tcW w:w="1700" w:type="dxa"/>
            <w:gridSpan w:val="3"/>
            <w:vMerge w:val="continue"/>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上年结转</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公共财</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政拨款</w:t>
            </w:r>
          </w:p>
        </w:tc>
        <w:tc>
          <w:tcPr>
            <w:tcW w:w="1705"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政府基金拨款</w:t>
            </w:r>
          </w:p>
        </w:tc>
        <w:tc>
          <w:tcPr>
            <w:tcW w:w="180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纳入专户管理的非税收入拨款</w:t>
            </w:r>
          </w:p>
        </w:tc>
        <w:tc>
          <w:tcPr>
            <w:tcW w:w="1080" w:type="dxa"/>
            <w:gridSpan w:val="3"/>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其他</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岳阳市洋溪湖水利工程服务中心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176.85</w:t>
            </w:r>
          </w:p>
        </w:tc>
        <w:tc>
          <w:tcPr>
            <w:tcW w:w="135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p>
        </w:tc>
        <w:tc>
          <w:tcPr>
            <w:tcW w:w="1080" w:type="dxa"/>
            <w:gridSpan w:val="2"/>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176.76</w:t>
            </w:r>
          </w:p>
        </w:tc>
        <w:tc>
          <w:tcPr>
            <w:tcW w:w="1705"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80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gridSpan w:val="3"/>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napToGri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支出合计</w:t>
            </w:r>
          </w:p>
        </w:tc>
        <w:tc>
          <w:tcPr>
            <w:tcW w:w="5675" w:type="dxa"/>
            <w:gridSpan w:val="10"/>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人员支出</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岳阳市洋溪湖水利工程服务中心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176.85</w:t>
            </w:r>
          </w:p>
        </w:tc>
        <w:tc>
          <w:tcPr>
            <w:tcW w:w="1355" w:type="dxa"/>
            <w:gridSpan w:val="3"/>
            <w:tcBorders>
              <w:lef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176.85</w:t>
            </w:r>
          </w:p>
        </w:tc>
        <w:tc>
          <w:tcPr>
            <w:tcW w:w="1080" w:type="dxa"/>
            <w:gridSpan w:val="2"/>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47.92</w:t>
            </w:r>
          </w:p>
        </w:tc>
        <w:tc>
          <w:tcPr>
            <w:tcW w:w="2160" w:type="dxa"/>
            <w:gridSpan w:val="4"/>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128.93</w:t>
            </w:r>
          </w:p>
        </w:tc>
        <w:tc>
          <w:tcPr>
            <w:tcW w:w="1080" w:type="dxa"/>
            <w:vAlign w:val="center"/>
          </w:tcPr>
          <w:p>
            <w:pPr>
              <w:autoSpaceDN w:val="0"/>
              <w:spacing w:line="32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r>
              <w:rPr>
                <w:rFonts w:hint="default" w:ascii="仿宋" w:hAnsi="仿宋" w:eastAsia="仿宋" w:cs="仿宋"/>
                <w:b w:val="0"/>
                <w:bCs w:val="0"/>
                <w:color w:val="auto"/>
                <w:sz w:val="24"/>
                <w:szCs w:val="24"/>
                <w:lang w:val="en-US" w:eastAsia="zh-CN"/>
              </w:rPr>
              <w:t>.01</w:t>
            </w:r>
          </w:p>
        </w:tc>
        <w:tc>
          <w:tcPr>
            <w:tcW w:w="625" w:type="dxa"/>
            <w:tcBorders>
              <w:lef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三公经费</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5"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公务接待费</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公务用车运维费</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公务用车购置费</w:t>
            </w:r>
          </w:p>
        </w:tc>
        <w:tc>
          <w:tcPr>
            <w:tcW w:w="2425"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岳阳市洋溪湖水利工程服务中心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0.69</w:t>
            </w:r>
          </w:p>
        </w:tc>
        <w:tc>
          <w:tcPr>
            <w:tcW w:w="1355" w:type="dxa"/>
            <w:gridSpan w:val="3"/>
            <w:tcBorders>
              <w:lef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0.69</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2425" w:type="dxa"/>
            <w:gridSpan w:val="5"/>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固定资产</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6079" w:type="dxa"/>
            <w:gridSpan w:val="12"/>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岳阳市洋溪湖水利工程服务中心</w:t>
            </w:r>
          </w:p>
        </w:tc>
        <w:tc>
          <w:tcPr>
            <w:tcW w:w="1080" w:type="dxa"/>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139.07</w:t>
            </w: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139.07</w:t>
            </w:r>
          </w:p>
        </w:tc>
        <w:tc>
          <w:tcPr>
            <w:tcW w:w="3644" w:type="dxa"/>
            <w:gridSpan w:val="7"/>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941" w:type="dxa"/>
            <w:gridSpan w:val="2"/>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整体支出绩效定性目标及实施计划完成情况</w:t>
            </w:r>
          </w:p>
        </w:tc>
        <w:tc>
          <w:tcPr>
            <w:tcW w:w="3774" w:type="dxa"/>
            <w:gridSpan w:val="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预期目标</w:t>
            </w:r>
          </w:p>
        </w:tc>
        <w:tc>
          <w:tcPr>
            <w:tcW w:w="4585" w:type="dxa"/>
            <w:gridSpan w:val="9"/>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36"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3774" w:type="dxa"/>
            <w:gridSpan w:val="8"/>
            <w:vAlign w:val="center"/>
          </w:tcPr>
          <w:p>
            <w:pPr>
              <w:widowControl/>
              <w:numPr>
                <w:ilvl w:val="0"/>
                <w:numId w:val="0"/>
              </w:numPr>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z w:val="24"/>
                <w:szCs w:val="24"/>
                <w:lang w:val="en-US" w:eastAsia="zh-CN" w:bidi="ar-SA"/>
              </w:rPr>
              <w:t>目标1：搞好</w:t>
            </w:r>
            <w:r>
              <w:rPr>
                <w:rFonts w:hint="eastAsia" w:ascii="仿宋" w:hAnsi="仿宋" w:eastAsia="仿宋" w:cs="仿宋"/>
                <w:b w:val="0"/>
                <w:bCs w:val="0"/>
                <w:color w:val="auto"/>
                <w:kern w:val="0"/>
                <w:sz w:val="24"/>
                <w:szCs w:val="24"/>
                <w:lang w:eastAsia="zh-CN"/>
              </w:rPr>
              <w:t>冶湖撇洪地区水事调度</w:t>
            </w:r>
          </w:p>
          <w:p>
            <w:pPr>
              <w:autoSpaceDN w:val="0"/>
              <w:spacing w:line="32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目标</w:t>
            </w:r>
            <w:r>
              <w:rPr>
                <w:rFonts w:hint="eastAsia" w:ascii="仿宋" w:hAnsi="仿宋" w:eastAsia="仿宋" w:cs="仿宋"/>
                <w:b w:val="0"/>
                <w:bCs w:val="0"/>
                <w:color w:val="auto"/>
                <w:kern w:val="0"/>
                <w:sz w:val="24"/>
                <w:szCs w:val="24"/>
                <w:lang w:val="en-US" w:eastAsia="zh-CN"/>
              </w:rPr>
              <w:t>2：</w:t>
            </w:r>
            <w:r>
              <w:rPr>
                <w:rFonts w:hint="eastAsia" w:ascii="仿宋" w:hAnsi="仿宋" w:eastAsia="仿宋" w:cs="仿宋"/>
                <w:b w:val="0"/>
                <w:bCs w:val="0"/>
                <w:color w:val="auto"/>
                <w:kern w:val="0"/>
                <w:sz w:val="24"/>
                <w:szCs w:val="24"/>
                <w:lang w:eastAsia="zh-CN"/>
              </w:rPr>
              <w:t>协调好临湘市和云溪区冶湖撇洪地区边界水事纠纷</w:t>
            </w:r>
            <w:r>
              <w:rPr>
                <w:rFonts w:hint="eastAsia" w:ascii="仿宋" w:hAnsi="仿宋" w:eastAsia="仿宋" w:cs="仿宋"/>
                <w:b w:val="0"/>
                <w:bCs w:val="0"/>
                <w:color w:val="auto"/>
                <w:kern w:val="0"/>
                <w:sz w:val="24"/>
                <w:szCs w:val="24"/>
              </w:rPr>
              <w:br w:type="textWrapping"/>
            </w:r>
            <w:r>
              <w:rPr>
                <w:rFonts w:hint="eastAsia" w:ascii="仿宋" w:hAnsi="仿宋" w:eastAsia="仿宋" w:cs="仿宋"/>
                <w:b w:val="0"/>
                <w:bCs w:val="0"/>
                <w:color w:val="auto"/>
                <w:kern w:val="0"/>
                <w:sz w:val="24"/>
                <w:szCs w:val="24"/>
                <w:lang w:eastAsia="zh-CN"/>
              </w:rPr>
              <w:t>目标</w:t>
            </w: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kern w:val="0"/>
                <w:sz w:val="24"/>
                <w:szCs w:val="24"/>
                <w:lang w:eastAsia="zh-CN"/>
              </w:rPr>
              <w:t>搞好冶湖撇洪地区防洪排涝调度工作</w:t>
            </w:r>
          </w:p>
        </w:tc>
        <w:tc>
          <w:tcPr>
            <w:tcW w:w="4585" w:type="dxa"/>
            <w:gridSpan w:val="9"/>
            <w:vAlign w:val="center"/>
          </w:tcPr>
          <w:p>
            <w:pPr>
              <w:widowControl/>
              <w:numPr>
                <w:ilvl w:val="0"/>
                <w:numId w:val="0"/>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bidi="ar-SA"/>
              </w:rPr>
              <w:t>1、抓好维修养护防汛备汛工作。         2、科学调度协调防洪排涝工作。           3、逐步衔接长江补水工程运行管理工作。</w:t>
            </w:r>
            <w:r>
              <w:rPr>
                <w:rFonts w:hint="eastAsia" w:ascii="仿宋" w:hAnsi="仿宋" w:eastAsia="仿宋" w:cs="仿宋"/>
                <w:b w:val="0"/>
                <w:bCs w:val="0"/>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整体支出</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绩效定量目标及实施计划完成情况</w:t>
            </w:r>
          </w:p>
        </w:tc>
        <w:tc>
          <w:tcPr>
            <w:tcW w:w="2966" w:type="dxa"/>
            <w:gridSpan w:val="7"/>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评价内容</w:t>
            </w:r>
          </w:p>
        </w:tc>
        <w:tc>
          <w:tcPr>
            <w:tcW w:w="2709"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绩效目标</w:t>
            </w:r>
          </w:p>
        </w:tc>
        <w:tc>
          <w:tcPr>
            <w:tcW w:w="2684" w:type="dxa"/>
            <w:gridSpan w:val="6"/>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产出目标</w:t>
            </w:r>
          </w:p>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（部门工作实绩，包含上级部门和市委市政府布置的重点工作、实事任务等，根据部门实际进行调整细化）</w:t>
            </w:r>
          </w:p>
        </w:tc>
        <w:tc>
          <w:tcPr>
            <w:tcW w:w="1417" w:type="dxa"/>
            <w:gridSpan w:val="3"/>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数量指标</w:t>
            </w:r>
          </w:p>
        </w:tc>
        <w:tc>
          <w:tcPr>
            <w:tcW w:w="2709" w:type="dxa"/>
            <w:gridSpan w:val="4"/>
            <w:vAlign w:val="center"/>
          </w:tcPr>
          <w:p>
            <w:pPr>
              <w:autoSpaceDN w:val="0"/>
              <w:spacing w:line="32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水利工程维修养护</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电排3处、水闸3处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spacing w:line="32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质量指标</w:t>
            </w:r>
          </w:p>
        </w:tc>
        <w:tc>
          <w:tcPr>
            <w:tcW w:w="2709" w:type="dxa"/>
            <w:gridSpan w:val="4"/>
            <w:vAlign w:val="center"/>
          </w:tcPr>
          <w:p>
            <w:pPr>
              <w:autoSpaceDN w:val="0"/>
              <w:spacing w:line="32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水利工程</w:t>
            </w:r>
            <w:r>
              <w:rPr>
                <w:rFonts w:hint="eastAsia" w:ascii="仿宋" w:hAnsi="仿宋" w:eastAsia="仿宋" w:cs="仿宋"/>
                <w:b w:val="0"/>
                <w:bCs w:val="0"/>
                <w:color w:val="auto"/>
                <w:kern w:val="0"/>
                <w:sz w:val="24"/>
                <w:szCs w:val="24"/>
                <w:lang w:eastAsia="zh-CN"/>
              </w:rPr>
              <w:t>运行管理</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水利工程设施正常运行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时效指标</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安全度汛</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202</w:t>
            </w:r>
            <w:r>
              <w:rPr>
                <w:rFonts w:hint="eastAsia" w:ascii="仿宋" w:hAnsi="仿宋" w:eastAsia="仿宋" w:cs="仿宋"/>
                <w:b w:val="0"/>
                <w:bCs w:val="0"/>
                <w:color w:val="auto"/>
                <w:kern w:val="0"/>
                <w:sz w:val="24"/>
                <w:szCs w:val="24"/>
                <w:lang w:val="en-US" w:eastAsia="zh-CN"/>
              </w:rPr>
              <w:t>1年</w:t>
            </w:r>
            <w:r>
              <w:rPr>
                <w:rFonts w:hint="eastAsia" w:ascii="仿宋" w:hAnsi="仿宋" w:eastAsia="仿宋" w:cs="仿宋"/>
                <w:b w:val="0"/>
                <w:bCs w:val="0"/>
                <w:color w:val="auto"/>
                <w:kern w:val="0"/>
                <w:sz w:val="24"/>
                <w:szCs w:val="24"/>
              </w:rPr>
              <w:t>全年</w:t>
            </w:r>
            <w:r>
              <w:rPr>
                <w:rFonts w:hint="eastAsia" w:ascii="仿宋" w:hAnsi="仿宋" w:eastAsia="仿宋" w:cs="仿宋"/>
                <w:b w:val="0"/>
                <w:bCs w:val="0"/>
                <w:color w:val="auto"/>
                <w:kern w:val="0"/>
                <w:sz w:val="24"/>
                <w:szCs w:val="24"/>
                <w:lang w:eastAsia="zh-CN"/>
              </w:rPr>
              <w:t>安全渡汛</w:t>
            </w:r>
            <w:r>
              <w:rPr>
                <w:rFonts w:hint="eastAsia" w:ascii="仿宋" w:hAnsi="仿宋" w:eastAsia="仿宋" w:cs="仿宋"/>
                <w:b w:val="0"/>
                <w:bCs w:val="0"/>
                <w:color w:val="auto"/>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成本指标</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水利工程运行维护管理</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严格</w:t>
            </w:r>
            <w:r>
              <w:rPr>
                <w:rFonts w:hint="eastAsia" w:ascii="仿宋" w:hAnsi="仿宋" w:eastAsia="仿宋" w:cs="仿宋"/>
                <w:color w:val="auto"/>
                <w:kern w:val="0"/>
                <w:sz w:val="24"/>
                <w:szCs w:val="24"/>
                <w:lang w:eastAsia="zh-CN"/>
              </w:rPr>
              <w:t>控制在预算内</w:t>
            </w:r>
            <w:r>
              <w:rPr>
                <w:rFonts w:hint="eastAsia" w:ascii="仿宋" w:hAnsi="仿宋" w:eastAsia="仿宋" w:cs="仿宋"/>
                <w:color w:val="auto"/>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效益目标</w:t>
            </w:r>
          </w:p>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（预期实现的效益）</w:t>
            </w:r>
          </w:p>
        </w:tc>
        <w:tc>
          <w:tcPr>
            <w:tcW w:w="1417" w:type="dxa"/>
            <w:gridSpan w:val="3"/>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经济效益</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保障垸区内工农业生产</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促进当地经济发展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社会效益</w:t>
            </w:r>
          </w:p>
        </w:tc>
        <w:tc>
          <w:tcPr>
            <w:tcW w:w="2709" w:type="dxa"/>
            <w:gridSpan w:val="4"/>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保障垸区内人民生命财产</w:t>
            </w:r>
          </w:p>
        </w:tc>
        <w:tc>
          <w:tcPr>
            <w:tcW w:w="2684" w:type="dxa"/>
            <w:gridSpan w:val="6"/>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确保当地社会和谐发展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环境效益</w:t>
            </w:r>
          </w:p>
        </w:tc>
        <w:tc>
          <w:tcPr>
            <w:tcW w:w="2709" w:type="dxa"/>
            <w:gridSpan w:val="4"/>
            <w:tcBorders>
              <w:top w:val="single" w:color="auto" w:sz="4" w:space="0"/>
              <w:bottom w:val="single" w:color="auto" w:sz="4" w:space="0"/>
            </w:tcBorders>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不影响调蓄湖泊水质</w:t>
            </w:r>
          </w:p>
        </w:tc>
        <w:tc>
          <w:tcPr>
            <w:tcW w:w="2684" w:type="dxa"/>
            <w:gridSpan w:val="6"/>
            <w:tcBorders>
              <w:top w:val="single" w:color="auto" w:sz="4" w:space="0"/>
              <w:bottom w:val="single" w:color="auto" w:sz="4" w:space="0"/>
            </w:tcBorders>
            <w:vAlign w:val="center"/>
          </w:tcPr>
          <w:p>
            <w:pPr>
              <w:autoSpaceDN w:val="0"/>
              <w:spacing w:line="320" w:lineRule="exac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不影响当地生态环境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可持续影响</w:t>
            </w:r>
          </w:p>
        </w:tc>
        <w:tc>
          <w:tcPr>
            <w:tcW w:w="2709" w:type="dxa"/>
            <w:gridSpan w:val="4"/>
            <w:tcBorders>
              <w:top w:val="single" w:color="auto" w:sz="4" w:space="0"/>
              <w:bottom w:val="single" w:color="auto" w:sz="4" w:space="0"/>
            </w:tcBorders>
            <w:vAlign w:val="center"/>
          </w:tcPr>
          <w:p>
            <w:pPr>
              <w:autoSpaceDN w:val="0"/>
              <w:spacing w:line="320" w:lineRule="exact"/>
              <w:jc w:val="lef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安全度汛</w:t>
            </w:r>
          </w:p>
        </w:tc>
        <w:tc>
          <w:tcPr>
            <w:tcW w:w="2684" w:type="dxa"/>
            <w:gridSpan w:val="6"/>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全年较好应对自然灾害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10"/>
                <w:kern w:val="0"/>
                <w:sz w:val="24"/>
                <w:szCs w:val="24"/>
              </w:rPr>
              <w:t>服务对象满意度</w:t>
            </w:r>
          </w:p>
        </w:tc>
        <w:tc>
          <w:tcPr>
            <w:tcW w:w="2709" w:type="dxa"/>
            <w:gridSpan w:val="4"/>
            <w:tcBorders>
              <w:top w:val="single" w:color="auto" w:sz="4" w:space="0"/>
            </w:tcBorders>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受益</w:t>
            </w:r>
            <w:r>
              <w:rPr>
                <w:rFonts w:hint="eastAsia" w:ascii="仿宋" w:hAnsi="仿宋" w:eastAsia="仿宋" w:cs="仿宋"/>
                <w:b w:val="0"/>
                <w:bCs w:val="0"/>
                <w:color w:val="auto"/>
                <w:sz w:val="24"/>
                <w:szCs w:val="24"/>
              </w:rPr>
              <w:t>区域范围内人民群众</w:t>
            </w:r>
          </w:p>
        </w:tc>
        <w:tc>
          <w:tcPr>
            <w:tcW w:w="2684" w:type="dxa"/>
            <w:gridSpan w:val="6"/>
            <w:tcBorders>
              <w:top w:val="single" w:color="auto" w:sz="4" w:space="0"/>
            </w:tcBorders>
            <w:vAlign w:val="center"/>
          </w:tcPr>
          <w:p>
            <w:pPr>
              <w:autoSpaceDN w:val="0"/>
              <w:spacing w:line="320" w:lineRule="exac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绩效自评综合得分</w:t>
            </w:r>
          </w:p>
        </w:tc>
        <w:tc>
          <w:tcPr>
            <w:tcW w:w="6810" w:type="dxa"/>
            <w:gridSpan w:val="13"/>
            <w:vAlign w:val="center"/>
          </w:tcPr>
          <w:p>
            <w:pPr>
              <w:autoSpaceDN w:val="0"/>
              <w:spacing w:line="320" w:lineRule="exact"/>
              <w:jc w:val="center"/>
              <w:textAlignment w:val="center"/>
              <w:rPr>
                <w:rFonts w:hint="default" w:ascii="仿宋" w:hAnsi="仿宋" w:eastAsia="仿宋" w:cs="仿宋"/>
                <w:color w:val="FF0000"/>
                <w:sz w:val="24"/>
                <w:szCs w:val="24"/>
                <w:lang w:val="en-US" w:eastAsia="zh-CN"/>
              </w:rPr>
            </w:pPr>
            <w:bookmarkStart w:id="0" w:name="_GoBack"/>
            <w:r>
              <w:rPr>
                <w:rFonts w:hint="eastAsia" w:ascii="仿宋" w:hAnsi="仿宋" w:eastAsia="仿宋" w:cs="仿宋"/>
                <w:color w:val="auto"/>
                <w:sz w:val="24"/>
                <w:szCs w:val="24"/>
                <w:lang w:val="en-US" w:eastAsia="zh-CN"/>
              </w:rPr>
              <w:t>96.5</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评价等次</w:t>
            </w:r>
          </w:p>
        </w:tc>
        <w:tc>
          <w:tcPr>
            <w:tcW w:w="6810" w:type="dxa"/>
            <w:gridSpan w:val="13"/>
            <w:vAlign w:val="center"/>
          </w:tcPr>
          <w:p>
            <w:pPr>
              <w:autoSpaceDN w:val="0"/>
              <w:spacing w:line="320" w:lineRule="exact"/>
              <w:jc w:val="center"/>
              <w:textAlignment w:val="center"/>
              <w:rPr>
                <w:rFonts w:hint="eastAsia" w:ascii="仿宋" w:hAnsi="仿宋" w:eastAsia="仿宋" w:cs="仿宋"/>
                <w:color w:val="FF0000"/>
                <w:sz w:val="24"/>
                <w:szCs w:val="24"/>
                <w:lang w:eastAsia="zh-CN"/>
              </w:rPr>
            </w:pPr>
            <w:r>
              <w:rPr>
                <w:rFonts w:hint="eastAsia" w:ascii="仿宋" w:hAnsi="仿宋" w:eastAsia="仿宋" w:cs="仿宋"/>
                <w:color w:val="auto"/>
                <w:sz w:val="24"/>
                <w:szCs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姓  名</w:t>
            </w:r>
          </w:p>
        </w:tc>
        <w:tc>
          <w:tcPr>
            <w:tcW w:w="2331" w:type="dxa"/>
            <w:gridSpan w:val="4"/>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职务/职称</w:t>
            </w:r>
          </w:p>
        </w:tc>
        <w:tc>
          <w:tcPr>
            <w:tcW w:w="2709" w:type="dxa"/>
            <w:gridSpan w:val="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3106" w:type="dxa"/>
            <w:gridSpan w:val="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佘鹏</w:t>
            </w:r>
          </w:p>
        </w:tc>
        <w:tc>
          <w:tcPr>
            <w:tcW w:w="2331" w:type="dxa"/>
            <w:gridSpan w:val="4"/>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主任</w:t>
            </w:r>
          </w:p>
        </w:tc>
        <w:tc>
          <w:tcPr>
            <w:tcW w:w="2709" w:type="dxa"/>
            <w:gridSpan w:val="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岳阳市洋溪湖水利工程服务中心</w:t>
            </w:r>
          </w:p>
        </w:tc>
        <w:tc>
          <w:tcPr>
            <w:tcW w:w="3106" w:type="dxa"/>
            <w:gridSpan w:val="8"/>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tcBorders>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姚浩</w:t>
            </w:r>
          </w:p>
        </w:tc>
        <w:tc>
          <w:tcPr>
            <w:tcW w:w="2331" w:type="dxa"/>
            <w:gridSpan w:val="4"/>
            <w:tcBorders>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副主任</w:t>
            </w:r>
          </w:p>
        </w:tc>
        <w:tc>
          <w:tcPr>
            <w:tcW w:w="2709"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岳阳市洋溪湖水利工程服务中心</w:t>
            </w:r>
          </w:p>
        </w:tc>
        <w:tc>
          <w:tcPr>
            <w:tcW w:w="3106" w:type="dxa"/>
            <w:gridSpan w:val="8"/>
            <w:tcBorders>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江锰</w:t>
            </w:r>
          </w:p>
        </w:tc>
        <w:tc>
          <w:tcPr>
            <w:tcW w:w="2331" w:type="dxa"/>
            <w:gridSpan w:val="4"/>
            <w:tcBorders>
              <w:top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科员</w:t>
            </w:r>
          </w:p>
        </w:tc>
        <w:tc>
          <w:tcPr>
            <w:tcW w:w="2709" w:type="dxa"/>
            <w:gridSpan w:val="4"/>
            <w:tcBorders>
              <w:top w:val="single" w:color="auto" w:sz="4" w:space="0"/>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岳阳市洋溪湖水利工程服务中心</w:t>
            </w:r>
          </w:p>
        </w:tc>
        <w:tc>
          <w:tcPr>
            <w:tcW w:w="3106" w:type="dxa"/>
            <w:gridSpan w:val="8"/>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评价组组长（签字）：</w:t>
            </w: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部门（单位）意见：</w:t>
            </w: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autoSpaceDN w:val="0"/>
              <w:spacing w:line="320" w:lineRule="exact"/>
              <w:ind w:firstLine="4800" w:firstLineChars="20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部门（单位）负责人（签章）：</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财政部门归口业务科室意见：</w:t>
            </w:r>
          </w:p>
          <w:p>
            <w:pPr>
              <w:spacing w:line="320" w:lineRule="exact"/>
              <w:rPr>
                <w:rFonts w:hint="eastAsia" w:ascii="仿宋" w:hAnsi="仿宋" w:eastAsia="仿宋" w:cs="仿宋"/>
                <w:color w:val="auto"/>
                <w:sz w:val="24"/>
                <w:szCs w:val="24"/>
              </w:rPr>
            </w:pPr>
          </w:p>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20" w:lineRule="exact"/>
              <w:jc w:val="right"/>
              <w:rPr>
                <w:rFonts w:hint="eastAsia" w:ascii="仿宋" w:hAnsi="仿宋" w:eastAsia="仿宋" w:cs="仿宋"/>
                <w:color w:val="auto"/>
                <w:sz w:val="24"/>
                <w:szCs w:val="24"/>
              </w:rPr>
            </w:pPr>
          </w:p>
          <w:p>
            <w:pPr>
              <w:spacing w:line="320" w:lineRule="exact"/>
              <w:jc w:val="right"/>
              <w:rPr>
                <w:rFonts w:hint="eastAsia" w:ascii="仿宋" w:hAnsi="仿宋" w:eastAsia="仿宋" w:cs="仿宋"/>
                <w:color w:val="auto"/>
                <w:sz w:val="24"/>
                <w:szCs w:val="24"/>
              </w:rPr>
            </w:pPr>
          </w:p>
          <w:p>
            <w:pPr>
              <w:spacing w:line="320" w:lineRule="exact"/>
              <w:ind w:firstLine="4080" w:firstLineChars="1700"/>
              <w:jc w:val="both"/>
              <w:rPr>
                <w:rFonts w:hint="eastAsia" w:ascii="仿宋" w:hAnsi="仿宋" w:eastAsia="仿宋" w:cs="仿宋"/>
                <w:color w:val="auto"/>
                <w:sz w:val="24"/>
                <w:szCs w:val="24"/>
              </w:rPr>
            </w:pPr>
            <w:r>
              <w:rPr>
                <w:rFonts w:hint="eastAsia" w:ascii="仿宋" w:hAnsi="仿宋" w:eastAsia="仿宋" w:cs="仿宋"/>
                <w:color w:val="auto"/>
                <w:sz w:val="24"/>
                <w:szCs w:val="24"/>
              </w:rPr>
              <w:t>财政部门归口业务科室负责人（签章）：</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bl>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 xml:space="preserve">填报人（签名）：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     联系电话：</w:t>
      </w:r>
      <w:r>
        <w:rPr>
          <w:rFonts w:hint="eastAsia" w:ascii="仿宋" w:hAnsi="仿宋" w:eastAsia="仿宋" w:cs="仿宋"/>
          <w:bCs/>
          <w:color w:val="auto"/>
          <w:sz w:val="24"/>
          <w:szCs w:val="24"/>
          <w:lang w:val="en-US" w:eastAsia="zh-CN"/>
        </w:rPr>
        <w:t>8092204</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 w:hAnsi="仿宋" w:eastAsia="仿宋" w:cs="仿宋"/>
                <w:b/>
                <w:bCs/>
                <w:color w:val="auto"/>
                <w:sz w:val="24"/>
                <w:szCs w:val="24"/>
              </w:rPr>
            </w:pP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五、评价报告综述</w:t>
            </w:r>
          </w:p>
          <w:p>
            <w:pPr>
              <w:spacing w:line="440" w:lineRule="exact"/>
              <w:ind w:firstLine="480" w:firstLineChars="200"/>
              <w:rPr>
                <w:rFonts w:hint="eastAsia" w:ascii="仿宋" w:hAnsi="仿宋" w:eastAsia="仿宋" w:cs="仿宋"/>
                <w:color w:val="auto"/>
                <w:sz w:val="24"/>
                <w:szCs w:val="24"/>
              </w:rPr>
            </w:pPr>
          </w:p>
          <w:p>
            <w:pPr>
              <w:spacing w:line="560" w:lineRule="exact"/>
              <w:ind w:firstLine="481"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一、单位概况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（一）单位基本情况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1、人员编制</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岳阳市洋溪湖水利工程服务中心系市财政全额预算拨款事业单位，于2021年实行国库集中支付。截止2021年12月31日，实际在编在岗干部职工共有5人，其中：事业编5人。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2、机构设置</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本单位系岳阳市水利局二级机构，内部未设职能科室和下属机构。</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（二）单位整体支出规模、使用方向和主要内容、涉及范围等</w:t>
            </w:r>
          </w:p>
          <w:p>
            <w:pPr>
              <w:widowControl/>
              <w:numPr>
                <w:ilvl w:val="0"/>
                <w:numId w:val="0"/>
              </w:numPr>
              <w:ind w:firstLine="480" w:firstLineChars="200"/>
              <w:jc w:val="left"/>
              <w:rPr>
                <w:rFonts w:hint="eastAsia" w:ascii="仿宋" w:hAnsi="仿宋" w:eastAsia="仿宋" w:cs="仿宋"/>
                <w:color w:val="FF0000"/>
                <w:sz w:val="24"/>
                <w:szCs w:val="24"/>
                <w:lang w:val="en-US" w:eastAsia="zh-CN" w:bidi="ar-SA"/>
              </w:rPr>
            </w:pPr>
            <w:r>
              <w:rPr>
                <w:rFonts w:hint="eastAsia" w:ascii="仿宋" w:hAnsi="仿宋" w:eastAsia="仿宋" w:cs="仿宋"/>
                <w:color w:val="auto"/>
                <w:sz w:val="24"/>
                <w:szCs w:val="24"/>
                <w:lang w:val="en-US" w:eastAsia="zh-CN" w:bidi="ar-SA"/>
              </w:rPr>
              <w:t>根据《关于批复2021年市本级部门预算的通知》，岳阳市洋溪湖水利工程服务中心年度部门收支预算共计176.85万元，其中一般预算拨款176.76万元,其他收入0.09万元。其中在职人员的正常工资开支、社会保障缴费等人员经费</w:t>
            </w:r>
            <w:r>
              <w:rPr>
                <w:rFonts w:hint="eastAsia" w:ascii="仿宋" w:hAnsi="仿宋" w:eastAsia="仿宋" w:cs="仿宋"/>
                <w:color w:val="auto"/>
                <w:sz w:val="24"/>
                <w:szCs w:val="24"/>
                <w:lang w:val="en-US" w:eastAsia="zh-CN" w:bidi="ar-SA"/>
              </w:rPr>
              <w:t>47.92万元；按照财政规定的标准列支的公用经费3.85万元；洋溪湖电排经费124.99万元,其他收入开支0.09万元。</w:t>
            </w:r>
          </w:p>
          <w:p>
            <w:pPr>
              <w:spacing w:line="560" w:lineRule="exact"/>
              <w:ind w:firstLine="481"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单位整体支出管理及使用情况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（一）部门整体经费支出情况分析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1、基本支出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2021年度单位基本支出176.85万元，使用内容为人员经费和日常公用经费。其中人员经费支</w:t>
            </w:r>
            <w:r>
              <w:rPr>
                <w:rFonts w:hint="eastAsia" w:ascii="仿宋" w:hAnsi="仿宋" w:eastAsia="仿宋" w:cs="仿宋"/>
                <w:color w:val="auto"/>
                <w:sz w:val="24"/>
                <w:szCs w:val="24"/>
                <w:lang w:val="en-US" w:eastAsia="zh-CN" w:bidi="ar-SA"/>
              </w:rPr>
              <w:t>出47.92万元，</w:t>
            </w:r>
            <w:r>
              <w:rPr>
                <w:rFonts w:hint="eastAsia" w:ascii="仿宋" w:hAnsi="仿宋" w:eastAsia="仿宋" w:cs="仿宋"/>
                <w:color w:val="auto"/>
                <w:sz w:val="24"/>
                <w:szCs w:val="24"/>
                <w:lang w:val="en-US" w:eastAsia="zh-CN" w:bidi="ar-SA"/>
              </w:rPr>
              <w:t>主要用于发放事业人员基本工资、津补贴、奖金、伙食补助费、绩效工资、社会保障缴费等；一般商品和服务支</w:t>
            </w:r>
            <w:r>
              <w:rPr>
                <w:rFonts w:hint="eastAsia" w:ascii="仿宋" w:hAnsi="仿宋" w:eastAsia="仿宋" w:cs="仿宋"/>
                <w:color w:val="auto"/>
                <w:sz w:val="24"/>
                <w:szCs w:val="24"/>
                <w:lang w:val="en-US" w:eastAsia="zh-CN" w:bidi="ar-SA"/>
              </w:rPr>
              <w:t>出128.93万元，主</w:t>
            </w:r>
            <w:r>
              <w:rPr>
                <w:rFonts w:hint="eastAsia" w:ascii="仿宋" w:hAnsi="仿宋" w:eastAsia="仿宋" w:cs="仿宋"/>
                <w:color w:val="auto"/>
                <w:sz w:val="24"/>
                <w:szCs w:val="24"/>
                <w:lang w:val="en-US" w:eastAsia="zh-CN" w:bidi="ar-SA"/>
              </w:rPr>
              <w:t>要用于保障单位正常运转所需开支的办公费、差旅费、公务接待费、工会经费，电排维修养护和排渍所需开支的水费、电费、维修（护）费、劳务费等。基本开支来自于年初预算拨款。</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2、项目支出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本单位是今年新增单位，2021年度无项目收入，虽有项目支出，但使用的是上年结余资金，所以没有组织项目绩效评价。</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（二）“三公”经费支出情况分析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2021年“三公”经费支出共</w:t>
            </w:r>
            <w:r>
              <w:rPr>
                <w:rFonts w:hint="eastAsia" w:ascii="仿宋" w:hAnsi="仿宋" w:eastAsia="仿宋" w:cs="仿宋"/>
                <w:b w:val="0"/>
                <w:bCs w:val="0"/>
                <w:color w:val="auto"/>
                <w:sz w:val="24"/>
                <w:szCs w:val="24"/>
                <w:highlight w:val="none"/>
                <w:lang w:val="en-US" w:eastAsia="zh-CN" w:bidi="ar-SA"/>
              </w:rPr>
              <w:t>计0.69万元，其中公务接待费0.69万元，占</w:t>
            </w:r>
            <w:r>
              <w:rPr>
                <w:rFonts w:hint="eastAsia" w:ascii="仿宋" w:hAnsi="仿宋" w:eastAsia="仿宋" w:cs="仿宋"/>
                <w:color w:val="auto"/>
                <w:sz w:val="24"/>
                <w:szCs w:val="24"/>
                <w:lang w:val="en-US" w:eastAsia="zh-CN" w:bidi="ar-SA"/>
              </w:rPr>
              <w:t>比100%；无公务用车运行维护费、无公务车辆购置费和因公出国费。</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（三）固定资产情况分析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截至2021年12月31日，固定资产总额为139.07万元。</w:t>
            </w:r>
          </w:p>
          <w:p>
            <w:pPr>
              <w:spacing w:line="560" w:lineRule="exact"/>
              <w:ind w:firstLine="481"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三、单位专项组织实施情况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（一）专项组织情况分析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按照绩效自评要求，我单位组织成立了绩效评价工作小组，组织学习国家法律法规，贯彻落实相关政策，制定了部门整体支出绩效评价实施方案，设计了绩效评价指标体系。核查了2021年市级财政预算批复执行及部门整体支出情况，着重核查了“三公”经费及资产管理、内控制度。对内设机构，根据职能和年初制定的绩效考核目标，进行了实地绩效考评。</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（二）专项管理情况分析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1、严格预算支出管理。在支出预算编制上，人员经费按照配置定额，逐人核定编制，</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p>
          <w:p>
            <w:pPr>
              <w:widowControl/>
              <w:numPr>
                <w:ilvl w:val="0"/>
                <w:numId w:val="0"/>
              </w:numPr>
              <w:jc w:val="left"/>
              <w:rPr>
                <w:rFonts w:hint="eastAsia" w:ascii="仿宋" w:hAnsi="仿宋" w:eastAsia="仿宋" w:cs="仿宋"/>
                <w:color w:val="auto"/>
                <w:sz w:val="24"/>
                <w:szCs w:val="24"/>
                <w:lang w:val="en-US" w:eastAsia="zh-CN" w:bidi="ar-SA"/>
              </w:rPr>
            </w:pPr>
          </w:p>
          <w:p>
            <w:pPr>
              <w:widowControl/>
              <w:numPr>
                <w:ilvl w:val="0"/>
                <w:numId w:val="0"/>
              </w:num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公用经费分类分档，按定额编制；根据“总量控制、计划管理”的要求从严控制行政经费，</w:t>
            </w:r>
          </w:p>
          <w:p>
            <w:pPr>
              <w:widowControl/>
              <w:numPr>
                <w:ilvl w:val="0"/>
                <w:numId w:val="0"/>
              </w:num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压缩公务费开支，严格控制“三公”经费，资产的配置严格政府采购，按照预算科目和项目资金的规定使用财政资金，保障部门整体支出的规范化、制度化。</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2、财务管理按制度运行。根据国家法律法规，省市相关文件规定，重新修订了《岳阳市洋溪湖财务管理制度》，各项支出严格按照省市相关文件和《制度》执行，防范风险，保证财政资金的安全和高效运行。</w:t>
            </w:r>
          </w:p>
          <w:p>
            <w:pPr>
              <w:spacing w:line="560" w:lineRule="exact"/>
              <w:ind w:firstLine="481"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四、单位整体支出绩效情况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xml:space="preserve">一是抓好维修养护防汛备汛工作。        </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 xml:space="preserve">二是科学调度协调防洪排涝工作。           </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三是逐步衔接长江补水工程运行管理工作。</w:t>
            </w:r>
          </w:p>
          <w:p>
            <w:pPr>
              <w:spacing w:line="560" w:lineRule="exact"/>
              <w:ind w:firstLine="481"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五、存在的主要问题</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一是上年结余资金下拨不够及时，未完全按进度下拨；</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二是预算管理制度不够健全，相应的管理制度没有得到有效执行；</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三是预算编制不够合理，一般预算经费较少，而支出较大，存在资金缺口。</w:t>
            </w:r>
          </w:p>
          <w:p>
            <w:pPr>
              <w:spacing w:line="560" w:lineRule="exact"/>
              <w:ind w:firstLine="481"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六、改进措施和有关建议</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一是加强工作衔接，确保资金及时下拨；</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二是完善相关管理制度，强化行政管理职能，确保制度贯彻落实；</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三是加强预算管理，定期做好预算执行情况分析。</w:t>
            </w:r>
          </w:p>
          <w:p>
            <w:pPr>
              <w:pStyle w:val="2"/>
              <w:rPr>
                <w:rFonts w:hint="eastAsia"/>
                <w:color w:val="auto"/>
                <w:lang w:val="en-US" w:eastAsia="zh-CN"/>
              </w:rPr>
            </w:pPr>
          </w:p>
          <w:p>
            <w:pPr>
              <w:rPr>
                <w:rFonts w:hint="eastAsia"/>
                <w:lang w:val="en-US" w:eastAsia="zh-CN"/>
              </w:rPr>
            </w:pPr>
          </w:p>
          <w:p>
            <w:pPr>
              <w:widowControl/>
              <w:numPr>
                <w:ilvl w:val="0"/>
                <w:numId w:val="0"/>
              </w:numPr>
              <w:ind w:firstLine="480" w:firstLineChars="200"/>
              <w:jc w:val="right"/>
              <w:rPr>
                <w:rFonts w:hint="eastAsia" w:eastAsia="楷体_GB2312"/>
                <w:color w:val="auto"/>
                <w:lang w:eastAsia="zh-CN"/>
              </w:rPr>
            </w:pPr>
            <w:r>
              <w:rPr>
                <w:rFonts w:hint="eastAsia" w:ascii="仿宋" w:hAnsi="仿宋" w:eastAsia="仿宋" w:cs="仿宋"/>
                <w:color w:val="auto"/>
                <w:sz w:val="24"/>
                <w:szCs w:val="24"/>
                <w:lang w:val="en-US" w:eastAsia="zh-CN" w:bidi="ar-SA"/>
              </w:rPr>
              <w:t>岳阳市洋溪湖水利工程服务中心</w:t>
            </w:r>
          </w:p>
        </w:tc>
      </w:tr>
    </w:tbl>
    <w:p>
      <w:pPr>
        <w:spacing w:line="348" w:lineRule="auto"/>
        <w:rPr>
          <w:rFonts w:eastAsia="楷体_GB2312"/>
          <w:bCs/>
          <w:color w:val="auto"/>
          <w:sz w:val="28"/>
          <w:szCs w:val="28"/>
        </w:rPr>
      </w:pPr>
    </w:p>
    <w:p>
      <w:pPr>
        <w:adjustRightInd w:val="0"/>
        <w:snapToGrid w:val="0"/>
        <w:spacing w:beforeLines="50"/>
        <w:contextualSpacing/>
        <w:rPr>
          <w:color w:val="auto"/>
        </w:rPr>
      </w:pPr>
    </w:p>
    <w:p>
      <w:pPr>
        <w:spacing w:before="312" w:beforeLines="100" w:after="312" w:afterLines="100"/>
        <w:ind w:firstLine="760" w:firstLineChars="200"/>
        <w:jc w:val="both"/>
        <w:rPr>
          <w:rFonts w:hint="eastAsia" w:ascii="方正小标宋简体" w:eastAsia="方正小标宋简体"/>
          <w:color w:val="auto"/>
          <w:sz w:val="38"/>
          <w:szCs w:val="38"/>
        </w:rPr>
      </w:pPr>
      <w:r>
        <w:rPr>
          <w:rFonts w:hint="eastAsia" w:ascii="方正小标宋简体" w:eastAsia="方正小标宋简体"/>
          <w:color w:val="auto"/>
          <w:sz w:val="38"/>
          <w:szCs w:val="38"/>
        </w:rPr>
        <w:t>部门整体支出绩效评价评分表（参考样表）</w:t>
      </w:r>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新增单位，本年财政预算和上年结余资金合计调整率为</w:t>
            </w:r>
            <w:r>
              <w:rPr>
                <w:rFonts w:hint="eastAsia" w:ascii="仿宋_GB2312" w:hAnsi="宋体" w:eastAsia="仿宋_GB2312" w:cs="宋体"/>
                <w:color w:val="000000"/>
                <w:kern w:val="0"/>
                <w:sz w:val="18"/>
                <w:szCs w:val="18"/>
                <w:lang w:val="en-US" w:eastAsia="zh-CN"/>
              </w:rPr>
              <w:t>26.82%</w:t>
            </w:r>
            <w:r>
              <w:rPr>
                <w:rFonts w:hint="eastAsia" w:ascii="仿宋_GB2312" w:hAnsi="宋体" w:eastAsia="仿宋_GB2312" w:cs="宋体"/>
                <w:color w:val="000000"/>
                <w:kern w:val="0"/>
                <w:sz w:val="18"/>
                <w:szCs w:val="18"/>
                <w:lang w:eastAsia="zh-CN"/>
              </w:rPr>
              <w:t>。</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有结余，但未超过上年</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bl>
    <w:p/>
    <w:tbl>
      <w:tblPr>
        <w:tblStyle w:val="8"/>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4"/>
        <w:szCs w:val="24"/>
      </w:rPr>
    </w:pPr>
    <w:r>
      <w:rPr>
        <w:rStyle w:val="11"/>
        <w:sz w:val="24"/>
        <w:szCs w:val="24"/>
      </w:rPr>
      <w:t xml:space="preserve">— </w:t>
    </w: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1</w:t>
    </w:r>
    <w:r>
      <w:rPr>
        <w:rStyle w:val="11"/>
        <w:sz w:val="24"/>
        <w:szCs w:val="24"/>
      </w:rPr>
      <w:fldChar w:fldCharType="end"/>
    </w:r>
    <w:r>
      <w:rPr>
        <w:rStyle w:val="11"/>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7A6C"/>
    <w:multiLevelType w:val="singleLevel"/>
    <w:tmpl w:val="C5BD7A6C"/>
    <w:lvl w:ilvl="0" w:tentative="0">
      <w:start w:val="1"/>
      <w:numFmt w:val="decimal"/>
      <w:lvlText w:val="%1."/>
      <w:lvlJc w:val="left"/>
      <w:pPr>
        <w:tabs>
          <w:tab w:val="left" w:pos="312"/>
        </w:tabs>
      </w:pPr>
    </w:lvl>
  </w:abstractNum>
  <w:abstractNum w:abstractNumId="1">
    <w:nsid w:val="FFFFFF7F"/>
    <w:multiLevelType w:val="singleLevel"/>
    <w:tmpl w:val="FFFFFF7F"/>
    <w:lvl w:ilvl="0" w:tentative="0">
      <w:start w:val="1"/>
      <w:numFmt w:val="decimal"/>
      <w:pStyle w:val="18"/>
      <w:lvlText w:val="%1."/>
      <w:lvlJc w:val="left"/>
      <w:pPr>
        <w:tabs>
          <w:tab w:val="left" w:pos="780"/>
        </w:tabs>
        <w:ind w:left="7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2MzNiNDRlNWM0MjgyNTczNjI4ZWQ2OTgxYWVhO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12500E6"/>
    <w:rsid w:val="028768E2"/>
    <w:rsid w:val="02C379AC"/>
    <w:rsid w:val="02CA6181"/>
    <w:rsid w:val="09B4673D"/>
    <w:rsid w:val="09F6C417"/>
    <w:rsid w:val="0D822487"/>
    <w:rsid w:val="0F574549"/>
    <w:rsid w:val="100C3C22"/>
    <w:rsid w:val="110C5010"/>
    <w:rsid w:val="11C718A1"/>
    <w:rsid w:val="120E1DEC"/>
    <w:rsid w:val="12317495"/>
    <w:rsid w:val="12802DB1"/>
    <w:rsid w:val="14B07999"/>
    <w:rsid w:val="152077A4"/>
    <w:rsid w:val="16897C30"/>
    <w:rsid w:val="173D47EA"/>
    <w:rsid w:val="177B18F2"/>
    <w:rsid w:val="1816336E"/>
    <w:rsid w:val="18C84512"/>
    <w:rsid w:val="190A26C5"/>
    <w:rsid w:val="19EC50C1"/>
    <w:rsid w:val="1A1105A8"/>
    <w:rsid w:val="1D8266C4"/>
    <w:rsid w:val="1DCD20F4"/>
    <w:rsid w:val="1E096570"/>
    <w:rsid w:val="1E32305C"/>
    <w:rsid w:val="1E56741B"/>
    <w:rsid w:val="20C71096"/>
    <w:rsid w:val="2211363C"/>
    <w:rsid w:val="2250370A"/>
    <w:rsid w:val="22C20ED2"/>
    <w:rsid w:val="23D153F5"/>
    <w:rsid w:val="25166B67"/>
    <w:rsid w:val="25684725"/>
    <w:rsid w:val="265A40D6"/>
    <w:rsid w:val="26D35913"/>
    <w:rsid w:val="270B205E"/>
    <w:rsid w:val="27F63F10"/>
    <w:rsid w:val="29017CC4"/>
    <w:rsid w:val="295A0943"/>
    <w:rsid w:val="29617483"/>
    <w:rsid w:val="2A5D5C69"/>
    <w:rsid w:val="2AA75E30"/>
    <w:rsid w:val="2AAC34CA"/>
    <w:rsid w:val="2BAFF739"/>
    <w:rsid w:val="2BF9AF6F"/>
    <w:rsid w:val="2C9B3641"/>
    <w:rsid w:val="2D3A1241"/>
    <w:rsid w:val="2D7E5793"/>
    <w:rsid w:val="2DC51DF1"/>
    <w:rsid w:val="2DE5FF70"/>
    <w:rsid w:val="2E110C5E"/>
    <w:rsid w:val="2E1D77B6"/>
    <w:rsid w:val="2E806273"/>
    <w:rsid w:val="2FF6591B"/>
    <w:rsid w:val="2FFC39FC"/>
    <w:rsid w:val="2FFFB506"/>
    <w:rsid w:val="30CC1C42"/>
    <w:rsid w:val="31F6A84E"/>
    <w:rsid w:val="33693AAA"/>
    <w:rsid w:val="338A5C15"/>
    <w:rsid w:val="35907C3F"/>
    <w:rsid w:val="36F90E1D"/>
    <w:rsid w:val="39622C46"/>
    <w:rsid w:val="3A4C1376"/>
    <w:rsid w:val="3ABD587F"/>
    <w:rsid w:val="3AF47979"/>
    <w:rsid w:val="3BF74DD6"/>
    <w:rsid w:val="3C386FAC"/>
    <w:rsid w:val="3C480383"/>
    <w:rsid w:val="3CB5785F"/>
    <w:rsid w:val="3D2946CC"/>
    <w:rsid w:val="3E991F13"/>
    <w:rsid w:val="3EDF00BD"/>
    <w:rsid w:val="3F747080"/>
    <w:rsid w:val="3F8ACC46"/>
    <w:rsid w:val="3FDF268A"/>
    <w:rsid w:val="3FFEFF27"/>
    <w:rsid w:val="404E65D0"/>
    <w:rsid w:val="40DF7012"/>
    <w:rsid w:val="41C537DA"/>
    <w:rsid w:val="41DB3216"/>
    <w:rsid w:val="42EB98F9"/>
    <w:rsid w:val="44650D4A"/>
    <w:rsid w:val="461C02F6"/>
    <w:rsid w:val="4632528D"/>
    <w:rsid w:val="463255DC"/>
    <w:rsid w:val="47383E08"/>
    <w:rsid w:val="47BF26C0"/>
    <w:rsid w:val="48A04E07"/>
    <w:rsid w:val="498B418B"/>
    <w:rsid w:val="49E05673"/>
    <w:rsid w:val="4AE157D8"/>
    <w:rsid w:val="4B1450EC"/>
    <w:rsid w:val="4CFFD995"/>
    <w:rsid w:val="4D2C1E00"/>
    <w:rsid w:val="4E4F2351"/>
    <w:rsid w:val="4F0029D6"/>
    <w:rsid w:val="4FEA2E16"/>
    <w:rsid w:val="50611F9F"/>
    <w:rsid w:val="5062205A"/>
    <w:rsid w:val="516C4399"/>
    <w:rsid w:val="54816D04"/>
    <w:rsid w:val="551FC509"/>
    <w:rsid w:val="553165E0"/>
    <w:rsid w:val="55515A87"/>
    <w:rsid w:val="556524D7"/>
    <w:rsid w:val="560F64F4"/>
    <w:rsid w:val="56BDC4E0"/>
    <w:rsid w:val="5A0F6F86"/>
    <w:rsid w:val="5A3261BE"/>
    <w:rsid w:val="5A67B0D2"/>
    <w:rsid w:val="5BB730C0"/>
    <w:rsid w:val="5BBA2A5C"/>
    <w:rsid w:val="5C2D6AD2"/>
    <w:rsid w:val="5CC3355C"/>
    <w:rsid w:val="5CEC77C3"/>
    <w:rsid w:val="5D2B0966"/>
    <w:rsid w:val="5DDCD5E9"/>
    <w:rsid w:val="5F0F957E"/>
    <w:rsid w:val="5F5E550F"/>
    <w:rsid w:val="5F7AE2AA"/>
    <w:rsid w:val="5FC2414F"/>
    <w:rsid w:val="5FED7427"/>
    <w:rsid w:val="5FF6977A"/>
    <w:rsid w:val="5FF6E519"/>
    <w:rsid w:val="61225252"/>
    <w:rsid w:val="61E01A4A"/>
    <w:rsid w:val="62DA2292"/>
    <w:rsid w:val="63696542"/>
    <w:rsid w:val="636C2246"/>
    <w:rsid w:val="649A04EC"/>
    <w:rsid w:val="67264707"/>
    <w:rsid w:val="6737B6CB"/>
    <w:rsid w:val="673D1771"/>
    <w:rsid w:val="675DB4DD"/>
    <w:rsid w:val="67972391"/>
    <w:rsid w:val="6AAEED5A"/>
    <w:rsid w:val="6B220371"/>
    <w:rsid w:val="6C042109"/>
    <w:rsid w:val="6C083394"/>
    <w:rsid w:val="6DFF65C0"/>
    <w:rsid w:val="6F5FE978"/>
    <w:rsid w:val="6F6F15F5"/>
    <w:rsid w:val="6FFFD052"/>
    <w:rsid w:val="734E26B2"/>
    <w:rsid w:val="73A416DA"/>
    <w:rsid w:val="73BE8D81"/>
    <w:rsid w:val="74DD07C0"/>
    <w:rsid w:val="75010811"/>
    <w:rsid w:val="750F1B20"/>
    <w:rsid w:val="7576E642"/>
    <w:rsid w:val="76842AA2"/>
    <w:rsid w:val="76E56B9A"/>
    <w:rsid w:val="77AB0643"/>
    <w:rsid w:val="77AF9CB3"/>
    <w:rsid w:val="77DB3933"/>
    <w:rsid w:val="77E9287B"/>
    <w:rsid w:val="77FACD8D"/>
    <w:rsid w:val="78AD184A"/>
    <w:rsid w:val="79CFDE10"/>
    <w:rsid w:val="79D78950"/>
    <w:rsid w:val="7A2376D6"/>
    <w:rsid w:val="7A2C47DB"/>
    <w:rsid w:val="7AED3724"/>
    <w:rsid w:val="7AF79772"/>
    <w:rsid w:val="7B464A8D"/>
    <w:rsid w:val="7BB86C54"/>
    <w:rsid w:val="7BD60BD9"/>
    <w:rsid w:val="7BDB98B3"/>
    <w:rsid w:val="7C9C0B77"/>
    <w:rsid w:val="7D843D54"/>
    <w:rsid w:val="7D9A8126"/>
    <w:rsid w:val="7DE62D45"/>
    <w:rsid w:val="7DFF017E"/>
    <w:rsid w:val="7E7E0675"/>
    <w:rsid w:val="7E7F4D83"/>
    <w:rsid w:val="7ECCFC6E"/>
    <w:rsid w:val="7ED50879"/>
    <w:rsid w:val="7EF2B2F4"/>
    <w:rsid w:val="7EFD6911"/>
    <w:rsid w:val="7F482CA4"/>
    <w:rsid w:val="7F6B87A9"/>
    <w:rsid w:val="7F76E4C8"/>
    <w:rsid w:val="7F7C9164"/>
    <w:rsid w:val="7F9B1D4E"/>
    <w:rsid w:val="7FAF8270"/>
    <w:rsid w:val="7FFB3B07"/>
    <w:rsid w:val="8F6A00BE"/>
    <w:rsid w:val="8FAB3C04"/>
    <w:rsid w:val="9DFBFB09"/>
    <w:rsid w:val="9F77FFC6"/>
    <w:rsid w:val="9FFF392D"/>
    <w:rsid w:val="A3C7F511"/>
    <w:rsid w:val="ABE6DDFF"/>
    <w:rsid w:val="AEDA9D68"/>
    <w:rsid w:val="AFF7378F"/>
    <w:rsid w:val="BB8D7A60"/>
    <w:rsid w:val="BBFE9658"/>
    <w:rsid w:val="BFDB6EE0"/>
    <w:rsid w:val="BFDFD41E"/>
    <w:rsid w:val="BFFF222C"/>
    <w:rsid w:val="C919614A"/>
    <w:rsid w:val="CBFDCC14"/>
    <w:rsid w:val="CF74D500"/>
    <w:rsid w:val="CFF7C1DA"/>
    <w:rsid w:val="D6FF8867"/>
    <w:rsid w:val="D789051E"/>
    <w:rsid w:val="D7BC6A30"/>
    <w:rsid w:val="D7E17F3D"/>
    <w:rsid w:val="D7EDE886"/>
    <w:rsid w:val="DB3557EC"/>
    <w:rsid w:val="DEF7CBD3"/>
    <w:rsid w:val="DFFE1C28"/>
    <w:rsid w:val="DFFF4748"/>
    <w:rsid w:val="E57FC8D4"/>
    <w:rsid w:val="E5E9347B"/>
    <w:rsid w:val="E5FF0391"/>
    <w:rsid w:val="E6D6451E"/>
    <w:rsid w:val="EBFA233C"/>
    <w:rsid w:val="ECBE6347"/>
    <w:rsid w:val="ED473A05"/>
    <w:rsid w:val="EEF5F70E"/>
    <w:rsid w:val="EEFF863A"/>
    <w:rsid w:val="EF3945CE"/>
    <w:rsid w:val="EF70EE72"/>
    <w:rsid w:val="EFBD13AC"/>
    <w:rsid w:val="F3F76CEB"/>
    <w:rsid w:val="F3FF75C8"/>
    <w:rsid w:val="F5F682FC"/>
    <w:rsid w:val="F5FDAEC5"/>
    <w:rsid w:val="F6F964C3"/>
    <w:rsid w:val="F6FF0A74"/>
    <w:rsid w:val="F7FF8141"/>
    <w:rsid w:val="F98EB6D5"/>
    <w:rsid w:val="F9FF8F5C"/>
    <w:rsid w:val="FA8F0EDA"/>
    <w:rsid w:val="FAAED7D8"/>
    <w:rsid w:val="FCFCC6CC"/>
    <w:rsid w:val="FD2F8980"/>
    <w:rsid w:val="FD37F3B8"/>
    <w:rsid w:val="FD766DCC"/>
    <w:rsid w:val="FD7D23A1"/>
    <w:rsid w:val="FDADE7B3"/>
    <w:rsid w:val="FDFDEC02"/>
    <w:rsid w:val="FDFF1C40"/>
    <w:rsid w:val="FEBEE94D"/>
    <w:rsid w:val="FEC511C8"/>
    <w:rsid w:val="FEF16483"/>
    <w:rsid w:val="FF4AFDDF"/>
    <w:rsid w:val="FF7B7CBC"/>
    <w:rsid w:val="FF7C43E3"/>
    <w:rsid w:val="FFDC312D"/>
    <w:rsid w:val="FFE5874F"/>
    <w:rsid w:val="FFEB1AFF"/>
    <w:rsid w:val="FFF76A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before="260" w:after="260" w:line="416" w:lineRule="auto"/>
      <w:outlineLvl w:val="1"/>
    </w:pPr>
    <w:rPr>
      <w:rFonts w:ascii="Arial" w:hAnsi="Arial" w:eastAsia="黑体"/>
      <w:b/>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6"/>
    <w:qFormat/>
    <w:uiPriority w:val="99"/>
    <w:pPr>
      <w:ind w:firstLine="588" w:firstLineChars="200"/>
    </w:pPr>
    <w:rPr>
      <w:rFonts w:ascii="仿宋_GB2312" w:hAnsi="Calibri" w:eastAsia="仿宋_GB2312"/>
      <w:sz w:val="32"/>
    </w:rPr>
  </w:style>
  <w:style w:type="paragraph" w:styleId="4">
    <w:name w:val="Balloon Text"/>
    <w:basedOn w:val="1"/>
    <w:link w:val="19"/>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Header Char"/>
    <w:basedOn w:val="10"/>
    <w:link w:val="6"/>
    <w:semiHidden/>
    <w:qFormat/>
    <w:locked/>
    <w:uiPriority w:val="99"/>
    <w:rPr>
      <w:rFonts w:cs="Times New Roman"/>
      <w:sz w:val="18"/>
      <w:szCs w:val="18"/>
    </w:rPr>
  </w:style>
  <w:style w:type="character" w:customStyle="1" w:styleId="13">
    <w:name w:val="Footer Char"/>
    <w:basedOn w:val="10"/>
    <w:link w:val="5"/>
    <w:qFormat/>
    <w:locked/>
    <w:uiPriority w:val="99"/>
    <w:rPr>
      <w:rFonts w:cs="Times New Roman"/>
      <w:sz w:val="18"/>
      <w:szCs w:val="18"/>
    </w:rPr>
  </w:style>
  <w:style w:type="character" w:customStyle="1" w:styleId="14">
    <w:name w:val="标题 3 Char Char"/>
    <w:qFormat/>
    <w:uiPriority w:val="99"/>
    <w:rPr>
      <w:rFonts w:eastAsia="楷体_GB2312"/>
      <w:b/>
      <w:kern w:val="2"/>
      <w:sz w:val="24"/>
      <w:lang w:val="en-US" w:eastAsia="zh-CN"/>
    </w:rPr>
  </w:style>
  <w:style w:type="paragraph" w:customStyle="1" w:styleId="15">
    <w:name w:val="Char"/>
    <w:basedOn w:val="1"/>
    <w:qFormat/>
    <w:uiPriority w:val="99"/>
    <w:pPr>
      <w:autoSpaceDE w:val="0"/>
      <w:autoSpaceDN w:val="0"/>
      <w:adjustRightInd w:val="0"/>
    </w:pPr>
    <w:rPr>
      <w:rFonts w:ascii="宋体" w:cs="宋体"/>
      <w:kern w:val="0"/>
      <w:sz w:val="20"/>
      <w:szCs w:val="20"/>
      <w:lang w:val="zh-CN"/>
    </w:rPr>
  </w:style>
  <w:style w:type="character" w:customStyle="1" w:styleId="16">
    <w:name w:val="Body Text Indent 2 Char"/>
    <w:basedOn w:val="10"/>
    <w:link w:val="3"/>
    <w:qFormat/>
    <w:locked/>
    <w:uiPriority w:val="99"/>
    <w:rPr>
      <w:rFonts w:ascii="仿宋_GB2312" w:hAnsi="Calibri" w:eastAsia="仿宋_GB2312" w:cs="Times New Roman"/>
      <w:sz w:val="24"/>
      <w:szCs w:val="24"/>
    </w:rPr>
  </w:style>
  <w:style w:type="paragraph" w:customStyle="1" w:styleId="17">
    <w:name w:val="Char1"/>
    <w:basedOn w:val="1"/>
    <w:qFormat/>
    <w:uiPriority w:val="99"/>
    <w:rPr>
      <w:rFonts w:ascii="仿宋_GB2312" w:eastAsia="仿宋_GB2312"/>
      <w:sz w:val="32"/>
    </w:rPr>
  </w:style>
  <w:style w:type="paragraph" w:customStyle="1" w:styleId="18">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9">
    <w:name w:val="Balloon Text Char"/>
    <w:basedOn w:val="10"/>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7</Pages>
  <Words>3122</Words>
  <Characters>3302</Characters>
  <Lines>0</Lines>
  <Paragraphs>0</Paragraphs>
  <TotalTime>42</TotalTime>
  <ScaleCrop>false</ScaleCrop>
  <LinksUpToDate>false</LinksUpToDate>
  <CharactersWithSpaces>3826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2021-06-03T09:03:00Z</dcterms:created>
  <dc:creator>User</dc:creator>
  <cp:lastModifiedBy>yyadmin</cp:lastModifiedBy>
  <cp:lastPrinted>2022-09-27T10:10:00Z</cp:lastPrinted>
  <dcterms:modified xsi:type="dcterms:W3CDTF">2023-11-01T16:37:25Z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F2E01549BC5A4FF184BE62C3362F34C2</vt:lpwstr>
  </property>
</Properties>
</file>