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湖南省湘咨工程咨询管理有限责任公司受</w:t>
      </w:r>
      <w:r>
        <w:rPr>
          <w:rFonts w:hint="eastAsia" w:ascii="宋体" w:hAnsi="宋体" w:eastAsia="宋体" w:cs="宋体"/>
          <w:color w:val="000000"/>
          <w:sz w:val="24"/>
          <w:szCs w:val="24"/>
        </w:rPr>
        <w:t>中交岳阳智慧物流投资有限公司</w:t>
      </w:r>
      <w:r>
        <w:rPr>
          <w:rFonts w:hint="eastAsia" w:ascii="宋体" w:hAnsi="宋体" w:eastAsia="宋体" w:cs="宋体"/>
          <w:sz w:val="24"/>
          <w:szCs w:val="24"/>
        </w:rPr>
        <w:t>的委托，本代理机构对岳阳市胥家桥综合物流园一期PPP项目C地块物流基地工程智慧园区平台建设进行公开招标采购，现将采购事项公告如下：</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一、采购项目信息</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1、采购项目名称：</w:t>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softHyphen/>
      </w:r>
      <w:r>
        <w:rPr>
          <w:rFonts w:hint="eastAsia" w:ascii="宋体" w:hAnsi="宋体" w:eastAsia="宋体" w:cs="宋体"/>
          <w:sz w:val="24"/>
          <w:szCs w:val="24"/>
        </w:rPr>
        <w:t>岳阳市胥家桥综合物流园一期PPP项目C地块物流基地工程智慧园区平台建设</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2、委托代理编号：HNXZ-2023-YY-XMZB-0765</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3、采购项目</w:t>
      </w:r>
      <w:r>
        <w:rPr>
          <w:rFonts w:hint="eastAsia" w:ascii="宋体" w:hAnsi="宋体" w:eastAsia="宋体" w:cs="宋体"/>
          <w:sz w:val="24"/>
          <w:szCs w:val="24"/>
          <w:highlight w:val="none"/>
        </w:rPr>
        <w:t>预算：</w:t>
      </w:r>
      <w:r>
        <w:rPr>
          <w:rFonts w:hint="eastAsia" w:ascii="宋体" w:hAnsi="宋体" w:eastAsia="宋体" w:cs="宋体"/>
          <w:sz w:val="24"/>
          <w:szCs w:val="24"/>
          <w:highlight w:val="none"/>
          <w:shd w:val="clear" w:color="auto" w:fill="auto"/>
        </w:rPr>
        <w:t>2,520,000.00</w:t>
      </w:r>
      <w:r>
        <w:rPr>
          <w:rFonts w:hint="eastAsia" w:ascii="宋体" w:hAnsi="宋体" w:eastAsia="宋体" w:cs="宋体"/>
          <w:sz w:val="24"/>
          <w:szCs w:val="24"/>
          <w:highlight w:val="none"/>
        </w:rPr>
        <w:t>元（具体金额以财评为准）</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25" o:spt="201" type="#_x0000_t201" style="height:15.75pt;width:20.25pt;" o:ole="t" filled="f" o:preferrelative="t" stroked="f" coordsize="21600,21600">
            <v:path/>
            <v:fill on="f" focussize="0,0"/>
            <v:stroke on="f"/>
            <v:imagedata r:id="rId5" o:title=""/>
            <o:lock v:ext="edit" aspectratio="t"/>
            <w10:wrap type="none"/>
            <w10:anchorlock/>
          </v:shape>
          <w:control r:id="rId4" w:name="Control 2" w:shapeid="_x0000_i1025"/>
        </w:object>
      </w:r>
      <w:r>
        <w:rPr>
          <w:rFonts w:hint="eastAsia" w:ascii="宋体" w:hAnsi="宋体" w:eastAsia="宋体" w:cs="宋体"/>
          <w:sz w:val="24"/>
          <w:szCs w:val="24"/>
        </w:rPr>
        <w:t>支持预付款，预付比例：</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4、本项目对应的中小企业划分标准所属行业：</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"https://baike.baidu.com/item/%E8%BD%AF%E4%BB%B6%E5%92%8C%E4%BF%A1%E6%81%AF%E6%8A%80%E6%9C%AF%E6%9C%8D%E5%8A%A1%E4%B8%9A/60200450?fromModule=lemma_inlink" \t "https://baike.baidu.com/item/%E4%B8%AD%E5%B0%8F%E4%BC%81%E4%B8%9A/_blank" </w:instrText>
      </w:r>
      <w:r>
        <w:rPr>
          <w:rFonts w:hint="eastAsia" w:ascii="宋体" w:hAnsi="宋体" w:eastAsia="宋体" w:cs="宋体"/>
          <w:sz w:val="24"/>
          <w:szCs w:val="24"/>
        </w:rPr>
        <w:fldChar w:fldCharType="separate"/>
      </w:r>
      <w:r>
        <w:rPr>
          <w:rFonts w:hint="eastAsia" w:ascii="宋体" w:hAnsi="宋体" w:eastAsia="宋体" w:cs="宋体"/>
          <w:sz w:val="24"/>
          <w:szCs w:val="24"/>
        </w:rPr>
        <w:t>软件和信息技术服务业</w:t>
      </w:r>
      <w:r>
        <w:rPr>
          <w:rFonts w:hint="eastAsia" w:ascii="宋体" w:hAnsi="宋体" w:eastAsia="宋体" w:cs="宋体"/>
          <w:sz w:val="24"/>
          <w:szCs w:val="24"/>
        </w:rPr>
        <w:fldChar w:fldCharType="end"/>
      </w:r>
      <w:r>
        <w:rPr>
          <w:rFonts w:hint="eastAsia" w:ascii="宋体" w:hAnsi="宋体" w:eastAsia="宋体" w:cs="宋体"/>
          <w:sz w:val="24"/>
          <w:szCs w:val="24"/>
        </w:rPr>
        <w:t>。</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5、评标方法： </w:t>
      </w:r>
      <w:r>
        <w:rPr>
          <w:rFonts w:hint="eastAsia" w:ascii="宋体" w:hAnsi="宋体" w:eastAsia="宋体" w:cs="宋体"/>
          <w:sz w:val="24"/>
          <w:szCs w:val="24"/>
        </w:rPr>
        <w:object>
          <v:shape id="_x0000_i1026" o:spt="201" type="#_x0000_t201" style="height:15.75pt;width:20.25pt;" o:ole="t" filled="f" o:preferrelative="t" stroked="f" coordsize="21600,21600">
            <v:path/>
            <v:fill on="f" focussize="0,0"/>
            <v:stroke on="f"/>
            <v:imagedata r:id="rId5" o:title=""/>
            <o:lock v:ext="edit" aspectratio="t"/>
            <w10:wrap type="none"/>
            <w10:anchorlock/>
          </v:shape>
          <w:control r:id="rId6" w:name="Control 2" w:shapeid="_x0000_i1026"/>
        </w:object>
      </w:r>
      <w:r>
        <w:rPr>
          <w:rFonts w:hint="eastAsia" w:ascii="宋体" w:hAnsi="宋体" w:eastAsia="宋体" w:cs="宋体"/>
          <w:sz w:val="24"/>
          <w:szCs w:val="24"/>
        </w:rPr>
        <w:t>最低价法 </w:t>
      </w:r>
      <w:r>
        <w:rPr>
          <w:rFonts w:hint="eastAsia" w:ascii="宋体" w:hAnsi="宋体" w:eastAsia="宋体" w:cs="宋体"/>
          <w:sz w:val="24"/>
          <w:szCs w:val="24"/>
        </w:rPr>
        <w:object>
          <v:shape id="_x0000_i1027" o:spt="201" type="#_x0000_t201" style="height:15.75pt;width:20.25pt;" o:ole="t" filled="f" o:preferrelative="t" stroked="f" coordsize="21600,21600">
            <v:path/>
            <v:fill on="f" focussize="0,0"/>
            <v:stroke on="f"/>
            <v:imagedata r:id="rId8" o:title=""/>
            <o:lock v:ext="edit" aspectratio="t"/>
            <w10:wrap type="none"/>
            <w10:anchorlock/>
          </v:shape>
          <w:control r:id="rId7" w:name="Control 15" w:shapeid="_x0000_i1027"/>
        </w:object>
      </w:r>
      <w:r>
        <w:rPr>
          <w:rFonts w:hint="eastAsia" w:ascii="宋体" w:hAnsi="宋体" w:eastAsia="宋体" w:cs="宋体"/>
          <w:sz w:val="24"/>
          <w:szCs w:val="24"/>
        </w:rPr>
        <w:t>综合评分法</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6、合同定价方式： </w:t>
      </w:r>
      <w:r>
        <w:rPr>
          <w:rFonts w:hint="eastAsia" w:ascii="宋体" w:hAnsi="宋体" w:eastAsia="宋体" w:cs="宋体"/>
          <w:sz w:val="24"/>
          <w:szCs w:val="24"/>
        </w:rPr>
        <w:object>
          <v:shape id="_x0000_i1028" o:spt="201" type="#_x0000_t201" style="height:15.75pt;width:20.25pt;" o:ole="t" filled="f" o:preferrelative="t" stroked="f" coordsize="21600,21600">
            <v:path/>
            <v:fill on="f" focussize="0,0"/>
            <v:stroke on="f"/>
            <v:imagedata r:id="rId8" o:title=""/>
            <o:lock v:ext="edit" aspectratio="t"/>
            <w10:wrap type="none"/>
            <w10:anchorlock/>
          </v:shape>
          <w:control r:id="rId9" w:name="Control 15" w:shapeid="_x0000_i1028"/>
        </w:object>
      </w:r>
      <w:r>
        <w:rPr>
          <w:rFonts w:hint="eastAsia" w:ascii="宋体" w:hAnsi="宋体" w:eastAsia="宋体" w:cs="宋体"/>
          <w:sz w:val="24"/>
          <w:szCs w:val="24"/>
        </w:rPr>
        <w:t>固定总价 </w:t>
      </w:r>
      <w:r>
        <w:rPr>
          <w:rFonts w:hint="eastAsia" w:ascii="宋体" w:hAnsi="宋体" w:eastAsia="宋体" w:cs="宋体"/>
          <w:sz w:val="24"/>
          <w:szCs w:val="24"/>
        </w:rPr>
        <w:object>
          <v:shape id="_x0000_i1029" o:spt="201" type="#_x0000_t201" style="height:15.75pt;width:20.25pt;" o:ole="t" filled="f" o:preferrelative="t" stroked="f" coordsize="21600,21600">
            <v:path/>
            <v:fill on="f" focussize="0,0"/>
            <v:stroke on="f"/>
            <v:imagedata r:id="rId5" o:title=""/>
            <o:lock v:ext="edit" aspectratio="t"/>
            <w10:wrap type="none"/>
            <w10:anchorlock/>
          </v:shape>
          <w:control r:id="rId10" w:name="Control 5" w:shapeid="_x0000_i1029"/>
        </w:object>
      </w:r>
      <w:r>
        <w:rPr>
          <w:rFonts w:hint="eastAsia" w:ascii="宋体" w:hAnsi="宋体" w:eastAsia="宋体" w:cs="宋体"/>
          <w:sz w:val="24"/>
          <w:szCs w:val="24"/>
        </w:rPr>
        <w:t>固定单价 </w:t>
      </w:r>
      <w:r>
        <w:rPr>
          <w:rFonts w:hint="eastAsia" w:ascii="宋体" w:hAnsi="宋体" w:eastAsia="宋体" w:cs="宋体"/>
          <w:sz w:val="24"/>
          <w:szCs w:val="24"/>
        </w:rPr>
        <w:object>
          <v:shape id="_x0000_i1030" o:spt="201" type="#_x0000_t201" style="height:15.75pt;width:20.25pt;" o:ole="t" filled="f" o:preferrelative="t" stroked="f" coordsize="21600,21600">
            <v:path/>
            <v:fill on="f" focussize="0,0"/>
            <v:stroke on="f"/>
            <v:imagedata r:id="rId5" o:title=""/>
            <o:lock v:ext="edit" aspectratio="t"/>
            <w10:wrap type="none"/>
            <w10:anchorlock/>
          </v:shape>
          <w:control r:id="rId11" w:name="Control 6" w:shapeid="_x0000_i1030"/>
        </w:object>
      </w:r>
      <w:r>
        <w:rPr>
          <w:rFonts w:hint="eastAsia" w:ascii="宋体" w:hAnsi="宋体" w:eastAsia="宋体" w:cs="宋体"/>
          <w:sz w:val="24"/>
          <w:szCs w:val="24"/>
        </w:rPr>
        <w:t>成本补偿 </w:t>
      </w:r>
      <w:r>
        <w:rPr>
          <w:rFonts w:hint="eastAsia" w:ascii="宋体" w:hAnsi="宋体" w:eastAsia="宋体" w:cs="宋体"/>
          <w:sz w:val="24"/>
          <w:szCs w:val="24"/>
        </w:rPr>
        <w:object>
          <v:shape id="_x0000_i1031" o:spt="201" type="#_x0000_t201" style="height:15.75pt;width:20.25pt;" o:ole="t" filled="f" o:preferrelative="t" stroked="f" coordsize="21600,21600">
            <v:path/>
            <v:fill on="f" focussize="0,0"/>
            <v:stroke on="f"/>
            <v:imagedata r:id="rId5" o:title=""/>
            <o:lock v:ext="edit" aspectratio="t"/>
            <w10:wrap type="none"/>
            <w10:anchorlock/>
          </v:shape>
          <w:control r:id="rId12" w:name="Control 7" w:shapeid="_x0000_i1031"/>
        </w:object>
      </w:r>
      <w:r>
        <w:rPr>
          <w:rFonts w:hint="eastAsia" w:ascii="宋体" w:hAnsi="宋体" w:eastAsia="宋体" w:cs="宋体"/>
          <w:sz w:val="24"/>
          <w:szCs w:val="24"/>
        </w:rPr>
        <w:t>绩效激励</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7、合同履行期限：12个月。</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8、本项目分阶段要求投标人提供以下保证：</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32" o:spt="201" type="#_x0000_t201" style="height:15.75pt;width:20.25pt;" o:ole="t" filled="f" o:preferrelative="t" stroked="f" coordsize="21600,21600">
            <v:path/>
            <v:fill on="f" focussize="0,0"/>
            <v:stroke on="f"/>
            <v:imagedata r:id="rId5" o:title=""/>
            <o:lock v:ext="edit" aspectratio="t"/>
            <w10:wrap type="none"/>
            <w10:anchorlock/>
          </v:shape>
          <w:control r:id="rId13" w:name="Control 8" w:shapeid="_x0000_i1032"/>
        </w:object>
      </w:r>
      <w:r>
        <w:rPr>
          <w:rFonts w:hint="eastAsia" w:ascii="宋体" w:hAnsi="宋体" w:eastAsia="宋体" w:cs="宋体"/>
          <w:sz w:val="24"/>
          <w:szCs w:val="24"/>
        </w:rPr>
        <w:t>投标保证金：采购项目预算的</w:t>
      </w:r>
      <w:r>
        <w:rPr>
          <w:rFonts w:hint="eastAsia" w:ascii="宋体" w:hAnsi="宋体" w:eastAsia="宋体" w:cs="宋体"/>
          <w:sz w:val="24"/>
          <w:szCs w:val="24"/>
          <w:u w:val="single"/>
        </w:rPr>
        <w:t> / </w:t>
      </w:r>
      <w:r>
        <w:rPr>
          <w:rFonts w:hint="eastAsia" w:ascii="宋体" w:hAnsi="宋体" w:eastAsia="宋体" w:cs="宋体"/>
          <w:sz w:val="24"/>
          <w:szCs w:val="24"/>
        </w:rPr>
        <w:t>%；</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33" o:spt="201" type="#_x0000_t201" style="height:15.75pt;width:20.25pt;" o:ole="t" filled="f" o:preferrelative="t" stroked="f" coordsize="21600,21600">
            <v:path/>
            <v:fill on="f" focussize="0,0"/>
            <v:stroke on="f"/>
            <v:imagedata r:id="rId5" o:title=""/>
            <o:lock v:ext="edit" aspectratio="t"/>
            <w10:wrap type="none"/>
            <w10:anchorlock/>
          </v:shape>
          <w:control r:id="rId14" w:name="Control 9" w:shapeid="_x0000_i1033"/>
        </w:object>
      </w:r>
      <w:r>
        <w:rPr>
          <w:rFonts w:hint="eastAsia" w:ascii="宋体" w:hAnsi="宋体" w:eastAsia="宋体" w:cs="宋体"/>
          <w:sz w:val="24"/>
          <w:szCs w:val="24"/>
        </w:rPr>
        <w:t>履约保证金：中标金额的</w:t>
      </w:r>
      <w:r>
        <w:rPr>
          <w:rFonts w:hint="eastAsia" w:ascii="宋体" w:hAnsi="宋体" w:eastAsia="宋体" w:cs="宋体"/>
          <w:sz w:val="24"/>
          <w:szCs w:val="24"/>
          <w:u w:val="single"/>
        </w:rPr>
        <w:t> / </w:t>
      </w:r>
      <w:r>
        <w:rPr>
          <w:rFonts w:hint="eastAsia" w:ascii="宋体" w:hAnsi="宋体" w:eastAsia="宋体" w:cs="宋体"/>
          <w:sz w:val="24"/>
          <w:szCs w:val="24"/>
        </w:rPr>
        <w:t>%；</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34" o:spt="201" type="#_x0000_t201" style="height:15.75pt;width:20.25pt;" o:ole="t" filled="f" o:preferrelative="t" stroked="f" coordsize="21600,21600">
            <v:path/>
            <v:fill on="f" focussize="0,0"/>
            <v:stroke on="f"/>
            <v:imagedata r:id="rId5" o:title=""/>
            <o:lock v:ext="edit" aspectratio="t"/>
            <w10:wrap type="none"/>
            <w10:anchorlock/>
          </v:shape>
          <w:control r:id="rId15" w:name="Control 10" w:shapeid="_x0000_i1034"/>
        </w:object>
      </w:r>
      <w:r>
        <w:rPr>
          <w:rFonts w:hint="eastAsia" w:ascii="宋体" w:hAnsi="宋体" w:eastAsia="宋体" w:cs="宋体"/>
          <w:sz w:val="24"/>
          <w:szCs w:val="24"/>
        </w:rPr>
        <w:t>预付款保证金：预付款的</w:t>
      </w:r>
      <w:r>
        <w:rPr>
          <w:rFonts w:hint="eastAsia" w:ascii="宋体" w:hAnsi="宋体" w:eastAsia="宋体" w:cs="宋体"/>
          <w:sz w:val="24"/>
          <w:szCs w:val="24"/>
          <w:u w:val="single"/>
        </w:rPr>
        <w:t> / </w:t>
      </w:r>
      <w:r>
        <w:rPr>
          <w:rFonts w:hint="eastAsia" w:ascii="宋体" w:hAnsi="宋体" w:eastAsia="宋体" w:cs="宋体"/>
          <w:sz w:val="24"/>
          <w:szCs w:val="24"/>
        </w:rPr>
        <w:t>%；</w:t>
      </w:r>
    </w:p>
    <w:p>
      <w:pPr>
        <w:shd w:val="clear" w:color="auto" w:fill="auto"/>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35" o:spt="201" type="#_x0000_t201" style="height:15.75pt;width:20.25pt;" o:ole="t" filled="f" o:preferrelative="t" stroked="f" coordsize="21600,21600">
            <v:path/>
            <v:fill on="f" focussize="0,0"/>
            <v:stroke on="f"/>
            <v:imagedata r:id="rId5" o:title=""/>
            <o:lock v:ext="edit" aspectratio="t"/>
            <w10:wrap type="none"/>
            <w10:anchorlock/>
          </v:shape>
          <w:control r:id="rId16" w:name="Control 11" w:shapeid="_x0000_i1035"/>
        </w:object>
      </w:r>
      <w:r>
        <w:rPr>
          <w:rFonts w:hint="eastAsia" w:ascii="宋体" w:hAnsi="宋体" w:eastAsia="宋体" w:cs="宋体"/>
          <w:sz w:val="24"/>
          <w:szCs w:val="24"/>
        </w:rPr>
        <w:t>质量保证金：合同金额的</w:t>
      </w:r>
      <w:r>
        <w:rPr>
          <w:rFonts w:hint="eastAsia" w:ascii="宋体" w:hAnsi="宋体" w:eastAsia="宋体" w:cs="宋体"/>
          <w:sz w:val="24"/>
          <w:szCs w:val="24"/>
          <w:u w:val="single"/>
        </w:rPr>
        <w:t> / </w:t>
      </w:r>
      <w:r>
        <w:rPr>
          <w:rFonts w:hint="eastAsia" w:ascii="宋体" w:hAnsi="宋体" w:eastAsia="宋体" w:cs="宋体"/>
          <w:sz w:val="24"/>
          <w:szCs w:val="24"/>
        </w:rPr>
        <w:t>%；</w:t>
      </w:r>
    </w:p>
    <w:p>
      <w:pPr>
        <w:shd w:val="clear" w:color="auto" w:fill="auto"/>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采购项目内容与数量：</w:t>
      </w:r>
    </w:p>
    <w:p>
      <w:pPr>
        <w:shd w:val="clear" w:color="auto" w:fill="auto"/>
        <w:adjustRightInd w:val="0"/>
        <w:snapToGrid w:val="0"/>
        <w:spacing w:line="480" w:lineRule="auto"/>
        <w:ind w:firstLine="482" w:firstLineChars="200"/>
        <w:rPr>
          <w:rFonts w:hint="eastAsia" w:ascii="宋体" w:hAnsi="宋体" w:eastAsia="宋体" w:cs="宋体"/>
          <w:color w:val="000000"/>
          <w:sz w:val="24"/>
          <w:szCs w:val="24"/>
        </w:rPr>
      </w:pPr>
      <w:r>
        <w:rPr>
          <w:rFonts w:hint="eastAsia" w:ascii="宋体" w:hAnsi="宋体" w:eastAsia="宋体" w:cs="宋体"/>
          <w:b/>
          <w:sz w:val="24"/>
          <w:szCs w:val="24"/>
        </w:rPr>
        <w:t>二、采购人的采购需求</w:t>
      </w:r>
    </w:p>
    <w:tbl>
      <w:tblPr>
        <w:tblStyle w:val="6"/>
        <w:tblW w:w="5199" w:type="pct"/>
        <w:tblCellSpacing w:w="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772"/>
        <w:gridCol w:w="1776"/>
        <w:gridCol w:w="1677"/>
        <w:gridCol w:w="1524"/>
        <w:gridCol w:w="581"/>
        <w:gridCol w:w="1776"/>
        <w:gridCol w:w="1024"/>
        <w:gridCol w:w="1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8" w:hRule="atLeast"/>
          <w:tblCellSpacing w:w="0" w:type="dxa"/>
        </w:trPr>
        <w:tc>
          <w:tcPr>
            <w:tcW w:w="380" w:type="pct"/>
            <w:tcBorders>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包名称</w:t>
            </w:r>
          </w:p>
        </w:tc>
        <w:tc>
          <w:tcPr>
            <w:tcW w:w="874" w:type="pct"/>
            <w:tcBorders>
              <w:left w:val="single" w:color="auto" w:sz="4" w:space="0"/>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最高限价（元）</w:t>
            </w:r>
          </w:p>
        </w:tc>
        <w:tc>
          <w:tcPr>
            <w:tcW w:w="825" w:type="pct"/>
            <w:tcBorders>
              <w:left w:val="single" w:color="auto" w:sz="4" w:space="0"/>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标的名称</w:t>
            </w:r>
          </w:p>
        </w:tc>
        <w:tc>
          <w:tcPr>
            <w:tcW w:w="750" w:type="pct"/>
            <w:tcBorders>
              <w:left w:val="single" w:color="auto" w:sz="4" w:space="0"/>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简要技术要求</w:t>
            </w:r>
          </w:p>
        </w:tc>
        <w:tc>
          <w:tcPr>
            <w:tcW w:w="286" w:type="pct"/>
            <w:tcBorders>
              <w:left w:val="single" w:color="auto" w:sz="4" w:space="0"/>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874" w:type="pct"/>
            <w:tcBorders>
              <w:left w:val="single" w:color="auto" w:sz="4" w:space="0"/>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标的预算（元）</w:t>
            </w:r>
          </w:p>
        </w:tc>
        <w:tc>
          <w:tcPr>
            <w:tcW w:w="504" w:type="pct"/>
            <w:tcBorders>
              <w:left w:val="single" w:color="auto" w:sz="4" w:space="0"/>
              <w:bottom w:val="single" w:color="auto" w:sz="4" w:space="0"/>
              <w:right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节能产品</w:t>
            </w:r>
          </w:p>
        </w:tc>
        <w:tc>
          <w:tcPr>
            <w:tcW w:w="504" w:type="pct"/>
            <w:tcBorders>
              <w:left w:val="single" w:color="auto" w:sz="4" w:space="0"/>
              <w:bottom w:val="single" w:color="auto" w:sz="4" w:space="0"/>
            </w:tcBorders>
            <w:noWrap/>
            <w:vAlign w:val="center"/>
          </w:tcPr>
          <w:p>
            <w:pPr>
              <w:widowControl/>
              <w:shd w:val="clear" w:color="auto" w:fill="auto"/>
              <w:spacing w:before="75" w:line="480" w:lineRule="auto"/>
              <w:jc w:val="center"/>
              <w:rPr>
                <w:rFonts w:hint="eastAsia" w:ascii="宋体" w:hAnsi="宋体" w:eastAsia="宋体" w:cs="宋体"/>
                <w:b/>
                <w:sz w:val="21"/>
                <w:szCs w:val="21"/>
              </w:rPr>
            </w:pPr>
            <w:r>
              <w:rPr>
                <w:rFonts w:hint="eastAsia" w:ascii="宋体" w:hAnsi="宋体" w:eastAsia="宋体" w:cs="宋体"/>
                <w:b/>
                <w:sz w:val="21"/>
                <w:szCs w:val="21"/>
              </w:rPr>
              <w:t>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07" w:hRule="atLeast"/>
          <w:tblCellSpacing w:w="0" w:type="dxa"/>
        </w:trPr>
        <w:tc>
          <w:tcPr>
            <w:tcW w:w="380" w:type="pct"/>
            <w:tcBorders>
              <w:top w:val="single" w:color="auto" w:sz="4" w:space="0"/>
              <w:right w:val="single" w:color="auto" w:sz="4" w:space="0"/>
            </w:tcBorders>
            <w:noWrap w:val="0"/>
            <w:vAlign w:val="center"/>
          </w:tcPr>
          <w:p>
            <w:pPr>
              <w:shd w:val="clear" w:color="auto" w:fill="auto"/>
              <w:adjustRightInd w:val="0"/>
              <w:snapToGrid w:val="0"/>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包1</w:t>
            </w:r>
          </w:p>
        </w:tc>
        <w:tc>
          <w:tcPr>
            <w:tcW w:w="874" w:type="pct"/>
            <w:tcBorders>
              <w:top w:val="single" w:color="auto" w:sz="4" w:space="0"/>
              <w:left w:val="single" w:color="auto" w:sz="4" w:space="0"/>
              <w:right w:val="single" w:color="auto" w:sz="4" w:space="0"/>
            </w:tcBorders>
            <w:noWrap w:val="0"/>
            <w:vAlign w:val="center"/>
          </w:tcPr>
          <w:p>
            <w:pPr>
              <w:shd w:val="clear" w:color="auto" w:fill="auto"/>
              <w:adjustRightInd w:val="0"/>
              <w:snapToGrid w:val="0"/>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1,500,167.30元</w:t>
            </w:r>
          </w:p>
        </w:tc>
        <w:tc>
          <w:tcPr>
            <w:tcW w:w="825" w:type="pct"/>
            <w:tcBorders>
              <w:top w:val="single" w:color="auto" w:sz="4" w:space="0"/>
              <w:left w:val="single" w:color="auto" w:sz="4" w:space="0"/>
              <w:right w:val="single" w:color="auto" w:sz="4" w:space="0"/>
            </w:tcBorders>
            <w:noWrap w:val="0"/>
            <w:vAlign w:val="center"/>
          </w:tcPr>
          <w:p>
            <w:pPr>
              <w:shd w:val="clear" w:color="auto" w:fill="auto"/>
              <w:adjustRightInd w:val="0"/>
              <w:snapToGrid w:val="0"/>
              <w:spacing w:line="480" w:lineRule="auto"/>
              <w:jc w:val="center"/>
              <w:rPr>
                <w:rFonts w:hint="eastAsia" w:ascii="宋体" w:hAnsi="宋体" w:eastAsia="宋体" w:cs="宋体"/>
                <w:sz w:val="21"/>
                <w:szCs w:val="21"/>
              </w:rPr>
            </w:pPr>
            <w:r>
              <w:rPr>
                <w:rFonts w:hint="eastAsia" w:ascii="宋体" w:hAnsi="宋体" w:eastAsia="宋体" w:cs="宋体"/>
                <w:sz w:val="21"/>
                <w:szCs w:val="21"/>
              </w:rPr>
              <w:t>岳阳市胥家桥综合物流园一期PPP项目C地块物流基地工程智慧园区平台建设</w:t>
            </w:r>
          </w:p>
        </w:tc>
        <w:tc>
          <w:tcPr>
            <w:tcW w:w="750" w:type="pct"/>
            <w:tcBorders>
              <w:top w:val="single" w:color="auto" w:sz="4" w:space="0"/>
              <w:left w:val="single" w:color="auto" w:sz="4" w:space="0"/>
              <w:right w:val="single" w:color="auto" w:sz="4" w:space="0"/>
            </w:tcBorders>
            <w:noWrap w:val="0"/>
            <w:vAlign w:val="center"/>
          </w:tcPr>
          <w:p>
            <w:pPr>
              <w:shd w:val="clear" w:color="auto" w:fill="auto"/>
              <w:adjustRightInd w:val="0"/>
              <w:snapToGrid w:val="0"/>
              <w:spacing w:line="48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详见文件</w:t>
            </w:r>
          </w:p>
        </w:tc>
        <w:tc>
          <w:tcPr>
            <w:tcW w:w="286" w:type="pct"/>
            <w:tcBorders>
              <w:top w:val="single" w:color="auto" w:sz="4" w:space="0"/>
              <w:left w:val="single" w:color="auto" w:sz="4" w:space="0"/>
              <w:right w:val="single" w:color="auto" w:sz="4" w:space="0"/>
            </w:tcBorders>
            <w:noWrap w:val="0"/>
            <w:vAlign w:val="center"/>
          </w:tcPr>
          <w:p>
            <w:pPr>
              <w:shd w:val="clear" w:color="auto" w:fill="auto"/>
              <w:adjustRightInd w:val="0"/>
              <w:snapToGrid w:val="0"/>
              <w:spacing w:line="480" w:lineRule="auto"/>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74" w:type="pct"/>
            <w:tcBorders>
              <w:top w:val="single" w:color="auto" w:sz="4" w:space="0"/>
              <w:left w:val="single" w:color="auto" w:sz="4" w:space="0"/>
              <w:right w:val="single" w:color="auto" w:sz="4" w:space="0"/>
            </w:tcBorders>
            <w:noWrap w:val="0"/>
            <w:vAlign w:val="center"/>
          </w:tcPr>
          <w:p>
            <w:pPr>
              <w:shd w:val="clear" w:color="auto" w:fill="auto"/>
              <w:adjustRightInd w:val="0"/>
              <w:snapToGrid w:val="0"/>
              <w:spacing w:line="48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2,520,000.00元（具体金额以财评为准）</w:t>
            </w:r>
          </w:p>
        </w:tc>
        <w:tc>
          <w:tcPr>
            <w:tcW w:w="504" w:type="pct"/>
            <w:tcBorders>
              <w:top w:val="single" w:color="auto" w:sz="4" w:space="0"/>
              <w:left w:val="single" w:color="auto" w:sz="4" w:space="0"/>
              <w:right w:val="single" w:color="auto" w:sz="4" w:space="0"/>
            </w:tcBorders>
            <w:noWrap w:val="0"/>
            <w:vAlign w:val="center"/>
          </w:tcPr>
          <w:p>
            <w:pPr>
              <w:shd w:val="clear" w:color="auto" w:fill="auto"/>
              <w:adjustRightInd w:val="0"/>
              <w:snapToGrid w:val="0"/>
              <w:spacing w:line="48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object>
                <v:shape id="_x0000_i1036" o:spt="201" type="#_x0000_t201" style="height:15.75pt;width:20.25pt;" o:ole="t" filled="f" o:preferrelative="t" stroked="f" coordsize="21600,21600">
                  <v:path/>
                  <v:fill on="f" focussize="0,0"/>
                  <v:stroke on="f"/>
                  <v:imagedata r:id="rId5" o:title=""/>
                  <o:lock v:ext="edit" aspectratio="t"/>
                  <w10:wrap type="none"/>
                  <w10:anchorlock/>
                </v:shape>
                <w:control r:id="rId17" w:name="Control 12" w:shapeid="_x0000_i1036"/>
              </w:object>
            </w:r>
          </w:p>
        </w:tc>
        <w:tc>
          <w:tcPr>
            <w:tcW w:w="504" w:type="pct"/>
            <w:tcBorders>
              <w:top w:val="single" w:color="auto" w:sz="4" w:space="0"/>
              <w:left w:val="single" w:color="auto" w:sz="4" w:space="0"/>
            </w:tcBorders>
            <w:noWrap w:val="0"/>
            <w:vAlign w:val="center"/>
          </w:tcPr>
          <w:p>
            <w:pPr>
              <w:shd w:val="clear" w:color="auto" w:fill="auto"/>
              <w:adjustRightInd w:val="0"/>
              <w:snapToGrid w:val="0"/>
              <w:spacing w:line="48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object>
                <v:shape id="_x0000_i1037" o:spt="201" type="#_x0000_t201" style="height:15.75pt;width:20.25pt;" o:ole="t" filled="f" o:preferrelative="t" stroked="f" coordsize="21600,21600">
                  <v:path/>
                  <v:fill on="f" focussize="0,0"/>
                  <v:stroke on="f"/>
                  <v:imagedata r:id="rId5" o:title=""/>
                  <o:lock v:ext="edit" aspectratio="t"/>
                  <w10:wrap type="none"/>
                  <w10:anchorlock/>
                </v:shape>
                <w:control r:id="rId18" w:name="Control 13" w:shapeid="_x0000_i1037"/>
              </w:object>
            </w:r>
          </w:p>
        </w:tc>
      </w:tr>
    </w:tbl>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1.节能产品实行强制采购的，需提供国家认证机构出具的、处于有效期内的节能产品证书。</w:t>
      </w:r>
    </w:p>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2.同意购买进口产品的，不限制满足采购需求的国内产品参与投标。</w:t>
      </w:r>
    </w:p>
    <w:p>
      <w:pPr>
        <w:adjustRightInd w:val="0"/>
        <w:snapToGrid w:val="0"/>
        <w:spacing w:before="120" w:beforeLines="50"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三、采购项目需落实的政府采购政策：</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1、优先采购：节能产品、环境标志产品、两型产品享受加分或价格折扣。</w:t>
      </w:r>
    </w:p>
    <w:p>
      <w:pPr>
        <w:adjustRightInd w:val="0"/>
        <w:snapToGrid w:val="0"/>
        <w:spacing w:line="48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2、支持中小企业：</w:t>
      </w:r>
      <w:r>
        <w:rPr>
          <w:rFonts w:hint="eastAsia" w:ascii="宋体" w:hAnsi="宋体" w:eastAsia="宋体" w:cs="宋体"/>
          <w:kern w:val="0"/>
          <w:sz w:val="24"/>
          <w:szCs w:val="24"/>
        </w:rPr>
        <w:t>中小企业享受预留采购份额或价格折扣。</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四、投标人的资格要求：</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的基本资格条件：投标人必须是在中华人民共和国境内注册登记的法人、其他组织或者自然人，且应当符合《政府采购法》第二十二条第一款的规定。即：（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38" o:spt="201" type="#_x0000_t201" style="height:15.75pt;width:20.25pt;" o:ole="t" filled="f" o:preferrelative="t" stroked="f" coordsize="21600,21600">
            <v:path/>
            <v:fill on="f" focussize="0,0"/>
            <v:stroke on="f"/>
            <v:imagedata r:id="rId5" o:title=""/>
            <o:lock v:ext="edit" aspectratio="t"/>
            <w10:wrap type="none"/>
            <w10:anchorlock/>
          </v:shape>
          <w:control r:id="rId19" w:name="Control 16" w:shapeid="_x0000_i1038"/>
        </w:object>
      </w:r>
      <w:r>
        <w:rPr>
          <w:rFonts w:hint="eastAsia" w:ascii="宋体" w:hAnsi="宋体" w:eastAsia="宋体" w:cs="宋体"/>
          <w:sz w:val="24"/>
          <w:szCs w:val="24"/>
        </w:rPr>
        <w:t>专门面向： </w:t>
      </w:r>
      <w:r>
        <w:rPr>
          <w:rFonts w:hint="eastAsia" w:ascii="宋体" w:hAnsi="宋体" w:eastAsia="宋体" w:cs="宋体"/>
          <w:sz w:val="24"/>
          <w:szCs w:val="24"/>
        </w:rPr>
        <w:object>
          <v:shape id="_x0000_i1039" o:spt="201" type="#_x0000_t201" style="height:15.75pt;width:20.25pt;" o:ole="t" filled="f" o:preferrelative="t" stroked="f" coordsize="21600,21600">
            <v:path/>
            <v:fill on="f" focussize="0,0"/>
            <v:stroke on="f"/>
            <v:imagedata r:id="rId8" o:title=""/>
            <o:lock v:ext="edit" aspectratio="t"/>
            <w10:wrap type="none"/>
            <w10:anchorlock/>
          </v:shape>
          <w:control r:id="rId20" w:name="Control 15" w:shapeid="_x0000_i1039"/>
        </w:object>
      </w:r>
      <w:r>
        <w:rPr>
          <w:rFonts w:hint="eastAsia" w:ascii="宋体" w:hAnsi="宋体" w:eastAsia="宋体" w:cs="宋体"/>
          <w:sz w:val="24"/>
          <w:szCs w:val="24"/>
        </w:rPr>
        <w:t>中小企业 </w:t>
      </w:r>
      <w:r>
        <w:rPr>
          <w:rFonts w:hint="eastAsia" w:ascii="宋体" w:hAnsi="宋体" w:eastAsia="宋体" w:cs="宋体"/>
          <w:sz w:val="24"/>
          <w:szCs w:val="24"/>
        </w:rPr>
        <w:object>
          <v:shape id="_x0000_i1040" o:spt="201" type="#_x0000_t201" style="height:15.75pt;width:20.25pt;" o:ole="t" filled="f" o:preferrelative="t" stroked="f" coordsize="21600,21600">
            <v:path/>
            <v:fill on="f" focussize="0,0"/>
            <v:stroke on="f"/>
            <v:imagedata r:id="rId5" o:title=""/>
            <o:lock v:ext="edit" aspectratio="t"/>
            <w10:wrap type="none"/>
            <w10:anchorlock/>
          </v:shape>
          <w:control r:id="rId21" w:name="Control 16" w:shapeid="_x0000_i1040"/>
        </w:object>
      </w:r>
      <w:r>
        <w:rPr>
          <w:rFonts w:hint="eastAsia" w:ascii="宋体" w:hAnsi="宋体" w:eastAsia="宋体" w:cs="宋体"/>
          <w:sz w:val="24"/>
          <w:szCs w:val="24"/>
        </w:rPr>
        <w:t>小微企业 </w:t>
      </w:r>
      <w:r>
        <w:rPr>
          <w:rFonts w:hint="eastAsia" w:ascii="宋体" w:hAnsi="宋体" w:eastAsia="宋体" w:cs="宋体"/>
          <w:sz w:val="24"/>
          <w:szCs w:val="24"/>
        </w:rPr>
        <w:object>
          <v:shape id="_x0000_i1041" o:spt="201" type="#_x0000_t201" style="height:15.75pt;width:20.25pt;" o:ole="t" filled="f" o:preferrelative="t" stroked="f" coordsize="21600,21600">
            <v:path/>
            <v:fill on="f" focussize="0,0"/>
            <v:stroke on="f"/>
            <v:imagedata r:id="rId5" o:title=""/>
            <o:lock v:ext="edit" aspectratio="t"/>
            <w10:wrap type="none"/>
            <w10:anchorlock/>
          </v:shape>
          <w:control r:id="rId22" w:name="Control 17" w:shapeid="_x0000_i1041"/>
        </w:object>
      </w:r>
      <w:r>
        <w:rPr>
          <w:rFonts w:hint="eastAsia" w:ascii="宋体" w:hAnsi="宋体" w:eastAsia="宋体" w:cs="宋体"/>
          <w:sz w:val="24"/>
          <w:szCs w:val="24"/>
        </w:rPr>
        <w:t>监狱企业 </w:t>
      </w:r>
      <w:r>
        <w:rPr>
          <w:rFonts w:hint="eastAsia" w:ascii="宋体" w:hAnsi="宋体" w:eastAsia="宋体" w:cs="宋体"/>
          <w:sz w:val="24"/>
          <w:szCs w:val="24"/>
        </w:rPr>
        <w:object>
          <v:shape id="_x0000_i1042" o:spt="201" type="#_x0000_t201" style="height:15.75pt;width:20.25pt;" o:ole="t" filled="f" o:preferrelative="t" stroked="f" coordsize="21600,21600">
            <v:path/>
            <v:fill on="f" focussize="0,0"/>
            <v:stroke on="f"/>
            <v:imagedata r:id="rId5" o:title=""/>
            <o:lock v:ext="edit" aspectratio="t"/>
            <w10:wrap type="none"/>
            <w10:anchorlock/>
          </v:shape>
          <w:control r:id="rId23" w:name="Control 18" w:shapeid="_x0000_i1042"/>
        </w:object>
      </w:r>
      <w:r>
        <w:rPr>
          <w:rFonts w:hint="eastAsia" w:ascii="宋体" w:hAnsi="宋体" w:eastAsia="宋体" w:cs="宋体"/>
          <w:sz w:val="24"/>
          <w:szCs w:val="24"/>
        </w:rPr>
        <w:t>福利性单位</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object>
          <v:shape id="_x0000_i1043" o:spt="201" type="#_x0000_t201" style="height:15.75pt;width:20.25pt;" o:ole="t" filled="f" o:preferrelative="t" stroked="f" coordsize="21600,21600">
            <v:path/>
            <v:fill on="f" focussize="0,0"/>
            <v:stroke on="f"/>
            <v:imagedata r:id="rId5" o:title=""/>
            <o:lock v:ext="edit" aspectratio="t"/>
            <w10:wrap type="none"/>
            <w10:anchorlock/>
          </v:shape>
          <w:control r:id="rId24" w:name="Control 19" w:shapeid="_x0000_i1043"/>
        </w:object>
      </w:r>
      <w:r>
        <w:rPr>
          <w:rFonts w:hint="eastAsia" w:ascii="宋体" w:hAnsi="宋体" w:eastAsia="宋体" w:cs="宋体"/>
          <w:sz w:val="24"/>
          <w:szCs w:val="24"/>
        </w:rPr>
        <w:t>强制分包：大型企业应将采购份额的</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r>
        <w:rPr>
          <w:rFonts w:hint="eastAsia" w:ascii="宋体" w:hAnsi="宋体" w:eastAsia="宋体" w:cs="宋体"/>
          <w:sz w:val="24"/>
          <w:szCs w:val="24"/>
        </w:rPr>
        <w:t>%分包给中小企业。</w:t>
      </w:r>
    </w:p>
    <w:p>
      <w:pPr>
        <w:adjustRightInd w:val="0"/>
        <w:snapToGrid w:val="0"/>
        <w:spacing w:line="480" w:lineRule="auto"/>
        <w:ind w:left="420" w:leftChars="200"/>
        <w:rPr>
          <w:rFonts w:hint="eastAsia" w:ascii="宋体" w:hAnsi="宋体" w:eastAsia="宋体" w:cs="宋体"/>
          <w:sz w:val="24"/>
          <w:szCs w:val="24"/>
        </w:rPr>
      </w:pPr>
      <w:r>
        <w:rPr>
          <w:rFonts w:hint="eastAsia" w:ascii="宋体" w:hAnsi="宋体" w:eastAsia="宋体" w:cs="宋体"/>
          <w:sz w:val="24"/>
          <w:szCs w:val="24"/>
        </w:rPr>
        <w:t>3、供应商特定资格条件：无。</w:t>
      </w:r>
      <w:r>
        <w:rPr>
          <w:rFonts w:hint="eastAsia" w:ascii="宋体" w:hAnsi="宋体" w:eastAsia="宋体" w:cs="宋体"/>
          <w:sz w:val="24"/>
          <w:szCs w:val="24"/>
        </w:rPr>
        <w:br w:type="textWrapping"/>
      </w:r>
      <w:r>
        <w:rPr>
          <w:rFonts w:hint="eastAsia" w:ascii="宋体" w:hAnsi="宋体" w:eastAsia="宋体" w:cs="宋体"/>
          <w:sz w:val="24"/>
          <w:szCs w:val="24"/>
        </w:rPr>
        <w:t>4、单位负责人为同一人或者存在直接控股、管理关系的不同投标人，不得参加同一合同项下的政府采购活动。</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5、为本采购项目提供整体设计、规范编制或者项目管理、监理、检测等服务的，不得再参加此项目的其他采购活动。</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6、列入失信被执行人、重大税收违法失信主体名单、政府采购严重违法失信行为记录名单的，拒绝其参与政府采购活动。</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7、联合体投标。本次招标不接受联合体投标。</w:t>
      </w:r>
    </w:p>
    <w:p>
      <w:pPr>
        <w:pStyle w:val="5"/>
        <w:keepNext w:val="0"/>
        <w:keepLines w:val="0"/>
        <w:widowControl/>
        <w:spacing w:before="75" w:after="0" w:line="480" w:lineRule="auto"/>
        <w:ind w:firstLine="420"/>
        <w:rPr>
          <w:rFonts w:hint="eastAsia" w:ascii="宋体" w:hAnsi="宋体" w:eastAsia="宋体" w:cs="宋体"/>
          <w:bCs w:val="0"/>
          <w:kern w:val="2"/>
          <w:sz w:val="24"/>
          <w:szCs w:val="24"/>
        </w:rPr>
      </w:pPr>
      <w:r>
        <w:rPr>
          <w:rFonts w:hint="eastAsia" w:ascii="宋体" w:hAnsi="宋体" w:eastAsia="宋体" w:cs="宋体"/>
          <w:bCs w:val="0"/>
          <w:kern w:val="2"/>
          <w:sz w:val="24"/>
          <w:szCs w:val="24"/>
        </w:rPr>
        <w:t>五、获取招标文件的时间、期限、地点及方式</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1、凡符合投标资格要求并有意参加投标者必须办理数字CA，登录《岳阳市公共资源交易网》（http://ggzy.yueyang.gov.cn/）下载招标文件。投标人在网上注册应对所提供的证件和证明材料的真实性承担法律责任。</w:t>
      </w:r>
    </w:p>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2、本次招标只支持网上支付标书费报名并从系统中下载招标文件。联系电话：0730-2966692 岳阳市公共资源交易中心</w:t>
      </w:r>
    </w:p>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3、招标文件售价：0元/份。</w:t>
      </w:r>
    </w:p>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4、有意参加投标者，于2023年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 至2023年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日，上午8:00至下午17:30，双休日及节假日除外，在岳阳市公共资源交易网购买招标文件。各投标人自行在以上网站下载或查阅招标相关文件和资料等，恕不另行通知，如有遗漏采购人、采购代理机构概不负责。</w:t>
      </w:r>
    </w:p>
    <w:p>
      <w:pPr>
        <w:adjustRightInd w:val="0"/>
        <w:snapToGrid w:val="0"/>
        <w:spacing w:before="120" w:beforeLines="5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5、电子招标文件获取方式：投标截止时间前，供应商进入“岳阳市公共资源交易网” （http://ggzy.yueyang.gov.cn/）登录“岳阳市公共资源交易中心电子交易平台”（http://222.242.228.197:8083/TPBidder/memberLogin）进行格式化电子招标文件的下载。</w:t>
      </w:r>
    </w:p>
    <w:p>
      <w:pPr>
        <w:adjustRightInd w:val="0"/>
        <w:snapToGrid w:val="0"/>
        <w:spacing w:line="48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六、投标文件的制作</w:t>
      </w:r>
      <w:r>
        <w:rPr>
          <w:rFonts w:hint="eastAsia" w:ascii="宋体" w:hAnsi="宋体" w:eastAsia="宋体" w:cs="宋体"/>
          <w:sz w:val="24"/>
          <w:szCs w:val="24"/>
        </w:rPr>
        <w:t xml:space="preserve">    </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投标人在“岳阳市公共资源交易网” （http://ggzy.yueyang.gov.cn/）服务指南中及时下载安装最新版本“新点投标文件制作软件（岳阳版）”。参与投标的投标人需使用电子标书编制软件制作YYGCZF格式投标</w:t>
      </w:r>
      <w:bookmarkStart w:id="0" w:name="_GoBack"/>
      <w:bookmarkEnd w:id="0"/>
      <w:r>
        <w:rPr>
          <w:rFonts w:hint="eastAsia" w:ascii="宋体" w:hAnsi="宋体" w:eastAsia="宋体" w:cs="宋体"/>
          <w:sz w:val="24"/>
          <w:szCs w:val="24"/>
        </w:rPr>
        <w:t>文件。本项目电子投标文件最大容量为200MB，超过此容量的文件将被拒绝。制作电子投标文件时，投标人须编制投标文件的内容目录和详细页码，其制作软件的下载安装和电子投标文件的制件说明（含电子签章的操作流程）可详见“岳阳市公共资源交易网” （http://ggzy.yueyang.gov.cn/）的服务指南《全流程电子化招投标操作手册》。</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七、投标文件的递交</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1、投标文件递交截止时间（投标截止时间，下同）2023年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9时30分（北京时间），投标人应在投标截止时间前通过岳阳市公共资源交易平台递交数据电文形式的电子投标文件并完成在线签到。其递交的电子投标文件具备法律效力，逾期递交的电子投标文件，电子交易平台将予以拒收。</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八、投标文件的解密</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1、电子投标文件的解密截止时间为2023年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日10时00分（北京时间）（系统设置为开标后30分钟内），投标人在单位在线解密。逾期未解密的，视为放弃投标资格。</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九、投标人澄清、补正和说明</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1、评标过程中，如评委专家要求投标人进行必要的澄清、说明和补正的，投标人应在线保持关注，及时登录岳阳市公共资源交易中心电子交易平台（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"http://222.242.228.197:8083/TPBidder/memberLogin" </w:instrText>
      </w:r>
      <w:r>
        <w:rPr>
          <w:rFonts w:hint="eastAsia" w:ascii="宋体" w:hAnsi="宋体" w:eastAsia="宋体" w:cs="宋体"/>
          <w:sz w:val="24"/>
          <w:szCs w:val="24"/>
        </w:rPr>
        <w:fldChar w:fldCharType="separate"/>
      </w:r>
      <w:r>
        <w:rPr>
          <w:rFonts w:hint="eastAsia" w:ascii="宋体" w:hAnsi="宋体" w:eastAsia="宋体" w:cs="宋体"/>
          <w:sz w:val="24"/>
          <w:szCs w:val="24"/>
        </w:rPr>
        <w:t>http://222.242.228.197:8083/TPBidder/memberLogin</w:t>
      </w:r>
      <w:r>
        <w:rPr>
          <w:rFonts w:hint="eastAsia" w:ascii="宋体" w:hAnsi="宋体" w:eastAsia="宋体" w:cs="宋体"/>
          <w:sz w:val="24"/>
          <w:szCs w:val="24"/>
        </w:rPr>
        <w:fldChar w:fldCharType="end"/>
      </w:r>
      <w:r>
        <w:rPr>
          <w:rFonts w:hint="eastAsia" w:ascii="宋体" w:hAnsi="宋体" w:eastAsia="宋体" w:cs="宋体"/>
          <w:sz w:val="24"/>
          <w:szCs w:val="24"/>
        </w:rPr>
        <w:t>）进行网上回复，并上传提交相关资料，逾期未回复的，视为放弃澄清、说明和补正的权利。</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2、招标人在岳阳市公共资源交易平台上公开进行开标，所有投标人均应当准时在线参加开标。</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十、公告期限：</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1、本招标公告在中国湖南政府采购网（www.ccgp-hunan.gov.cn）发布。公告期限从本招标公告发布之日起5个工作日。</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2、在其他媒体发布的招标公告，公告内容以本招标公告指定媒体发布的公告为准；公告期限自本招标公告指定媒体最先发布公告之日起算。</w:t>
      </w:r>
    </w:p>
    <w:p>
      <w:pPr>
        <w:adjustRightInd w:val="0"/>
        <w:snapToGrid w:val="0"/>
        <w:spacing w:line="48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十一、疑问及质疑：</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投标人对政府采购活动事项如有疑问的，可以向采购人或采购代理机构提出询问。采购人或采购代理机构将在3个工作日内作出答复。</w:t>
      </w:r>
    </w:p>
    <w:p>
      <w:pPr>
        <w:adjustRightInd w:val="0"/>
        <w:snapToGrid w:val="0"/>
        <w:spacing w:line="48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投标人认为招标文件或招标公告使自己的合法权益受到损害的，可以在获取招标文件之日或招标公告期限届满之日起7个工作日内，以书面形式向采购人和采购代理机构提出。</w:t>
      </w:r>
    </w:p>
    <w:p>
      <w:pPr>
        <w:adjustRightInd w:val="0"/>
        <w:snapToGrid w:val="0"/>
        <w:spacing w:line="480" w:lineRule="auto"/>
        <w:ind w:left="420" w:leftChars="200"/>
        <w:rPr>
          <w:rFonts w:hint="eastAsia" w:ascii="宋体" w:hAnsi="宋体" w:eastAsia="宋体" w:cs="宋体"/>
          <w:iCs/>
          <w:color w:val="000000"/>
          <w:sz w:val="24"/>
          <w:szCs w:val="24"/>
          <w:u w:val="single"/>
        </w:rPr>
      </w:pPr>
      <w:r>
        <w:rPr>
          <w:rFonts w:hint="eastAsia" w:ascii="宋体" w:hAnsi="宋体" w:eastAsia="宋体" w:cs="宋体"/>
          <w:b/>
          <w:sz w:val="24"/>
          <w:szCs w:val="24"/>
        </w:rPr>
        <w:t>十二、采购项目联系人姓名和电话：</w:t>
      </w:r>
      <w:r>
        <w:rPr>
          <w:rFonts w:hint="eastAsia" w:ascii="宋体" w:hAnsi="宋体" w:eastAsia="宋体" w:cs="宋体"/>
          <w:b/>
          <w:sz w:val="24"/>
          <w:szCs w:val="24"/>
        </w:rPr>
        <w:br w:type="textWrapping"/>
      </w:r>
      <w:r>
        <w:rPr>
          <w:rFonts w:hint="eastAsia" w:ascii="宋体" w:hAnsi="宋体" w:eastAsia="宋体" w:cs="宋体"/>
          <w:color w:val="000000"/>
          <w:sz w:val="24"/>
          <w:szCs w:val="24"/>
        </w:rPr>
        <w:t>采购人名称：中交岳阳智慧物流投资有限公司</w:t>
      </w:r>
    </w:p>
    <w:p>
      <w:pPr>
        <w:adjustRightInd w:val="0"/>
        <w:snapToGrid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址：岳阳市岳阳楼区金鹗东路22号鑫汇来大厦7楼</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联系人：曾学</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话：15773002373</w:t>
      </w:r>
    </w:p>
    <w:p>
      <w:pPr>
        <w:adjustRightInd w:val="0"/>
        <w:snapToGrid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采购代理机构名称：湖南省湘咨工程咨询管理有限责任公司      </w:t>
      </w:r>
    </w:p>
    <w:p>
      <w:pPr>
        <w:adjustRightInd w:val="0"/>
        <w:snapToGrid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  址：岳阳市建湘路古井社区综合办公楼</w:t>
      </w:r>
    </w:p>
    <w:p>
      <w:pPr>
        <w:adjustRightInd w:val="0"/>
        <w:snapToGrid w:val="0"/>
        <w:spacing w:line="48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联系人：易诗诗</w:t>
      </w:r>
    </w:p>
    <w:p>
      <w:pPr>
        <w:adjustRightInd w:val="0"/>
        <w:snapToGrid w:val="0"/>
        <w:spacing w:line="480" w:lineRule="auto"/>
        <w:ind w:firstLine="480" w:firstLineChars="200"/>
        <w:rPr>
          <w:rFonts w:hint="eastAsia" w:ascii="宋体" w:hAnsi="宋体" w:eastAsia="宋体" w:cs="宋体"/>
        </w:rPr>
      </w:pPr>
      <w:r>
        <w:rPr>
          <w:rFonts w:hint="eastAsia" w:ascii="宋体" w:hAnsi="宋体" w:eastAsia="宋体" w:cs="宋体"/>
          <w:color w:val="000000"/>
          <w:sz w:val="24"/>
          <w:szCs w:val="24"/>
        </w:rPr>
        <w:t>电  话：0730-8213568</w:t>
      </w:r>
    </w:p>
    <w:p>
      <w:pPr>
        <w:numPr>
          <w:ilvl w:val="0"/>
          <w:numId w:val="1"/>
        </w:numPr>
        <w:adjustRightInd w:val="0"/>
        <w:snapToGrid w:val="0"/>
        <w:spacing w:line="480" w:lineRule="auto"/>
        <w:ind w:firstLine="482" w:firstLineChars="200"/>
        <w:rPr>
          <w:rFonts w:hint="eastAsia" w:ascii="宋体" w:hAnsi="宋体" w:eastAsia="宋体" w:cs="宋体"/>
          <w:b w:val="0"/>
          <w:bCs w:val="0"/>
          <w:sz w:val="24"/>
          <w:szCs w:val="24"/>
        </w:rPr>
      </w:pPr>
      <w:r>
        <w:rPr>
          <w:rFonts w:hint="eastAsia" w:ascii="宋体" w:hAnsi="宋体" w:eastAsia="宋体" w:cs="宋体"/>
          <w:b/>
          <w:bCs/>
          <w:sz w:val="24"/>
          <w:szCs w:val="24"/>
        </w:rPr>
        <w:t>投标保证金</w:t>
      </w:r>
      <w:r>
        <w:rPr>
          <w:rFonts w:hint="eastAsia" w:ascii="宋体" w:hAnsi="宋体" w:eastAsia="宋体" w:cs="宋体"/>
          <w:sz w:val="24"/>
          <w:szCs w:val="24"/>
        </w:rPr>
        <w:t>：</w:t>
      </w:r>
      <w:r>
        <w:rPr>
          <w:rFonts w:hint="eastAsia" w:ascii="宋体" w:hAnsi="宋体" w:eastAsia="宋体" w:cs="宋体"/>
          <w:b w:val="0"/>
          <w:bCs w:val="0"/>
          <w:sz w:val="24"/>
          <w:szCs w:val="24"/>
        </w:rPr>
        <w:t>0元。（根据岳财【2020】46号文的指示政府采购项目取消本市范围内的政府采购投标保证金）</w:t>
      </w:r>
    </w:p>
    <w:p>
      <w:pPr>
        <w:numPr>
          <w:ilvl w:val="0"/>
          <w:numId w:val="1"/>
        </w:numPr>
        <w:adjustRightInd w:val="0"/>
        <w:snapToGrid w:val="0"/>
        <w:spacing w:line="48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招标人补充其他内容</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本招标项目采用电子化招标采购，请投标人在“岳阳市公共资源交易网”（http://ggzy.yueyang.gov.cn/），登录“岳阳市公共资源交易中心电子交易平台”（http://222.242.228.197:8083/TPBidder/memberLogin）下载YYGCZF格式的电子招标文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请投标人在“岳阳市公共资源交易网” （http://ggzy.yueyang.gov.cn/）服务指南中及时下载安装最新版本“新点投标文件制作软件（岳阳版）”。参与投标的投标人需使用电子标书编制软件制作YYGCZF格式投标文件。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CA数字证书办理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sz w:val="24"/>
          <w:szCs w:val="24"/>
        </w:rPr>
      </w:pPr>
      <w:r>
        <w:rPr>
          <w:rFonts w:hint="eastAsia" w:ascii="宋体" w:hAnsi="宋体" w:eastAsia="宋体" w:cs="宋体"/>
          <w:b w:val="0"/>
          <w:sz w:val="24"/>
          <w:szCs w:val="24"/>
        </w:rPr>
        <w:t>CA数字证书办理，详情请登陆岳阳市公共资源交易网，参见“服务指南”中《湖南CA客户在线自助平台操作流程》，按相关程序办理。湖南省数字认证服务中心有限公司（民兴路与狮子山南路交叉口）庙坡碧玉湾（南门）43号门面，电话：0730-8181828。</w:t>
      </w:r>
    </w:p>
    <w:p>
      <w:pPr>
        <w:pStyle w:val="4"/>
        <w:spacing w:line="48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纸质版标书：本项目在开标时不需要提供。由中标单位在领取中标通知书前提供三套纸质版和电子版U盘3个用于招标备案。</w:t>
      </w:r>
    </w:p>
    <w:p>
      <w:pPr>
        <w:spacing w:line="480" w:lineRule="auto"/>
        <w:rPr>
          <w:rFonts w:hint="eastAsia" w:ascii="宋体" w:hAnsi="宋体" w:eastAsia="宋体" w:cs="宋体"/>
          <w:sz w:val="24"/>
          <w:szCs w:val="24"/>
        </w:rPr>
      </w:pPr>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381C6"/>
    <w:multiLevelType w:val="singleLevel"/>
    <w:tmpl w:val="9C0381C6"/>
    <w:lvl w:ilvl="0" w:tentative="0">
      <w:start w:val="13"/>
      <w:numFmt w:val="chineseCounting"/>
      <w:suff w:val="nothing"/>
      <w:lvlText w:val="%1、"/>
      <w:lvlJc w:val="left"/>
      <w:rPr>
        <w:rFonts w:hint="eastAsia" w:asciiTheme="minorEastAsia" w:hAnsiTheme="minorEastAsia" w:eastAsiaTheme="minorEastAsia" w:cstheme="minorEastAsia"/>
        <w:b/>
        <w:bCs/>
      </w:rPr>
    </w:lvl>
  </w:abstractNum>
  <w:abstractNum w:abstractNumId="1">
    <w:nsid w:val="DA35EB50"/>
    <w:multiLevelType w:val="singleLevel"/>
    <w:tmpl w:val="DA35EB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TAzNzdiYWJiMjM2NDIyNTljNWEwMWFiNTIwZWMifQ=="/>
  </w:docVars>
  <w:rsids>
    <w:rsidRoot w:val="48571715"/>
    <w:rsid w:val="02E87017"/>
    <w:rsid w:val="0DF5531E"/>
    <w:rsid w:val="0E4806A0"/>
    <w:rsid w:val="39DC19CD"/>
    <w:rsid w:val="48571715"/>
    <w:rsid w:val="6E9B6407"/>
    <w:rsid w:val="7574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b/>
      <w:bCs/>
      <w:kern w:val="0"/>
      <w:sz w:val="24"/>
      <w:szCs w:val="20"/>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309" w:firstLineChars="100"/>
      <w:outlineLvl w:val="0"/>
    </w:pPr>
    <w:rPr>
      <w:bCs/>
      <w:color w:val="000000"/>
      <w:kern w:val="28"/>
      <w:szCs w:val="21"/>
    </w:rPr>
  </w:style>
  <w:style w:type="paragraph" w:styleId="3">
    <w:name w:val="Body Text"/>
    <w:basedOn w:val="1"/>
    <w:next w:val="1"/>
    <w:qFormat/>
    <w:uiPriority w:val="0"/>
    <w:pPr>
      <w:spacing w:after="120"/>
    </w:pPr>
    <w:rPr>
      <w:kern w:val="0"/>
      <w:sz w:val="20"/>
    </w:rPr>
  </w:style>
  <w:style w:type="character" w:styleId="8">
    <w:name w:val="FollowedHyperlink"/>
    <w:basedOn w:val="7"/>
    <w:qFormat/>
    <w:uiPriority w:val="0"/>
    <w:rPr>
      <w:color w:val="2490F8"/>
      <w:u w:val="single"/>
    </w:rPr>
  </w:style>
  <w:style w:type="character" w:styleId="9">
    <w:name w:val="Hyperlink"/>
    <w:basedOn w:val="7"/>
    <w:qFormat/>
    <w:uiPriority w:val="0"/>
    <w:rPr>
      <w:color w:val="2490F8"/>
      <w:u w:val="single"/>
    </w:rPr>
  </w:style>
  <w:style w:type="character" w:customStyle="1" w:styleId="10">
    <w:name w:val="active3"/>
    <w:basedOn w:val="7"/>
    <w:qFormat/>
    <w:uiPriority w:val="0"/>
    <w:rPr>
      <w:color w:val="00FF00"/>
      <w:shd w:val="clear" w:fill="111111"/>
    </w:rPr>
  </w:style>
  <w:style w:type="character" w:customStyle="1" w:styleId="11">
    <w:name w:val="active4"/>
    <w:basedOn w:val="7"/>
    <w:qFormat/>
    <w:uiPriority w:val="0"/>
    <w:rPr>
      <w:shd w:val="clear" w:fill="EC3535"/>
    </w:rPr>
  </w:style>
  <w:style w:type="character" w:customStyle="1" w:styleId="12">
    <w:name w:val="first-child"/>
    <w:basedOn w:val="7"/>
    <w:qFormat/>
    <w:uiPriority w:val="0"/>
  </w:style>
  <w:style w:type="character" w:customStyle="1" w:styleId="13">
    <w:name w:val="associateddata"/>
    <w:basedOn w:val="7"/>
    <w:qFormat/>
    <w:uiPriority w:val="0"/>
    <w:rPr>
      <w:shd w:val="clear" w:fill="50A6F9"/>
    </w:rPr>
  </w:style>
  <w:style w:type="character" w:customStyle="1" w:styleId="14">
    <w:name w:val="layui-layer-tabnow"/>
    <w:basedOn w:val="7"/>
    <w:qFormat/>
    <w:uiPriority w:val="0"/>
    <w:rPr>
      <w:bdr w:val="single" w:color="CCCCCC" w:sz="6" w:space="0"/>
      <w:shd w:val="clear" w:fill="FFFFFF"/>
    </w:rPr>
  </w:style>
  <w:style w:type="character" w:customStyle="1" w:styleId="15">
    <w:name w:val="pagechatarealistclose_box"/>
    <w:basedOn w:val="7"/>
    <w:qFormat/>
    <w:uiPriority w:val="0"/>
  </w:style>
  <w:style w:type="character" w:customStyle="1" w:styleId="16">
    <w:name w:val="pagechatarealistclose_box1"/>
    <w:basedOn w:val="7"/>
    <w:qFormat/>
    <w:uiPriority w:val="0"/>
  </w:style>
  <w:style w:type="character" w:customStyle="1" w:styleId="17">
    <w:name w:val="tmpztreemove_arrow"/>
    <w:basedOn w:val="7"/>
    <w:qFormat/>
    <w:uiPriority w:val="0"/>
  </w:style>
  <w:style w:type="character" w:customStyle="1" w:styleId="18">
    <w:name w:val="cdropleft"/>
    <w:basedOn w:val="7"/>
    <w:qFormat/>
    <w:uiPriority w:val="0"/>
  </w:style>
  <w:style w:type="character" w:customStyle="1" w:styleId="19">
    <w:name w:val="w32"/>
    <w:basedOn w:val="7"/>
    <w:uiPriority w:val="0"/>
  </w:style>
  <w:style w:type="character" w:customStyle="1" w:styleId="20">
    <w:name w:val="ico1651"/>
    <w:basedOn w:val="7"/>
    <w:uiPriority w:val="0"/>
  </w:style>
  <w:style w:type="character" w:customStyle="1" w:styleId="21">
    <w:name w:val="ico1652"/>
    <w:basedOn w:val="7"/>
    <w:qFormat/>
    <w:uiPriority w:val="0"/>
  </w:style>
  <w:style w:type="character" w:customStyle="1" w:styleId="22">
    <w:name w:val="icontext3"/>
    <w:basedOn w:val="7"/>
    <w:qFormat/>
    <w:uiPriority w:val="0"/>
  </w:style>
  <w:style w:type="character" w:customStyle="1" w:styleId="23">
    <w:name w:val="cdropright"/>
    <w:basedOn w:val="7"/>
    <w:uiPriority w:val="0"/>
  </w:style>
  <w:style w:type="character" w:customStyle="1" w:styleId="24">
    <w:name w:val="drapbtn"/>
    <w:basedOn w:val="7"/>
    <w:qFormat/>
    <w:uiPriority w:val="0"/>
  </w:style>
  <w:style w:type="character" w:customStyle="1" w:styleId="25">
    <w:name w:val="icontext1"/>
    <w:basedOn w:val="7"/>
    <w:qFormat/>
    <w:uiPriority w:val="0"/>
  </w:style>
  <w:style w:type="character" w:customStyle="1" w:styleId="26">
    <w:name w:val="icontext11"/>
    <w:basedOn w:val="7"/>
    <w:qFormat/>
    <w:uiPriority w:val="0"/>
  </w:style>
  <w:style w:type="character" w:customStyle="1" w:styleId="27">
    <w:name w:val="icontext12"/>
    <w:basedOn w:val="7"/>
    <w:qFormat/>
    <w:uiPriority w:val="0"/>
  </w:style>
  <w:style w:type="character" w:customStyle="1" w:styleId="28">
    <w:name w:val="cy"/>
    <w:basedOn w:val="7"/>
    <w:qFormat/>
    <w:uiPriority w:val="0"/>
  </w:style>
  <w:style w:type="character" w:customStyle="1" w:styleId="29">
    <w:name w:val="iconline2"/>
    <w:basedOn w:val="7"/>
    <w:qFormat/>
    <w:uiPriority w:val="0"/>
  </w:style>
  <w:style w:type="character" w:customStyle="1" w:styleId="30">
    <w:name w:val="iconline21"/>
    <w:basedOn w:val="7"/>
    <w:uiPriority w:val="0"/>
  </w:style>
  <w:style w:type="character" w:customStyle="1" w:styleId="31">
    <w:name w:val="after"/>
    <w:basedOn w:val="7"/>
    <w:qFormat/>
    <w:uiPriority w:val="0"/>
    <w:rPr>
      <w:sz w:val="0"/>
      <w:szCs w:val="0"/>
    </w:rPr>
  </w:style>
  <w:style w:type="character" w:customStyle="1" w:styleId="32">
    <w:name w:val="icontext2"/>
    <w:basedOn w:val="7"/>
    <w:uiPriority w:val="0"/>
  </w:style>
  <w:style w:type="character" w:customStyle="1" w:styleId="33">
    <w:name w:val="hilite6"/>
    <w:basedOn w:val="7"/>
    <w:uiPriority w:val="0"/>
    <w:rPr>
      <w:color w:val="FFFFFF"/>
      <w:shd w:val="clear" w:fill="666666"/>
    </w:rPr>
  </w:style>
  <w:style w:type="character" w:customStyle="1" w:styleId="34">
    <w:name w:val="button4"/>
    <w:basedOn w:val="7"/>
    <w:uiPriority w:val="0"/>
  </w:style>
  <w:style w:type="character" w:customStyle="1" w:styleId="35">
    <w:name w:val="active5"/>
    <w:basedOn w:val="7"/>
    <w:uiPriority w:val="0"/>
    <w:rPr>
      <w:shd w:val="clear" w:fill="EC3535"/>
    </w:rPr>
  </w:style>
  <w:style w:type="character" w:customStyle="1" w:styleId="36">
    <w:name w:val="active6"/>
    <w:basedOn w:val="7"/>
    <w:qFormat/>
    <w:uiPriority w:val="0"/>
    <w:rPr>
      <w:color w:val="00FF00"/>
      <w:shd w:val="clear" w:fill="111111"/>
    </w:rPr>
  </w:style>
  <w:style w:type="character" w:customStyle="1" w:styleId="37">
    <w:name w:val="ico1654"/>
    <w:basedOn w:val="7"/>
    <w:uiPriority w:val="0"/>
  </w:style>
  <w:style w:type="character" w:customStyle="1" w:styleId="38">
    <w:name w:val="ico1655"/>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image" Target="media/image2.wmf"/><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ontrol" Target="activeX/activeX19.xml"/><Relationship Id="rId23" Type="http://schemas.openxmlformats.org/officeDocument/2006/relationships/control" Target="activeX/activeX18.xml"/><Relationship Id="rId22" Type="http://schemas.openxmlformats.org/officeDocument/2006/relationships/control" Target="activeX/activeX17.xml"/><Relationship Id="rId21" Type="http://schemas.openxmlformats.org/officeDocument/2006/relationships/control" Target="activeX/activeX16.xml"/><Relationship Id="rId20" Type="http://schemas.openxmlformats.org/officeDocument/2006/relationships/control" Target="activeX/activeX15.xml"/><Relationship Id="rId2" Type="http://schemas.openxmlformats.org/officeDocument/2006/relationships/settings" Target="settings.xml"/><Relationship Id="rId19" Type="http://schemas.openxmlformats.org/officeDocument/2006/relationships/control" Target="activeX/activeX14.xml"/><Relationship Id="rId18" Type="http://schemas.openxmlformats.org/officeDocument/2006/relationships/control" Target="activeX/activeX13.xml"/><Relationship Id="rId17" Type="http://schemas.openxmlformats.org/officeDocument/2006/relationships/control" Target="activeX/activeX12.xml"/><Relationship Id="rId16" Type="http://schemas.openxmlformats.org/officeDocument/2006/relationships/control" Target="activeX/activeX11.xml"/><Relationship Id="rId15" Type="http://schemas.openxmlformats.org/officeDocument/2006/relationships/control" Target="activeX/activeX10.xml"/><Relationship Id="rId14" Type="http://schemas.openxmlformats.org/officeDocument/2006/relationships/control" Target="activeX/activeX9.xml"/><Relationship Id="rId13" Type="http://schemas.openxmlformats.org/officeDocument/2006/relationships/control" Target="activeX/activeX8.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7.bin"/></Relationships>
</file>

<file path=word/activeX/_rels/activeX10.xml.rels><?xml version="1.0" encoding="UTF-8" standalone="yes"?>
<Relationships xmlns="http://schemas.openxmlformats.org/package/2006/relationships"><Relationship Id="rId1" Type="http://schemas.microsoft.com/office/2006/relationships/activeXControlBinary" Target="activeX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5.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3.xml.rels><?xml version="1.0" encoding="UTF-8" standalone="yes"?>
<Relationships xmlns="http://schemas.openxmlformats.org/package/2006/relationships"><Relationship Id="rId1" Type="http://schemas.microsoft.com/office/2006/relationships/activeXControlBinary" Target="activeX1.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6.xml.rels><?xml version="1.0" encoding="UTF-8" standalone="yes"?>
<Relationships xmlns="http://schemas.openxmlformats.org/package/2006/relationships"><Relationship Id="rId1" Type="http://schemas.microsoft.com/office/2006/relationships/activeXControlBinary" Target="activeX8.bin"/></Relationships>
</file>

<file path=word/activeX/_rels/activeX7.xml.rels><?xml version="1.0" encoding="UTF-8" standalone="yes"?>
<Relationships xmlns="http://schemas.openxmlformats.org/package/2006/relationships"><Relationship Id="rId1" Type="http://schemas.microsoft.com/office/2006/relationships/activeXControlBinary" Target="activeX2.bin"/></Relationships>
</file>

<file path=word/activeX/_rels/activeX8.xml.rels><?xml version="1.0" encoding="UTF-8" standalone="yes"?>
<Relationships xmlns="http://schemas.openxmlformats.org/package/2006/relationships"><Relationship Id="rId1" Type="http://schemas.microsoft.com/office/2006/relationships/activeXControlBinary" Target="activeX9.bin"/></Relationships>
</file>

<file path=word/activeX/_rels/activeX9.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r:id="rId1" ax:persistence="persistStorage"/>
</file>

<file path=word/activeX/activeX10.xml><?xml version="1.0" encoding="utf-8"?>
<ax:ocx xmlns:ax="http://schemas.microsoft.com/office/2006/activeX" xmlns:r="http://schemas.openxmlformats.org/officeDocument/2006/relationships" ax:classid="{5512D116-5CC6-11CF-8D67-00AA00BDCE1D}" r:id="rId1" ax:persistence="persistStorage"/>
</file>

<file path=word/activeX/activeX11.xml><?xml version="1.0" encoding="utf-8"?>
<ax:ocx xmlns:ax="http://schemas.microsoft.com/office/2006/activeX" xmlns:r="http://schemas.openxmlformats.org/officeDocument/2006/relationships" ax:classid="{5512D116-5CC6-11CF-8D67-00AA00BDCE1D}" r:id="rId1" ax:persistence="persistStorage"/>
</file>

<file path=word/activeX/activeX12.xml><?xml version="1.0" encoding="utf-8"?>
<ax:ocx xmlns:ax="http://schemas.microsoft.com/office/2006/activeX" xmlns:r="http://schemas.openxmlformats.org/officeDocument/2006/relationships" ax:classid="{5512D116-5CC6-11CF-8D67-00AA00BDCE1D}" r:id="rId1" ax:persistence="persistStorage"/>
</file>

<file path=word/activeX/activeX13.xml><?xml version="1.0" encoding="utf-8"?>
<ax:ocx xmlns:ax="http://schemas.microsoft.com/office/2006/activeX" xmlns:r="http://schemas.openxmlformats.org/officeDocument/2006/relationships" ax:classid="{5512D116-5CC6-11CF-8D67-00AA00BDCE1D}" r:id="rId1" ax:persistence="persistStorage"/>
</file>

<file path=word/activeX/activeX14.xml><?xml version="1.0" encoding="utf-8"?>
<ax:ocx xmlns:ax="http://schemas.microsoft.com/office/2006/activeX" xmlns:r="http://schemas.openxmlformats.org/officeDocument/2006/relationships" ax:classid="{5512D116-5CC6-11CF-8D67-00AA00BDCE1D}" r:id="rId1" ax:persistence="persistStorage"/>
</file>

<file path=word/activeX/activeX15.xml><?xml version="1.0" encoding="utf-8"?>
<ax:ocx xmlns:ax="http://schemas.microsoft.com/office/2006/activeX" xmlns:r="http://schemas.openxmlformats.org/officeDocument/2006/relationships" ax:classid="{5512D116-5CC6-11CF-8D67-00AA00BDCE1D}" r:id="rId1" ax:persistence="persistStorage"/>
</file>

<file path=word/activeX/activeX16.xml><?xml version="1.0" encoding="utf-8"?>
<ax:ocx xmlns:ax="http://schemas.microsoft.com/office/2006/activeX" xmlns:r="http://schemas.openxmlformats.org/officeDocument/2006/relationships" ax:classid="{5512D116-5CC6-11CF-8D67-00AA00BDCE1D}" r:id="rId1" ax:persistence="persistStorage"/>
</file>

<file path=word/activeX/activeX17.xml><?xml version="1.0" encoding="utf-8"?>
<ax:ocx xmlns:ax="http://schemas.microsoft.com/office/2006/activeX" xmlns:r="http://schemas.openxmlformats.org/officeDocument/2006/relationships" ax:classid="{5512D116-5CC6-11CF-8D67-00AA00BDCE1D}" r:id="rId1" ax:persistence="persistStorage"/>
</file>

<file path=word/activeX/activeX18.xml><?xml version="1.0" encoding="utf-8"?>
<ax:ocx xmlns:ax="http://schemas.microsoft.com/office/2006/activeX" xmlns:r="http://schemas.openxmlformats.org/officeDocument/2006/relationships" ax:classid="{5512D116-5CC6-11CF-8D67-00AA00BDCE1D}" r:id="rId1" ax:persistence="persistStorage"/>
</file>

<file path=word/activeX/activeX19.xml><?xml version="1.0" encoding="utf-8"?>
<ax:ocx xmlns:ax="http://schemas.microsoft.com/office/2006/activeX" xmlns:r="http://schemas.openxmlformats.org/officeDocument/2006/relationships" ax:classid="{5512D116-5CC6-11CF-8D67-00AA00BDCE1D}" r:id="rId1" ax:persistence="persistStorage"/>
</file>

<file path=word/activeX/activeX2.xml><?xml version="1.0" encoding="utf-8"?>
<ax:ocx xmlns:ax="http://schemas.microsoft.com/office/2006/activeX" xmlns:r="http://schemas.openxmlformats.org/officeDocument/2006/relationships" ax:classid="{5512D116-5CC6-11CF-8D67-00AA00BDCE1D}" r:id="rId1" ax:persistence="persistStorage"/>
</file>

<file path=word/activeX/activeX3.xml><?xml version="1.0" encoding="utf-8"?>
<ax:ocx xmlns:ax="http://schemas.microsoft.com/office/2006/activeX" xmlns:r="http://schemas.openxmlformats.org/officeDocument/2006/relationships" ax:classid="{5512D116-5CC6-11CF-8D67-00AA00BDCE1D}" r:id="rId1" ax:persistence="persistStorage"/>
</file>

<file path=word/activeX/activeX4.xml><?xml version="1.0" encoding="utf-8"?>
<ax:ocx xmlns:ax="http://schemas.microsoft.com/office/2006/activeX" xmlns:r="http://schemas.openxmlformats.org/officeDocument/2006/relationships" ax:classid="{5512D116-5CC6-11CF-8D67-00AA00BDCE1D}" r:id="rId1" ax:persistence="persistStorage"/>
</file>

<file path=word/activeX/activeX5.xml><?xml version="1.0" encoding="utf-8"?>
<ax:ocx xmlns:ax="http://schemas.microsoft.com/office/2006/activeX" xmlns:r="http://schemas.openxmlformats.org/officeDocument/2006/relationships" ax:classid="{5512D116-5CC6-11CF-8D67-00AA00BDCE1D}" r:id="rId1" ax:persistence="persistStorage"/>
</file>

<file path=word/activeX/activeX6.xml><?xml version="1.0" encoding="utf-8"?>
<ax:ocx xmlns:ax="http://schemas.microsoft.com/office/2006/activeX" xmlns:r="http://schemas.openxmlformats.org/officeDocument/2006/relationships" ax:classid="{5512D116-5CC6-11CF-8D67-00AA00BDCE1D}" r:id="rId1" ax:persistence="persistStorage"/>
</file>

<file path=word/activeX/activeX7.xml><?xml version="1.0" encoding="utf-8"?>
<ax:ocx xmlns:ax="http://schemas.microsoft.com/office/2006/activeX" xmlns:r="http://schemas.openxmlformats.org/officeDocument/2006/relationships" ax:classid="{5512D116-5CC6-11CF-8D67-00AA00BDCE1D}" r:id="rId1" ax:persistence="persistStorage"/>
</file>

<file path=word/activeX/activeX8.xml><?xml version="1.0" encoding="utf-8"?>
<ax:ocx xmlns:ax="http://schemas.microsoft.com/office/2006/activeX" xmlns:r="http://schemas.openxmlformats.org/officeDocument/2006/relationships" ax:classid="{5512D116-5CC6-11CF-8D67-00AA00BDCE1D}" r:id="rId1" ax:persistence="persistStorage"/>
</file>

<file path=word/activeX/activeX9.xml><?xml version="1.0" encoding="utf-8"?>
<ax:ocx xmlns:ax="http://schemas.microsoft.com/office/2006/activeX" xmlns:r="http://schemas.openxmlformats.org/officeDocument/2006/relationships" ax:classid="{5512D116-5CC6-11CF-8D67-00AA00BDCE1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2023-11-10T02:43:00Z</dcterms:created>
  <dc:creator>wpswps</dc:creator>
  <cp:lastModifiedBy>wpswps</cp:lastModifiedBy>
  <dcterms:modified xsi:type="dcterms:W3CDTF">2023-11-10T07:46:42Z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4CBCCBC6A7BE495F9D23C87A74F25505_11</vt:lpwstr>
  </property>
</Properties>
</file>