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rPr>
          <w:rFonts w:ascii="黑体" w:hAnsi="黑体" w:eastAsia="黑体" w:cs="黑体"/>
          <w:sz w:val="32"/>
          <w:szCs w:val="32"/>
        </w:rPr>
      </w:pPr>
      <w:r>
        <w:rPr>
          <w:rFonts w:hint="eastAsia" w:ascii="黑体" w:hAnsi="黑体" w:eastAsia="黑体" w:cs="黑体"/>
          <w:sz w:val="32"/>
          <w:szCs w:val="32"/>
        </w:rPr>
        <w:t>附件1</w:t>
      </w:r>
    </w:p>
    <w:p>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2022年度部门整体支出绩效评价基础数据表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w:t>
            </w:r>
            <w:r>
              <w:rPr>
                <w:rFonts w:ascii="仿宋_GB2312" w:hAnsi="仿宋_GB2312" w:eastAsia="仿宋_GB2312" w:cs="仿宋_GB2312"/>
                <w:sz w:val="20"/>
                <w:szCs w:val="20"/>
              </w:rPr>
              <w:t>2</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3</w:t>
            </w:r>
            <w:r>
              <w:rPr>
                <w:rFonts w:ascii="仿宋_GB2312" w:hAnsi="仿宋_GB2312" w:eastAsia="仿宋_GB2312" w:cs="仿宋_GB2312"/>
                <w:sz w:val="20"/>
                <w:szCs w:val="20"/>
              </w:rPr>
              <w:t>3.33</w:t>
            </w:r>
            <w:r>
              <w:rPr>
                <w:rFonts w:hint="eastAsia" w:ascii="仿宋_GB2312" w:hAnsi="仿宋_GB2312" w:eastAsia="仿宋_GB2312" w:cs="仿宋_GB2312"/>
                <w:sz w:val="20"/>
                <w:szCs w:val="20"/>
              </w:rPr>
              <w:t>%</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1997.19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1、运转经费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18.41</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5.16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5.39</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2.87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2.87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sz w:val="22"/>
        </w:rPr>
      </w:pPr>
    </w:p>
    <w:p>
      <w:pPr>
        <w:widowControl/>
        <w:spacing w:line="400" w:lineRule="exact"/>
        <w:jc w:val="left"/>
        <w:rPr>
          <w:rFonts w:ascii="黑体" w:hAnsi="黑体" w:eastAsia="黑体" w:cs="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附件2</w:t>
      </w:r>
    </w:p>
    <w:p>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2152.25</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2048.62</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2048.62</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r>
              <w:rPr>
                <w:rFonts w:hint="eastAsia" w:ascii="仿宋_GB2312" w:hAnsi="仿宋_GB2312" w:eastAsia="仿宋_GB2312" w:cs="仿宋_GB2312"/>
                <w:color w:val="000000" w:themeColor="text1"/>
                <w:sz w:val="20"/>
                <w:szCs w:val="20"/>
                <w14:textFill>
                  <w14:solidFill>
                    <w14:schemeClr w14:val="tx1"/>
                  </w14:solidFill>
                </w14:textFill>
              </w:rPr>
              <w:t>%</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xml:space="preserve">  其中：  一般公共预算：2152.25</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其中：基本支出：51.43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政府性基金拨款：0</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项目支出：1997.19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FF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预算内支出　　</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52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为全市纪检监察系统案件的查办提供后勤保障和服务</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0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4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54"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14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84"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96</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岳阳市纪委案管中心运转经费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中共岳阳市纪律检查委员会</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项目资金</w:t>
            </w:r>
            <w:r>
              <w:rPr>
                <w:rFonts w:hint="eastAsia" w:ascii="仿宋_GB2312" w:hAnsi="仿宋_GB2312" w:eastAsia="仿宋_GB2312" w:cs="仿宋_GB2312"/>
                <w:color w:val="000000" w:themeColor="text1"/>
                <w:sz w:val="20"/>
                <w:szCs w:val="20"/>
                <w14:textFill>
                  <w14:solidFill>
                    <w14:schemeClr w14:val="tx1"/>
                  </w14:solidFill>
                </w14:textFill>
              </w:rPr>
              <w:br w:type="textWrapping"/>
            </w:r>
            <w:r>
              <w:rPr>
                <w:rFonts w:hint="eastAsia" w:ascii="仿宋_GB2312" w:hAnsi="仿宋_GB2312" w:eastAsia="仿宋_GB2312" w:cs="仿宋_GB2312"/>
                <w:color w:val="000000" w:themeColor="text1"/>
                <w:sz w:val="20"/>
                <w:szCs w:val="20"/>
                <w14:textFill>
                  <w14:solidFill>
                    <w14:schemeClr w14:val="tx1"/>
                  </w14:solidFill>
                </w14:textFill>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实际完成情况　</w:t>
            </w:r>
          </w:p>
        </w:tc>
      </w:tr>
      <w:tr>
        <w:tblPrEx>
          <w:tblCellMar>
            <w:top w:w="0" w:type="dxa"/>
            <w:left w:w="108" w:type="dxa"/>
            <w:bottom w:w="0" w:type="dxa"/>
            <w:right w:w="108" w:type="dxa"/>
          </w:tblCellMar>
        </w:tblPrEx>
        <w:trPr>
          <w:trHeight w:val="57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预算内支出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绩</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产出指标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数量指标</w:t>
            </w:r>
          </w:p>
        </w:tc>
        <w:tc>
          <w:tcPr>
            <w:tcW w:w="122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为全市纪检监察系统案件的查办提供后勤保障和服务</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28"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873"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6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质量指标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86"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时效指标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2022年内完成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7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成本指标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控制在预算内</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single" w:color="auto" w:sz="4" w:space="0"/>
              <w:left w:val="nil"/>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效益指标</w:t>
            </w: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（30分）</w:t>
            </w: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经济效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由实际情况决定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社会效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839"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生态效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改善自然环境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6</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96" w:hRule="atLeas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促进可持续发展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满意度</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（10分）</w:t>
            </w: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服务对象满意度指标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96</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bl>
    <w:p>
      <w:pPr>
        <w:rPr>
          <w:rFonts w:ascii="Times New Roman" w:hAnsi="Times New Roman" w:eastAsia="仿宋_GB2312"/>
          <w:sz w:val="18"/>
          <w:szCs w:val="18"/>
        </w:rPr>
      </w:pPr>
    </w:p>
    <w:p>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pPr>
        <w:jc w:val="center"/>
        <w:rPr>
          <w:rFonts w:ascii="Times New Roman" w:hAnsi="Times New Roman" w:eastAsia="方正小标宋_GBK"/>
          <w:sz w:val="52"/>
          <w:szCs w:val="5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2022年度岳阳市纪委市监委案件管理中心整体支出绩效自评报告</w:t>
      </w:r>
    </w:p>
    <w:p>
      <w:pP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年  月  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2022年度岳阳市纪委市监委案件管理中心整体支出绩效自评报告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岳阳市纪委市监委案件管理中心</w:t>
      </w:r>
      <w:r>
        <w:rPr>
          <w:rFonts w:hint="eastAsia" w:eastAsia="仿宋_GB2312" w:cs="仿宋_GB2312"/>
          <w:sz w:val="32"/>
          <w:szCs w:val="32"/>
        </w:rPr>
        <w:t>为岳阳</w:t>
      </w:r>
      <w:r>
        <w:rPr>
          <w:rFonts w:hint="eastAsia" w:ascii="Times New Roman" w:hAnsi="Times New Roman" w:eastAsia="仿宋_GB2312" w:cs="仿宋_GB2312"/>
          <w:sz w:val="32"/>
          <w:szCs w:val="32"/>
        </w:rPr>
        <w:t>市纪委市监委机关下设</w:t>
      </w:r>
      <w:r>
        <w:rPr>
          <w:rFonts w:hint="eastAsia" w:eastAsia="仿宋_GB2312" w:cs="仿宋_GB2312"/>
          <w:sz w:val="32"/>
          <w:szCs w:val="32"/>
        </w:rPr>
        <w:t>的二级机构</w:t>
      </w:r>
      <w:r>
        <w:rPr>
          <w:rFonts w:hint="eastAsia" w:ascii="Times New Roman" w:hAnsi="Times New Roman" w:eastAsia="仿宋_GB2312" w:cs="仿宋_GB2312"/>
          <w:sz w:val="32"/>
          <w:szCs w:val="32"/>
        </w:rPr>
        <w:t>，为正科级公益一类事业单位。负责为监督执纪问责和监督调查处置提供必要的场所和安全管理</w:t>
      </w:r>
      <w:r>
        <w:rPr>
          <w:rFonts w:hint="eastAsia" w:eastAsia="仿宋_GB2312" w:cs="仿宋_GB2312"/>
          <w:sz w:val="32"/>
          <w:szCs w:val="32"/>
        </w:rPr>
        <w:t>、后勤保障服务等。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cs="仿宋_GB2312"/>
          <w:sz w:val="32"/>
          <w:szCs w:val="32"/>
        </w:rPr>
        <w:t>无。</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2022年基本支出年初预算数为40.01万元，是指为保障本机构正常运转、完成日常工作任务而发生的各项支出，包括用于基本工资、津贴补贴等人员经费以及办公费、印刷费、水电费、差旅费等日常公用经费。</w:t>
      </w:r>
    </w:p>
    <w:p>
      <w:pPr>
        <w:pStyle w:val="5"/>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2022年项目支出年初预算数为2112.24万元，是指岳阳市纪委市监委案件管理中心为完成特定工作任务目标而发生的支出，其中：工会补助经费1.20万元，主要用于工会活动福利支出；伙食补助1.60万元，主要用于干部伙食支出；物业服务补贴1.44万元，主要用于发放在职干部的物业补贴；综合绩效奖和平安岳阳建设奖8万元，主要用于发放相关绩效奖；岳阳市纪委案管中心运转经费2100万元，主要用于保障案件管理中心正常安全运转。</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三、政府性基金预算支出情况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无。</w:t>
      </w:r>
    </w:p>
    <w:p>
      <w:pPr>
        <w:pStyle w:val="5"/>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sz w:val="32"/>
          <w:szCs w:val="32"/>
        </w:rPr>
        <w:t>无。</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00" w:lineRule="exact"/>
        <w:ind w:left="560" w:leftChars="200"/>
        <w:textAlignment w:val="auto"/>
        <w:rPr>
          <w:rFonts w:ascii="Times New Roman" w:hAnsi="Times New Roman" w:eastAsia="黑体"/>
          <w:sz w:val="32"/>
          <w:szCs w:val="32"/>
        </w:rPr>
      </w:pPr>
      <w:r>
        <w:rPr>
          <w:rFonts w:hint="eastAsia" w:eastAsia="仿宋_GB2312"/>
          <w:sz w:val="32"/>
          <w:szCs w:val="32"/>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严格按</w:t>
      </w:r>
      <w:r>
        <w:rPr>
          <w:rFonts w:hint="eastAsia" w:ascii="Times New Roman" w:hAnsi="Times New Roman" w:eastAsia="仿宋_GB2312"/>
          <w:color w:val="000000"/>
          <w:sz w:val="32"/>
          <w:szCs w:val="32"/>
        </w:rPr>
        <w:t>岳阳市财政局</w:t>
      </w:r>
      <w:r>
        <w:rPr>
          <w:rFonts w:ascii="Times New Roman" w:hAnsi="Times New Roman" w:eastAsia="仿宋_GB2312"/>
          <w:color w:val="000000"/>
          <w:sz w:val="32"/>
          <w:szCs w:val="32"/>
        </w:rPr>
        <w:t>的批复执行预算，“三公”经费、会议费等一般</w:t>
      </w:r>
      <w:r>
        <w:rPr>
          <w:rFonts w:hint="eastAsia" w:ascii="Times New Roman" w:hAnsi="Times New Roman" w:eastAsia="仿宋_GB2312"/>
          <w:color w:val="000000"/>
          <w:sz w:val="32"/>
          <w:szCs w:val="32"/>
        </w:rPr>
        <w:t>公共</w:t>
      </w:r>
      <w:r>
        <w:rPr>
          <w:rFonts w:ascii="Times New Roman" w:hAnsi="Times New Roman" w:eastAsia="仿宋_GB2312"/>
          <w:color w:val="000000"/>
          <w:sz w:val="32"/>
          <w:szCs w:val="32"/>
        </w:rPr>
        <w:t>支出严格控制在预算标准内，增强了职能履行和重点工作经费的保障能力；加快预算执行进度，提高资金使用绩效；持续推进预决算和“三公”经费公开，按时按质完成预决算公开，规范财务管理；加强财务监督检查，财务管理水平稳步提高。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部门整体支出重点绩效情况如下：</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（一）运行成本</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2022年，</w:t>
      </w:r>
      <w:r>
        <w:rPr>
          <w:rFonts w:hint="eastAsia" w:ascii="Times New Roman" w:hAnsi="Times New Roman" w:eastAsia="仿宋_GB2312"/>
          <w:sz w:val="32"/>
          <w:szCs w:val="32"/>
        </w:rPr>
        <w:t>我单位</w:t>
      </w:r>
      <w:r>
        <w:rPr>
          <w:rFonts w:ascii="Times New Roman" w:hAnsi="Times New Roman" w:eastAsia="仿宋_GB2312"/>
          <w:sz w:val="32"/>
          <w:szCs w:val="32"/>
        </w:rPr>
        <w:t>全年一般公共预算财政拨款安排的基本支出51.43万元，其中，人员经费46.27万元，日常公用经费5.16万元。根据</w:t>
      </w:r>
      <w:r>
        <w:rPr>
          <w:rFonts w:hint="eastAsia" w:ascii="Times New Roman" w:hAnsi="Times New Roman" w:eastAsia="仿宋_GB2312"/>
          <w:sz w:val="32"/>
          <w:szCs w:val="32"/>
        </w:rPr>
        <w:t>市直</w:t>
      </w:r>
      <w:r>
        <w:rPr>
          <w:rFonts w:ascii="Times New Roman" w:hAnsi="Times New Roman" w:eastAsia="仿宋_GB2312"/>
          <w:sz w:val="32"/>
          <w:szCs w:val="32"/>
        </w:rPr>
        <w:t>相关工资标准支出人员经费，不超范围不超标准；严格落实中央和省</w:t>
      </w:r>
      <w:r>
        <w:rPr>
          <w:rFonts w:hint="eastAsia" w:ascii="Times New Roman" w:hAnsi="Times New Roman" w:eastAsia="仿宋_GB2312"/>
          <w:sz w:val="32"/>
          <w:szCs w:val="32"/>
        </w:rPr>
        <w:t>市</w:t>
      </w:r>
      <w:r>
        <w:rPr>
          <w:rFonts w:ascii="Times New Roman" w:hAnsi="Times New Roman" w:eastAsia="仿宋_GB2312"/>
          <w:sz w:val="32"/>
          <w:szCs w:val="32"/>
        </w:rPr>
        <w:t>关于压减一般性支出相关规定，坚持厉行节约，遵守国家财务管理规定，重大重点支出坚持事前审批，严格执行一般性公务支出标准，加快预算执行进度。</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楷体_GB2312"/>
          <w:b/>
          <w:sz w:val="32"/>
          <w:szCs w:val="32"/>
        </w:rPr>
        <w:t>（二）管理效率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2022年，</w:t>
      </w:r>
      <w:r>
        <w:rPr>
          <w:rFonts w:hint="eastAsia" w:ascii="Times New Roman" w:hAnsi="Times New Roman" w:eastAsia="仿宋_GB2312"/>
          <w:sz w:val="32"/>
          <w:szCs w:val="32"/>
        </w:rPr>
        <w:t>我单位</w:t>
      </w:r>
      <w:r>
        <w:rPr>
          <w:rFonts w:ascii="Times New Roman" w:hAnsi="Times New Roman" w:eastAsia="仿宋_GB2312"/>
          <w:sz w:val="32"/>
          <w:szCs w:val="32"/>
        </w:rPr>
        <w:t>财政拨款预算收入2048.62万元，支出2048.62万元，年末结余0万元，预算执行率为100%。</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从结余情况看，</w:t>
      </w:r>
      <w:r>
        <w:rPr>
          <w:rFonts w:hint="eastAsia" w:ascii="Times New Roman" w:hAnsi="Times New Roman" w:eastAsia="仿宋_GB2312"/>
          <w:sz w:val="32"/>
          <w:szCs w:val="32"/>
        </w:rPr>
        <w:t>我单位</w:t>
      </w:r>
      <w:r>
        <w:rPr>
          <w:rFonts w:ascii="Times New Roman" w:hAnsi="Times New Roman" w:eastAsia="仿宋_GB2312"/>
          <w:sz w:val="32"/>
          <w:szCs w:val="32"/>
        </w:rPr>
        <w:t>预算执行率</w:t>
      </w:r>
      <w:r>
        <w:rPr>
          <w:rFonts w:hint="eastAsia" w:ascii="Times New Roman" w:hAnsi="Times New Roman" w:eastAsia="仿宋_GB2312"/>
          <w:sz w:val="32"/>
          <w:szCs w:val="32"/>
        </w:rPr>
        <w:t>完成较好。</w:t>
      </w:r>
      <w:r>
        <w:rPr>
          <w:rFonts w:ascii="Times New Roman" w:hAnsi="Times New Roman" w:eastAsia="仿宋_GB2312"/>
          <w:sz w:val="32"/>
          <w:szCs w:val="32"/>
        </w:rPr>
        <w:t>今后</w:t>
      </w:r>
      <w:r>
        <w:rPr>
          <w:rFonts w:hint="eastAsia" w:ascii="Times New Roman" w:hAnsi="Times New Roman" w:eastAsia="仿宋_GB2312"/>
          <w:sz w:val="32"/>
          <w:szCs w:val="32"/>
        </w:rPr>
        <w:t>将继续</w:t>
      </w:r>
      <w:r>
        <w:rPr>
          <w:rFonts w:ascii="Times New Roman" w:hAnsi="Times New Roman" w:eastAsia="仿宋_GB2312"/>
          <w:sz w:val="32"/>
          <w:szCs w:val="32"/>
        </w:rPr>
        <w:t>加强</w:t>
      </w:r>
      <w:r>
        <w:rPr>
          <w:rFonts w:hint="eastAsia" w:ascii="Times New Roman" w:hAnsi="Times New Roman" w:eastAsia="仿宋_GB2312"/>
          <w:sz w:val="32"/>
          <w:szCs w:val="32"/>
        </w:rPr>
        <w:t>预算指标准确度和精细度</w:t>
      </w:r>
      <w:r>
        <w:rPr>
          <w:rFonts w:ascii="Times New Roman" w:hAnsi="Times New Roman" w:eastAsia="仿宋_GB2312"/>
          <w:sz w:val="32"/>
          <w:szCs w:val="32"/>
        </w:rPr>
        <w:t>，定期调度预算执行进度，提升资金支付效率。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（三）履职效能</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以来，案件管理中心在市纪委常委会的领导下，明确目标职责，紧紧围绕委机关指定的方针、目标开展工作，以“时时放心不下”的责任感，“功夫下在平时”的使命感，抓实抓细抓严审查调查安全保障各项工作，坚决守住不发生安全事故的底线，牢牢把握住了“安全监督管理、后勤服务保障”的要求，提升后勤服务管理水平，确保审查调查安全。</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（一）预算绩效管理追踪执行力度有待加强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开展全面预算绩效管理，需要对各项目的绩效完成进度及资金使用情况进行持续监督与追踪，本年度</w:t>
      </w:r>
      <w:r>
        <w:rPr>
          <w:rFonts w:hint="eastAsia" w:ascii="Times New Roman" w:hAnsi="Times New Roman" w:eastAsia="仿宋_GB2312"/>
          <w:sz w:val="32"/>
          <w:szCs w:val="32"/>
        </w:rPr>
        <w:t>从结余情况看，我单位预算执行率完成较好。今后将继续加强预算指标准确度和精细度，定期调度预算执行进度，提升资金支付效率。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（二）项目预算执行率有待提高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从整体情况看，</w:t>
      </w:r>
      <w:r>
        <w:rPr>
          <w:rFonts w:hint="eastAsia" w:ascii="Times New Roman" w:hAnsi="Times New Roman" w:eastAsia="仿宋_GB2312"/>
          <w:sz w:val="32"/>
          <w:szCs w:val="32"/>
        </w:rPr>
        <w:t>项目</w:t>
      </w:r>
      <w:r>
        <w:rPr>
          <w:rFonts w:ascii="Times New Roman" w:hAnsi="Times New Roman" w:eastAsia="仿宋_GB2312"/>
          <w:sz w:val="32"/>
          <w:szCs w:val="32"/>
        </w:rPr>
        <w:t>支出预算完成率和预算控制率完成较好，部分项目指标执行率</w:t>
      </w:r>
      <w:r>
        <w:rPr>
          <w:rFonts w:hint="eastAsia" w:ascii="Times New Roman" w:hAnsi="Times New Roman" w:eastAsia="仿宋_GB2312"/>
          <w:sz w:val="32"/>
          <w:szCs w:val="32"/>
        </w:rPr>
        <w:t>有待加强。</w:t>
      </w:r>
      <w:r>
        <w:rPr>
          <w:rFonts w:ascii="Times New Roman" w:hAnsi="Times New Roman" w:eastAsia="仿宋_GB2312"/>
          <w:sz w:val="32"/>
          <w:szCs w:val="32"/>
        </w:rPr>
        <w:t>主要原因</w:t>
      </w:r>
      <w:r>
        <w:rPr>
          <w:rFonts w:hint="eastAsia" w:ascii="Times New Roman" w:hAnsi="Times New Roman" w:eastAsia="仿宋_GB2312"/>
          <w:sz w:val="32"/>
          <w:szCs w:val="32"/>
        </w:rPr>
        <w:t>是预算指标申请金额未完全匹配实际使用需要，导致年终时有出现批量调剂指标情况</w:t>
      </w:r>
      <w:r>
        <w:rPr>
          <w:rFonts w:ascii="Times New Roman" w:hAnsi="Times New Roman" w:eastAsia="仿宋_GB231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（一）加强沟通对接，提升预算执行率</w:t>
      </w:r>
      <w:r>
        <w:rPr>
          <w:rFonts w:hint="eastAsia" w:ascii="Times New Roman" w:hAnsi="Times New Roman" w:eastAsia="楷体_GB2312"/>
          <w:b/>
          <w:sz w:val="32"/>
          <w:szCs w:val="32"/>
        </w:rPr>
        <w:t>。</w:t>
      </w:r>
      <w:r>
        <w:rPr>
          <w:rFonts w:ascii="Times New Roman" w:hAnsi="Times New Roman" w:eastAsia="仿宋_GB2312"/>
          <w:sz w:val="32"/>
          <w:szCs w:val="32"/>
        </w:rPr>
        <w:t>科学合理安排年度预算，及时申请结余已收回资金重新下达，加强与</w:t>
      </w:r>
      <w:r>
        <w:rPr>
          <w:rFonts w:hint="eastAsia" w:ascii="Times New Roman" w:hAnsi="Times New Roman" w:eastAsia="仿宋_GB2312"/>
          <w:sz w:val="32"/>
          <w:szCs w:val="32"/>
        </w:rPr>
        <w:t>市财政局各部门</w:t>
      </w:r>
      <w:r>
        <w:rPr>
          <w:rFonts w:ascii="Times New Roman" w:hAnsi="Times New Roman" w:eastAsia="仿宋_GB2312"/>
          <w:sz w:val="32"/>
          <w:szCs w:val="32"/>
        </w:rPr>
        <w:t>沟通联系，保障支付、财评、结算等程序进程，</w:t>
      </w:r>
      <w:r>
        <w:rPr>
          <w:rFonts w:hint="eastAsia" w:ascii="Times New Roman" w:hAnsi="Times New Roman" w:eastAsia="仿宋_GB2312"/>
          <w:sz w:val="32"/>
          <w:szCs w:val="32"/>
        </w:rPr>
        <w:t>提高</w:t>
      </w:r>
      <w:r>
        <w:rPr>
          <w:rFonts w:ascii="Times New Roman" w:hAnsi="Times New Roman" w:eastAsia="仿宋_GB2312"/>
          <w:sz w:val="32"/>
          <w:szCs w:val="32"/>
        </w:rPr>
        <w:t>资金支付</w:t>
      </w:r>
      <w:r>
        <w:rPr>
          <w:rFonts w:hint="eastAsia" w:ascii="Times New Roman" w:hAnsi="Times New Roman" w:eastAsia="仿宋_GB2312"/>
          <w:sz w:val="32"/>
          <w:szCs w:val="32"/>
        </w:rPr>
        <w:t>速度</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（二）进一步提高预算编制的科学性与预见性</w:t>
      </w:r>
      <w:r>
        <w:rPr>
          <w:rFonts w:hint="eastAsia" w:ascii="Times New Roman" w:hAnsi="Times New Roman" w:eastAsia="楷体_GB2312"/>
          <w:b/>
          <w:sz w:val="32"/>
          <w:szCs w:val="32"/>
        </w:rPr>
        <w:t>。</w:t>
      </w:r>
      <w:r>
        <w:rPr>
          <w:rFonts w:ascii="Times New Roman" w:hAnsi="Times New Roman" w:eastAsia="仿宋_GB2312"/>
          <w:sz w:val="32"/>
          <w:szCs w:val="32"/>
        </w:rPr>
        <w:t>结合实际运转需要，预编一部分不可预计费用，不断提升财政资金使用的精准性和准确性。</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（三）严格绩效和监督管理。</w:t>
      </w:r>
      <w:r>
        <w:rPr>
          <w:rFonts w:ascii="Times New Roman" w:hAnsi="Times New Roman" w:eastAsia="仿宋_GB2312"/>
          <w:sz w:val="32"/>
          <w:szCs w:val="32"/>
        </w:rPr>
        <w:t>加强对项目的监督检查，督促项目按计划进度实施，确保项目按期实现预算绩效目标</w:t>
      </w:r>
      <w:r>
        <w:rPr>
          <w:rFonts w:hint="eastAsia" w:ascii="Times New Roman" w:hAnsi="Times New Roman" w:eastAsia="仿宋_GB231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针对绩效自评中发现的问题，我</w:t>
      </w:r>
      <w:r>
        <w:rPr>
          <w:rFonts w:hint="eastAsia" w:ascii="Times New Roman" w:hAnsi="Times New Roman" w:eastAsia="仿宋_GB2312"/>
          <w:sz w:val="32"/>
          <w:szCs w:val="32"/>
        </w:rPr>
        <w:t>单位</w:t>
      </w:r>
      <w:r>
        <w:rPr>
          <w:rFonts w:ascii="Times New Roman" w:hAnsi="Times New Roman" w:eastAsia="仿宋_GB2312"/>
          <w:sz w:val="32"/>
          <w:szCs w:val="32"/>
        </w:rPr>
        <w:t>将加强与相关单位的沟通协调，采取切实可行的举措整改落实到位。同时，按要求在局门户网站公开我</w:t>
      </w:r>
      <w:r>
        <w:rPr>
          <w:rFonts w:hint="eastAsia" w:ascii="Times New Roman" w:hAnsi="Times New Roman" w:eastAsia="仿宋_GB2312"/>
          <w:sz w:val="32"/>
          <w:szCs w:val="32"/>
        </w:rPr>
        <w:t>单位</w:t>
      </w:r>
      <w:r>
        <w:rPr>
          <w:rFonts w:ascii="Times New Roman" w:hAnsi="Times New Roman" w:eastAsia="仿宋_GB2312"/>
          <w:sz w:val="32"/>
          <w:szCs w:val="32"/>
        </w:rPr>
        <w:t>2022年部门整体支出绩效自评报告，接受社会监督。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w:t>
      </w:r>
      <w:bookmarkStart w:id="0" w:name="_GoBack"/>
      <w:bookmarkEnd w:id="0"/>
      <w:r>
        <w:rPr>
          <w:rFonts w:hint="eastAsia" w:ascii="仿宋_GB2312" w:hAnsi="仿宋_GB2312" w:eastAsia="仿宋_GB2312" w:cs="仿宋_GB2312"/>
          <w:sz w:val="32"/>
          <w:szCs w:val="32"/>
        </w:rPr>
        <w:t>目支出绩效自评表（一个一级项目支出一张表）</w:t>
      </w:r>
    </w:p>
    <w:p>
      <w:pPr>
        <w:widowControl/>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4.政府性基金预算支出情况表</w:t>
      </w:r>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r>
        <w:rPr>
          <w:rFonts w:hint="eastAsia" w:ascii="仿宋_GB2312" w:hAnsi="仿宋_GB2312" w:eastAsia="仿宋_GB2312" w:cs="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BD08"/>
    <w:multiLevelType w:val="singleLevel"/>
    <w:tmpl w:val="D513BD08"/>
    <w:lvl w:ilvl="0" w:tentative="0">
      <w:start w:val="2"/>
      <w:numFmt w:val="chineseCounting"/>
      <w:suff w:val="nothing"/>
      <w:lvlText w:val="（%1）"/>
      <w:lvlJc w:val="left"/>
      <w:rPr>
        <w:rFonts w:hint="eastAsia"/>
      </w:rPr>
    </w:lvl>
  </w:abstractNum>
  <w:abstractNum w:abstractNumId="1">
    <w:nsid w:val="0B3AF183"/>
    <w:multiLevelType w:val="singleLevel"/>
    <w:tmpl w:val="0B3AF183"/>
    <w:lvl w:ilvl="0" w:tentative="0">
      <w:start w:val="4"/>
      <w:numFmt w:val="chineseCounting"/>
      <w:suff w:val="nothing"/>
      <w:lvlText w:val="%1、"/>
      <w:lvlJc w:val="left"/>
      <w:rPr>
        <w:rFonts w:hint="eastAsia"/>
      </w:rPr>
    </w:lvl>
  </w:abstractNum>
  <w:abstractNum w:abstractNumId="2">
    <w:nsid w:val="25423C97"/>
    <w:multiLevelType w:val="singleLevel"/>
    <w:tmpl w:val="25423C97"/>
    <w:lvl w:ilvl="0" w:tentative="0">
      <w:start w:val="8"/>
      <w:numFmt w:val="chineseCounting"/>
      <w:suff w:val="nothing"/>
      <w:lvlText w:val="%1、"/>
      <w:lvlJc w:val="left"/>
      <w:rPr>
        <w:rFonts w:hint="eastAsia"/>
      </w:rPr>
    </w:lvl>
  </w:abstractNum>
  <w:abstractNum w:abstractNumId="3">
    <w:nsid w:val="4E1C55C5"/>
    <w:multiLevelType w:val="singleLevel"/>
    <w:tmpl w:val="4E1C55C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14947"/>
    <w:rsid w:val="00405208"/>
    <w:rsid w:val="0041389C"/>
    <w:rsid w:val="00C34E33"/>
    <w:rsid w:val="00D257A6"/>
    <w:rsid w:val="00FF70DD"/>
    <w:rsid w:val="05A9346C"/>
    <w:rsid w:val="05C62D57"/>
    <w:rsid w:val="0D757126"/>
    <w:rsid w:val="0E7A4F3B"/>
    <w:rsid w:val="12057C48"/>
    <w:rsid w:val="219B71B0"/>
    <w:rsid w:val="25E70E85"/>
    <w:rsid w:val="2B7A7721"/>
    <w:rsid w:val="316C3324"/>
    <w:rsid w:val="347C18DD"/>
    <w:rsid w:val="431A5637"/>
    <w:rsid w:val="438B7867"/>
    <w:rsid w:val="44177BC5"/>
    <w:rsid w:val="48706D2A"/>
    <w:rsid w:val="55137666"/>
    <w:rsid w:val="56214947"/>
    <w:rsid w:val="59F1681C"/>
    <w:rsid w:val="5BB70707"/>
    <w:rsid w:val="5E4A0DC9"/>
    <w:rsid w:val="619624DD"/>
    <w:rsid w:val="64EB7B04"/>
    <w:rsid w:val="66DD3ED2"/>
    <w:rsid w:val="6BAB61BC"/>
    <w:rsid w:val="6BD31305"/>
    <w:rsid w:val="6C531DF3"/>
    <w:rsid w:val="708711A8"/>
    <w:rsid w:val="73373314"/>
    <w:rsid w:val="779E4DF1"/>
    <w:rsid w:val="7A1309A9"/>
    <w:rsid w:val="7B6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631</Words>
  <Characters>3600</Characters>
  <Lines>30</Lines>
  <Paragraphs>8</Paragraphs>
  <TotalTime>0</TotalTime>
  <ScaleCrop>false</ScaleCrop>
  <LinksUpToDate>false</LinksUpToDate>
  <CharactersWithSpaces>4223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2023-07-14T13:41:00Z</dcterms:created>
  <dc:creator>向澧</dc:creator>
  <cp:lastModifiedBy>付敏</cp:lastModifiedBy>
  <cp:lastPrinted>2023-07-20T06:58:00Z</cp:lastPrinted>
  <dcterms:modified xsi:type="dcterms:W3CDTF">2023-07-20T09:18:07Z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2769DEBBBCA84E8193F96C0965596746</vt:lpwstr>
  </property>
</Properties>
</file>