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eastAsia="Times New Roman"/>
          <w:color w:val="auto"/>
          <w:sz w:val="2"/>
        </w:rPr>
      </w:pPr>
    </w:p>
    <w:tbl>
      <w:tblPr>
        <w:tblStyle w:val="7"/>
        <w:tblW w:w="306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1110" w:lineRule="exact"/>
              <w:ind w:left="20"/>
              <w:jc w:val="center"/>
              <w:rPr>
                <w:rFonts w:hint="eastAsia" w:ascii="微软雅黑" w:hAnsi="Times New Roman" w:eastAsia="微软雅黑"/>
                <w:b/>
                <w:sz w:val="84"/>
              </w:rPr>
            </w:pPr>
            <w:r>
              <w:rPr>
                <w:rFonts w:hint="eastAsia" w:ascii="微软雅黑" w:hAnsi="Times New Roman" w:eastAsia="微软雅黑"/>
                <w:b/>
                <w:sz w:val="84"/>
              </w:rPr>
              <w:t>岳阳城陵矶综合保税区管理委员会2023年度</w:t>
            </w:r>
          </w:p>
          <w:p>
            <w:pPr>
              <w:spacing w:line="1110" w:lineRule="exact"/>
              <w:ind w:left="20"/>
              <w:jc w:val="center"/>
              <w:rPr>
                <w:rFonts w:hint="eastAsia" w:ascii="微软雅黑" w:hAnsi="Times New Roman" w:eastAsia="微软雅黑"/>
                <w:sz w:val="84"/>
              </w:rPr>
            </w:pPr>
            <w:r>
              <w:rPr>
                <w:rFonts w:hint="eastAsia" w:ascii="微软雅黑" w:hAnsi="Times New Roman" w:eastAsia="微软雅黑"/>
                <w:b/>
                <w:sz w:val="84"/>
              </w:rPr>
              <w:t>部门预算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1110" w:lineRule="exact"/>
              <w:ind w:left="20"/>
              <w:jc w:val="center"/>
              <w:rPr>
                <w:rFonts w:hint="eastAsia" w:ascii="微软雅黑" w:hAnsi="Times New Roman" w:eastAsia="微软雅黑"/>
                <w:b/>
                <w:sz w:val="8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525" w:lineRule="exact"/>
              <w:ind w:left="20"/>
              <w:jc w:val="center"/>
              <w:rPr>
                <w:rFonts w:hint="eastAsia" w:ascii="Dialog" w:hAnsi="Times New Roman"/>
                <w:sz w:val="44"/>
              </w:rPr>
            </w:pPr>
            <w:r>
              <w:rPr>
                <w:rFonts w:hint="eastAsia" w:ascii="Dialog" w:hAnsi="Times New Roman"/>
                <w:sz w:val="44"/>
              </w:rPr>
              <w:t>目录</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525" w:lineRule="exact"/>
              <w:ind w:left="20"/>
              <w:jc w:val="center"/>
              <w:rPr>
                <w:rFonts w:hint="eastAsia" w:ascii="Dialog" w:hAnsi="Times New Roman"/>
                <w:sz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第一部分  2023年部门预算说明</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第二部分  2023年部门预算公开表格</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1、收支总表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2、收入总表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3、支出总表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4、支出预算分类汇总表（按政府预算经济分类）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5、支出预算分类汇总表（按部门预算经济分类）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6、财政拨款收支总表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7、一般公共预算支出表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8、一般公共预算基本支出表-人员经费（工资福利支出）（按政府预算经济分类）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9、一般公共预算基本支出表-人员经费（工资福利支出）（按部门预算经济分类）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10、一般公共预算基本支出表-人员经费（对个人和家庭的补助）（按政府预算经济分类）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11、一般公共预算基本支出表-人员经费（对个人和家庭的补助）（按部门预算经济分类）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12、一般公共预算基本支出表-公用经费（商品和服务支出）（按政府预算经济分类）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13、一般公共预算基本支出表-公用经费（商品和服务支出）（按部门预算经济分类）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14、一般公共预算“三公”经费支出表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15、政府性基金预算支出表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16、政府性基金预算支出分类汇总表（按政府预算经济分类）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17、政府性基金预算支出分类汇总表（按部门预算经济分类）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18、国有资本经营预算支出表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19、财政专户管理资金预算支出表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20、专项资金预算汇总表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21、项目支出绩效目标表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22、部门整体支出绩效目标表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23、一般公共预算基本支出表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color w:val="FF0000"/>
                <w:sz w:val="32"/>
              </w:rPr>
            </w:pPr>
            <w:r>
              <w:rPr>
                <w:rFonts w:hint="eastAsia" w:ascii="Dialog" w:hAnsi="Times New Roman"/>
                <w:color w:val="FF0000"/>
                <w:sz w:val="32"/>
              </w:rPr>
              <w:t>注：以上部门预算公开报表中，空表表示本部门无相关收支情况。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color w:val="FF0000"/>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Dialog" w:hAnsi="Times New Roman"/>
                <w:sz w:val="32"/>
              </w:rPr>
            </w:pPr>
            <w:r>
              <w:rPr>
                <w:rFonts w:hint="eastAsia" w:ascii="Dialog" w:hAnsi="Times New Roman"/>
                <w:sz w:val="32"/>
              </w:rPr>
              <w:t>第一部分  2023年部门预算说明</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一、部门基本概况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（一）职能职责</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firstLine="320" w:firstLineChars="100"/>
              <w:rPr>
                <w:rFonts w:hint="eastAsia" w:ascii="宋体" w:hAnsi="Times New Roman"/>
                <w:sz w:val="32"/>
              </w:rPr>
            </w:pPr>
            <w:r>
              <w:rPr>
                <w:rFonts w:hint="eastAsia" w:ascii="宋体" w:hAnsi="Times New Roman"/>
                <w:sz w:val="32"/>
              </w:rPr>
              <w:t>(1)、贯彻执行党和国家关于发展综合保税区的方针、政策和法律、法规、规章；研究制定和组织实施岳阳城陵矶综合保税区各项具体管理制度；开展政策、法规宣传教育工作；根据市人民政府授权，检查督促各项政策、法规的执行。</w:t>
            </w:r>
          </w:p>
          <w:p>
            <w:pPr>
              <w:spacing w:line="375" w:lineRule="exact"/>
              <w:ind w:firstLine="320" w:firstLineChars="100"/>
              <w:rPr>
                <w:rFonts w:hint="eastAsia" w:ascii="宋体" w:hAnsi="Times New Roman"/>
                <w:sz w:val="32"/>
              </w:rPr>
            </w:pPr>
            <w:r>
              <w:rPr>
                <w:rFonts w:hint="eastAsia" w:ascii="宋体" w:hAnsi="Times New Roman"/>
                <w:sz w:val="32"/>
              </w:rPr>
              <w:t>(2)、组织参与编制岳阳城陵矶综合保税区中长期发展规划，拟定鼓励重点产业发展的财政扶持政策。</w:t>
            </w:r>
          </w:p>
          <w:p>
            <w:pPr>
              <w:spacing w:line="375" w:lineRule="exact"/>
              <w:ind w:firstLine="320" w:firstLineChars="100"/>
              <w:rPr>
                <w:rFonts w:hint="eastAsia" w:ascii="宋体" w:hAnsi="Times New Roman"/>
                <w:sz w:val="32"/>
              </w:rPr>
            </w:pPr>
            <w:r>
              <w:rPr>
                <w:rFonts w:hint="eastAsia" w:ascii="宋体" w:hAnsi="Times New Roman"/>
                <w:sz w:val="32"/>
              </w:rPr>
              <w:t>(3)、负责综合保税区招商引资有关工作；协助有关部门审核和批准管理范围内的外资和内资项目，指导和协调招商引资、对外经济技术合作与交流；协助有关部门处理区内有关涉外事务。</w:t>
            </w:r>
          </w:p>
          <w:p>
            <w:pPr>
              <w:spacing w:line="375" w:lineRule="exact"/>
              <w:ind w:firstLine="320" w:firstLineChars="100"/>
              <w:rPr>
                <w:rFonts w:hint="eastAsia" w:ascii="宋体" w:hAnsi="Times New Roman"/>
                <w:sz w:val="32"/>
              </w:rPr>
            </w:pPr>
            <w:r>
              <w:rPr>
                <w:rFonts w:hint="eastAsia" w:ascii="宋体" w:hAnsi="Times New Roman"/>
                <w:sz w:val="32"/>
              </w:rPr>
              <w:t>(4)、根据市人民政府授权或接受有关部门委托，负责协调区内企业与民航、海关、检验检疫、口岸、工商、税务、金融、知识产权等有关部门和公安等其他驻区单位的工作，为企业提供指导和服务。</w:t>
            </w:r>
          </w:p>
          <w:p>
            <w:pPr>
              <w:spacing w:line="375" w:lineRule="exact"/>
              <w:ind w:firstLine="320" w:firstLineChars="100"/>
              <w:rPr>
                <w:rFonts w:hint="eastAsia" w:ascii="宋体" w:hAnsi="Times New Roman"/>
                <w:sz w:val="32"/>
              </w:rPr>
            </w:pPr>
            <w:r>
              <w:rPr>
                <w:rFonts w:hint="eastAsia" w:ascii="宋体" w:hAnsi="Times New Roman"/>
                <w:sz w:val="32"/>
              </w:rPr>
              <w:t>(5)、负责区内基础设施的建设和维护管理工作。</w:t>
            </w:r>
          </w:p>
          <w:p>
            <w:pPr>
              <w:spacing w:line="375" w:lineRule="exact"/>
              <w:ind w:firstLine="320" w:firstLineChars="100"/>
              <w:rPr>
                <w:rFonts w:hint="eastAsia" w:ascii="宋体" w:hAnsi="Times New Roman"/>
                <w:sz w:val="32"/>
              </w:rPr>
            </w:pPr>
            <w:r>
              <w:rPr>
                <w:rFonts w:hint="eastAsia" w:ascii="宋体" w:hAnsi="Times New Roman"/>
                <w:sz w:val="32"/>
              </w:rPr>
              <w:t>(6)、负责区内的综合、信息、统计及国有资产管理等工作。</w:t>
            </w:r>
          </w:p>
          <w:p>
            <w:pPr>
              <w:spacing w:line="375" w:lineRule="exact"/>
              <w:ind w:left="20" w:firstLine="320" w:firstLineChars="100"/>
              <w:rPr>
                <w:rFonts w:hint="eastAsia" w:ascii="宋体" w:hAnsi="Times New Roman"/>
                <w:sz w:val="32"/>
              </w:rPr>
            </w:pPr>
            <w:r>
              <w:rPr>
                <w:rFonts w:hint="eastAsia" w:ascii="宋体" w:hAnsi="Times New Roman"/>
                <w:sz w:val="32"/>
              </w:rPr>
              <w:t>(7)、完成市委、市人民政府交办的其他事项。</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firstLine="320" w:firstLineChars="10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（二）机构设置</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根据中共岳阳市委办公室 岳阳市人民政府办公室关于印发《中共湖南城陵矶新港区工作委员会湖南城陵矶新港区管理委员会中国（湖南）自由贸易试验区岳阳片区管理委员会岳阳城陵矶综合保税区管理委员会职能配置、内设机构和人员编制规定》的通知（岳办〔2022〕9号）和（岳编发〔2021〕1号，本部门核定全额事业编制为25人，内设机构分别是保税事务部、经济发展部、企业服务部、口岸贸易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二、部门预算构成</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本部门预算为汇总预算，纳入编制范围的预算单位包括：</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岳阳城陵矶综合保税区管理委员会本级</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三、部门收支总体情况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（一）收入预算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包括一般公共预算、政府性基金、国有资本经营预算等财政拨款收入，以及经营收入、事业收入等单位资金。2023年度年本部门收入预算286.87万元，其中，一般公共预算拨款286.87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2023年收入较去年增加</w:t>
            </w:r>
            <w:r>
              <w:rPr>
                <w:rFonts w:hint="default" w:ascii="Times New Roman" w:hAnsi="Times New Roman"/>
                <w:color w:val="666666"/>
                <w:sz w:val="31"/>
                <w:shd w:val="clear" w:color="auto" w:fill="FFFFFF"/>
              </w:rPr>
              <w:t>75.94</w:t>
            </w:r>
            <w:r>
              <w:rPr>
                <w:rFonts w:hint="eastAsia" w:ascii="宋体" w:hAnsi="Times New Roman"/>
                <w:sz w:val="32"/>
              </w:rPr>
              <w:t>万元，主要是因为工资福利变动，人员经费增加。</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（二）支出预算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2023年本部门支出预算286.87万元，其中，201一般公共服务支出228.40万元，208社会保障和就业支出21.57万元，210卫生健康支出16.45万元，221住房保障支出20.45万元，支出较去年增加</w:t>
            </w:r>
            <w:r>
              <w:rPr>
                <w:rFonts w:hint="default" w:ascii="Times New Roman" w:hAnsi="Times New Roman"/>
                <w:color w:val="666666"/>
                <w:sz w:val="31"/>
                <w:shd w:val="clear" w:color="auto" w:fill="FFFFFF"/>
              </w:rPr>
              <w:t>75.94</w:t>
            </w:r>
            <w:r>
              <w:rPr>
                <w:rFonts w:hint="eastAsia" w:ascii="宋体" w:hAnsi="Times New Roman"/>
                <w:sz w:val="32"/>
              </w:rPr>
              <w:t>万元，主要是因为人员工资福利变动，人员经费增加。</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四、一般公共预算拨款支出预算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2023年一般公共预算拨款支出预算286.87万元，其中，201一般公共服务支出228.40万元，占79.62%；208社会保障和就业支出21.57万元，占7.52%；210卫生健康支出16.45万元，占5.73%；221住房保障支出20.45万元，占7.13%；具体安排情况如下：</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一）基本支出：2023年基本支出年初预算数为286.87万元（数据来源见表23），是指为保障单位机构正常运转、完成日常工作任务而发生的各项支出，包括用于基本工资、津贴补贴等人员经费以及办公费、印刷费、水电费、差旅费等日常公用经费。</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default" w:ascii="宋体" w:hAnsi="Times New Roman" w:eastAsia="宋体"/>
                <w:sz w:val="32"/>
                <w:lang w:val="en-US" w:eastAsia="zh-CN"/>
              </w:rPr>
            </w:pPr>
            <w:r>
              <w:rPr>
                <w:rFonts w:hint="eastAsia" w:ascii="宋体" w:hAnsi="Times New Roman"/>
                <w:sz w:val="32"/>
              </w:rPr>
              <w:t xml:space="preserve"> </w:t>
            </w:r>
            <w:bookmarkStart w:id="0" w:name="_GoBack"/>
            <w:r>
              <w:rPr>
                <w:rFonts w:hint="eastAsia" w:ascii="宋体" w:hAnsi="Times New Roman"/>
                <w:sz w:val="32"/>
              </w:rPr>
              <w:t xml:space="preserve"> </w:t>
            </w:r>
            <w:r>
              <w:rPr>
                <w:rFonts w:hint="eastAsia" w:ascii="宋体" w:hAnsi="Times New Roman"/>
                <w:sz w:val="32"/>
                <w:lang w:eastAsia="zh-CN"/>
              </w:rPr>
              <w:t>（</w:t>
            </w:r>
            <w:r>
              <w:rPr>
                <w:rFonts w:hint="eastAsia" w:ascii="宋体" w:hAnsi="Times New Roman"/>
                <w:sz w:val="32"/>
                <w:lang w:val="en-US" w:eastAsia="zh-CN"/>
              </w:rPr>
              <w:t>二</w:t>
            </w:r>
            <w:r>
              <w:rPr>
                <w:rFonts w:hint="eastAsia" w:ascii="宋体" w:hAnsi="Times New Roman"/>
                <w:sz w:val="32"/>
                <w:lang w:eastAsia="zh-CN"/>
              </w:rPr>
              <w:t>）</w:t>
            </w:r>
            <w:r>
              <w:rPr>
                <w:rFonts w:hint="eastAsia" w:ascii="宋体" w:hAnsi="Times New Roman"/>
                <w:sz w:val="32"/>
                <w:lang w:val="en-US" w:eastAsia="zh-CN"/>
              </w:rPr>
              <w:t>项目支出：</w:t>
            </w:r>
            <w:r>
              <w:rPr>
                <w:rFonts w:hint="eastAsia" w:ascii="宋体" w:hAnsi="Times New Roman"/>
                <w:sz w:val="32"/>
              </w:rPr>
              <w:t>2023年</w:t>
            </w:r>
            <w:r>
              <w:rPr>
                <w:rFonts w:hint="eastAsia" w:ascii="宋体" w:hAnsi="Times New Roman"/>
                <w:sz w:val="32"/>
                <w:lang w:val="en-US" w:eastAsia="zh-CN"/>
              </w:rPr>
              <w:t>项目</w:t>
            </w:r>
            <w:r>
              <w:rPr>
                <w:rFonts w:hint="eastAsia" w:ascii="宋体" w:hAnsi="Times New Roman"/>
                <w:sz w:val="32"/>
              </w:rPr>
              <w:t>支出年初预算数为</w:t>
            </w:r>
            <w:r>
              <w:rPr>
                <w:rFonts w:hint="eastAsia" w:ascii="宋体" w:hAnsi="Times New Roman"/>
                <w:sz w:val="32"/>
                <w:lang w:val="en-US" w:eastAsia="zh-CN"/>
              </w:rPr>
              <w:t>0</w:t>
            </w:r>
            <w:r>
              <w:rPr>
                <w:rFonts w:hint="eastAsia" w:ascii="宋体" w:hAnsi="Times New Roman"/>
                <w:sz w:val="32"/>
              </w:rPr>
              <w:t>万元</w:t>
            </w:r>
            <w:r>
              <w:rPr>
                <w:rFonts w:hint="eastAsia" w:ascii="宋体" w:hAnsi="Times New Roman" w:eastAsia="宋体" w:cs="宋体"/>
                <w:sz w:val="32"/>
                <w:szCs w:val="32"/>
              </w:rPr>
              <w:t>（数据来源见表20），是指部门为完成特定行政工作任务或事业发展目标而发生的支出，包括有关业务工作经费、运行维护经费、其他事业发展资金等。</w:t>
            </w:r>
            <w:r>
              <w:rPr>
                <w:rFonts w:hint="eastAsia" w:ascii="宋体" w:hAnsi="Times New Roman" w:cs="宋体"/>
                <w:sz w:val="32"/>
                <w:szCs w:val="32"/>
                <w:lang w:val="en-US" w:eastAsia="zh-CN"/>
              </w:rPr>
              <w:t>本部门当年无项目支出。</w:t>
            </w:r>
            <w:bookmarkEnd w:id="0"/>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五、政府性基金预算支出</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2023年度本部门无政府性基金安排的支出，所以公开的附件15-17（政府性基金预算）为空。</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六、其他重要事项的情况说明</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（一）机关运行经费</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本部门2023年机关运行经费当年一般公共预算拨款47.85万元（数据来源见表12），比上一年增加</w:t>
            </w:r>
            <w:r>
              <w:rPr>
                <w:rFonts w:hint="eastAsia" w:ascii="宋体" w:hAnsi="Times New Roman"/>
                <w:color w:val="auto"/>
                <w:sz w:val="32"/>
              </w:rPr>
              <w:t>7.55</w:t>
            </w:r>
            <w:r>
              <w:rPr>
                <w:rFonts w:hint="eastAsia" w:ascii="宋体" w:hAnsi="Times New Roman"/>
                <w:sz w:val="32"/>
              </w:rPr>
              <w:t>万元，增加</w:t>
            </w:r>
            <w:r>
              <w:rPr>
                <w:rFonts w:hint="eastAsia" w:ascii="宋体" w:hAnsi="Times New Roman"/>
                <w:color w:val="auto"/>
                <w:sz w:val="32"/>
              </w:rPr>
              <w:t>18.74</w:t>
            </w:r>
            <w:r>
              <w:rPr>
                <w:rFonts w:hint="eastAsia" w:ascii="宋体" w:hAnsi="Times New Roman"/>
                <w:sz w:val="32"/>
              </w:rPr>
              <w:t>%。主要原因是</w:t>
            </w:r>
            <w:r>
              <w:rPr>
                <w:rFonts w:hint="eastAsia" w:ascii="宋体" w:hAnsi="Times New Roman"/>
                <w:color w:val="auto"/>
                <w:sz w:val="32"/>
              </w:rPr>
              <w:t>增加人员福利费。</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（二）“三公”经费预算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2023年“三公”经费预算数9.00万元（数据来源见表14），其中，公务接待费0.00万元，因公出国（境）费0.00万元，公务用车购置及运行费9.00万元（其中，公务用车购置费0.00万元，公务用车运行费9.00万元）。2023年三公经费预算较上年</w:t>
            </w:r>
            <w:r>
              <w:rPr>
                <w:rFonts w:hint="eastAsia" w:ascii="宋体" w:hAnsi="Times New Roman"/>
                <w:sz w:val="32"/>
                <w:lang w:val="en-US" w:eastAsia="zh-CN"/>
              </w:rPr>
              <w:t>不变</w:t>
            </w:r>
            <w:r>
              <w:rPr>
                <w:rFonts w:hint="eastAsia" w:ascii="宋体" w:hAnsi="Times New Roman"/>
                <w:sz w:val="32"/>
              </w:rPr>
              <w:t>，主要原因是严格按照预算执行。</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（三）一般性支出情况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2023年度本部门未计划安排会议、培训，未计划举办节庆、晚会、论坛、赛事活动。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（四）政府采购情况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2023年政府采购预算总额545.32万元，其中工程类0万元，货物类49.52万元，服务类495.8万元。（根据《关于将岳阳城陵矶综合保税区纳入市本级财政部门预算管理的请示》批示文件，明确专项工作经费由新港区管委会负责，因此政府采购项目在新港区管委会预算公开）（没有政府采购预算的也需要说明：2023年度本部门未安排政府采购预算。）</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（五）国有资产占有使用及新增资产配置情况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截至上年底，本部门共有车辆3辆，其中领导干部用车0辆，一般公务用车3辆，其他用车0辆。单位价值50万元以上通用设备0台，单位价值100万元以上专用设备0台。 </w:t>
            </w:r>
          </w:p>
          <w:p>
            <w:pPr>
              <w:ind w:left="20"/>
              <w:rPr>
                <w:rFonts w:hint="eastAsia" w:ascii="宋体" w:hAnsi="Times New Roman"/>
                <w:sz w:val="32"/>
              </w:rPr>
            </w:pPr>
            <w:r>
              <w:rPr>
                <w:rFonts w:hint="eastAsia" w:ascii="宋体" w:hAnsi="Times New Roman"/>
                <w:sz w:val="32"/>
              </w:rPr>
              <w:t xml:space="preserve">  2023年拟报废处置车辆1辆，其中：报废处置领导干部用车0辆，报废处置一般公务用车1辆，报废处置其他用车0辆，报废处置单位价值50万元以上通用设备0台，报废处置单位价值100万元以上通用设备0台。拟新增配置车辆1辆，其中领导干部用车0辆，一般公务用车1辆，其他用车0辆，主要用于机要通讯，资金来源为财政资金。</w:t>
            </w:r>
          </w:p>
          <w:p>
            <w:pPr>
              <w:spacing w:line="375" w:lineRule="exact"/>
              <w:ind w:left="20"/>
              <w:rPr>
                <w:rFonts w:hint="eastAsia" w:ascii="宋体" w:hAnsi="Times New Roman"/>
                <w:sz w:val="32"/>
              </w:rPr>
            </w:pPr>
            <w:r>
              <w:rPr>
                <w:rFonts w:hint="eastAsia" w:ascii="宋体" w:hAnsi="Times New Roman"/>
                <w:sz w:val="32"/>
              </w:rPr>
              <w:t xml:space="preserve">  2023年拟新增配备领导干部用车0辆，一般公务用车1辆，其他用车0辆，新增配备单位价值50万元以上通用设备0台，单位价值100万元以上专用设备0台。</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（六）预算绩效目标说明</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本部门所有支出实行绩效目标管理。纳入2023年部门整体支出绩效目标的金额为286.87万元，其中，基本支出286.87万元，项目支出0.00万元，详见文尾附表中部门预算公开表格的表21-22。</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r>
              <w:rPr>
                <w:rFonts w:hint="eastAsia" w:ascii="Dialog" w:hAnsi="Times New Roman"/>
                <w:sz w:val="32"/>
              </w:rPr>
              <w:t xml:space="preserve">  七、名词解释</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 xml:space="preserve">  2、“三公”经费：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rPr>
                <w:rFonts w:hint="default" w:ascii="Times New Roman" w:eastAsia="Times New Roman"/>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Dialog" w:hAnsi="Times New Roman"/>
                <w:sz w:val="32"/>
              </w:rPr>
            </w:pPr>
            <w:r>
              <w:rPr>
                <w:rFonts w:hint="eastAsia" w:ascii="Dialog" w:hAnsi="Times New Roman"/>
                <w:sz w:val="32"/>
              </w:rPr>
              <w:t>第二部分  2023年部门预算公开表格</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jc w:val="center"/>
              <w:rPr>
                <w:rFonts w:hint="eastAsia" w:ascii="Dialog"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1、收支总表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2、收入总表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3、支出总表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4、支出预算分类汇总表（按政府预算经济分类）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5、支出预算分类汇总表（按部门预算经济分类）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6、财政拨款收支总表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7、一般公共预算支出表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8、一般公共预算基本支出表-人员经费（工资福利支出）（按政府预算经济分类）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9、一般公共预算基本支出表-人员经费（工资福利支出）（按部门预算经济分类）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10、一般公共预算基本支出表-人员经费（对个人和家庭的补助）（按政府预算经济分类）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11、一般公共预算基本支出表-人员经费（对个人和家庭的补助）（按部门预算经济分类）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12、一般公共预算基本支出表-公用经费（商品和服务支出）（按政府预算经济分类）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13、一般公共预算基本支出表-公用经费（商品和服务支出）（按部门预算经济分类）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14、一般公共预算“三公”经费支出表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15、政府性基金预算支出表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16、政府性基金预算支出分类汇总表（按政府预算经济分类）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17、政府性基金预算支出分类汇总表（按部门预算经济分类）</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18、国有资本经营预算支出表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19、财政专户管理资金预算支出表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20、专项资金预算汇总表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21、项目支出绩效目标表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22、部门整体支出绩效目标表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r>
              <w:rPr>
                <w:rFonts w:hint="eastAsia" w:ascii="宋体" w:hAnsi="Times New Roman"/>
                <w:sz w:val="32"/>
              </w:rPr>
              <w:t>23、一般公共预算基本支出表</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color w:val="FF0000"/>
                <w:sz w:val="32"/>
              </w:rPr>
            </w:pPr>
            <w:r>
              <w:rPr>
                <w:rFonts w:hint="eastAsia" w:ascii="宋体" w:hAnsi="Times New Roman"/>
                <w:b/>
                <w:color w:val="FF0000"/>
                <w:sz w:val="32"/>
              </w:rPr>
              <w:t>注：以上部门预算公开报表中，空表表示本部门无相关收支情况。</w:t>
            </w:r>
          </w:p>
        </w:tc>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line="375" w:lineRule="exact"/>
              <w:ind w:left="20"/>
              <w:rPr>
                <w:rFonts w:hint="eastAsia" w:ascii="宋体" w:hAnsi="Times New Roman"/>
                <w:b/>
                <w:color w:val="FF0000"/>
                <w:sz w:val="32"/>
              </w:rPr>
            </w:pPr>
          </w:p>
        </w:tc>
      </w:tr>
    </w:tbl>
    <w:p>
      <w:pPr>
        <w:rPr>
          <w:rFonts w:hint="default"/>
          <w:sz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ialog">
    <w:altName w:val="宋体"/>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GFmMTJjZDc5MTY3YTY1N2I2YTE3ZGU3YTY2NDUifQ=="/>
    <w:docVar w:name="KSO_WPS_MARK_KEY" w:val="b2c0cbac-0c25-48d8-9bd9-5ca7771317bc"/>
  </w:docVars>
  <w:rsids>
    <w:rsidRoot w:val="00172A27"/>
    <w:rsid w:val="2C80754C"/>
    <w:rsid w:val="409F6214"/>
    <w:rsid w:val="54FB2951"/>
    <w:rsid w:val="59F22FCC"/>
    <w:rsid w:val="6EE80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Arial" w:hAnsi="Arial" w:eastAsia="宋体" w:cs="Times New Roman"/>
      <w:color w:val="000000"/>
      <w:sz w:val="24"/>
      <w:lang w:val="en-US" w:eastAsia="zh-CN"/>
    </w:rPr>
  </w:style>
  <w:style w:type="paragraph" w:styleId="2">
    <w:name w:val="heading 1"/>
    <w:basedOn w:val="1"/>
    <w:next w:val="1"/>
    <w:link w:val="10"/>
    <w:unhideWhenUsed/>
    <w:qFormat/>
    <w:uiPriority w:val="9"/>
    <w:pPr>
      <w:outlineLvl w:val="0"/>
    </w:pPr>
    <w:rPr>
      <w:rFonts w:hint="eastAsia"/>
      <w:b/>
      <w:sz w:val="32"/>
    </w:rPr>
  </w:style>
  <w:style w:type="paragraph" w:styleId="3">
    <w:name w:val="heading 2"/>
    <w:basedOn w:val="1"/>
    <w:next w:val="1"/>
    <w:link w:val="11"/>
    <w:unhideWhenUsed/>
    <w:qFormat/>
    <w:uiPriority w:val="99"/>
    <w:pPr>
      <w:outlineLvl w:val="1"/>
    </w:pPr>
    <w:rPr>
      <w:rFonts w:hint="eastAsia"/>
      <w:b/>
      <w:i/>
      <w:sz w:val="28"/>
    </w:rPr>
  </w:style>
  <w:style w:type="paragraph" w:styleId="4">
    <w:name w:val="heading 3"/>
    <w:basedOn w:val="1"/>
    <w:next w:val="1"/>
    <w:link w:val="9"/>
    <w:unhideWhenUsed/>
    <w:qFormat/>
    <w:uiPriority w:val="99"/>
    <w:pPr>
      <w:outlineLvl w:val="2"/>
    </w:pPr>
    <w:rPr>
      <w:rFonts w:hint="eastAsia"/>
      <w:b/>
      <w:sz w:val="26"/>
    </w:rPr>
  </w:style>
  <w:style w:type="character" w:default="1" w:styleId="8">
    <w:name w:val="Default Paragraph Font"/>
    <w:unhideWhenUsed/>
    <w:qFormat/>
    <w:uiPriority w:val="1"/>
    <w:rPr>
      <w:rFonts w:hint="default"/>
      <w:sz w:val="24"/>
    </w:rPr>
  </w:style>
  <w:style w:type="table" w:default="1" w:styleId="7">
    <w:name w:val="Normal Table"/>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pPr>
    <w:rPr>
      <w:rFonts w:hint="eastAsia"/>
      <w:sz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hint="eastAsia"/>
      <w:sz w:val="18"/>
    </w:rPr>
  </w:style>
  <w:style w:type="character" w:customStyle="1" w:styleId="9">
    <w:name w:val="标题 3 Char"/>
    <w:basedOn w:val="8"/>
    <w:link w:val="4"/>
    <w:unhideWhenUsed/>
    <w:locked/>
    <w:uiPriority w:val="9"/>
    <w:rPr>
      <w:rFonts w:hint="default" w:ascii="Times New Roman" w:hAnsi="Times New Roman" w:eastAsia="宋体"/>
      <w:b/>
      <w:sz w:val="32"/>
    </w:rPr>
  </w:style>
  <w:style w:type="character" w:customStyle="1" w:styleId="10">
    <w:name w:val="标题 1 Char"/>
    <w:basedOn w:val="8"/>
    <w:link w:val="2"/>
    <w:unhideWhenUsed/>
    <w:qFormat/>
    <w:locked/>
    <w:uiPriority w:val="9"/>
    <w:rPr>
      <w:rFonts w:hint="default" w:ascii="Times New Roman" w:hAnsi="Times New Roman" w:eastAsia="宋体"/>
      <w:b/>
      <w:kern w:val="44"/>
      <w:sz w:val="44"/>
    </w:rPr>
  </w:style>
  <w:style w:type="character" w:customStyle="1" w:styleId="11">
    <w:name w:val="标题 2 Char"/>
    <w:basedOn w:val="8"/>
    <w:link w:val="3"/>
    <w:unhideWhenUsed/>
    <w:locked/>
    <w:uiPriority w:val="9"/>
    <w:rPr>
      <w:rFonts w:hint="eastAsia" w:ascii="Cambria" w:hAnsi="Cambria" w:eastAsia="宋体"/>
      <w:b/>
      <w:sz w:val="32"/>
    </w:rPr>
  </w:style>
  <w:style w:type="character" w:customStyle="1" w:styleId="12">
    <w:name w:val="页眉 Char"/>
    <w:basedOn w:val="8"/>
    <w:link w:val="6"/>
    <w:unhideWhenUsed/>
    <w:locked/>
    <w:uiPriority w:val="99"/>
    <w:rPr>
      <w:rFonts w:hint="default" w:ascii="Arial" w:hAnsi="Times New Roman" w:eastAsia="宋体"/>
      <w:color w:val="000000"/>
      <w:sz w:val="18"/>
    </w:rPr>
  </w:style>
  <w:style w:type="character" w:customStyle="1" w:styleId="13">
    <w:name w:val="页脚 Char"/>
    <w:basedOn w:val="8"/>
    <w:link w:val="5"/>
    <w:unhideWhenUsed/>
    <w:locked/>
    <w:uiPriority w:val="99"/>
    <w:rPr>
      <w:rFonts w:hint="default" w:ascii="Arial" w:hAnsi="Times New Roman" w:eastAsia="宋体"/>
      <w:color w:val="00000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3647</Words>
  <Characters>3969</Characters>
  <TotalTime>3</TotalTime>
  <ScaleCrop>false</ScaleCrop>
  <LinksUpToDate>false</LinksUpToDate>
  <CharactersWithSpaces>4060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2024-03-25T07:22:00Z</dcterms:created>
  <dc:creator>Administrator</dc:creator>
  <cp:lastModifiedBy>German Phillip</cp:lastModifiedBy>
  <dcterms:modified xsi:type="dcterms:W3CDTF">2024-03-25T08:20:37Z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958E700A83AA4C7FB5B2BACA6AD8DE22_12</vt:lpwstr>
  </property>
</Properties>
</file>