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Style w:val="6"/>
        <w:tblW w:w="15306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1110" w:lineRule="exact"/>
              <w:ind w:left="20"/>
              <w:jc w:val="center"/>
              <w:rPr>
                <w:rFonts w:ascii="微软雅黑" w:hAnsi="Times New Roman" w:eastAsia="微软雅黑" w:cs="微软雅黑"/>
                <w:b/>
                <w:bCs/>
                <w:sz w:val="84"/>
                <w:szCs w:val="84"/>
              </w:rPr>
            </w:pPr>
          </w:p>
          <w:p>
            <w:pPr>
              <w:spacing w:line="1110" w:lineRule="exact"/>
              <w:ind w:left="20"/>
              <w:jc w:val="center"/>
              <w:rPr>
                <w:rFonts w:ascii="微软雅黑" w:hAnsi="Times New Roman" w:eastAsia="微软雅黑" w:cs="微软雅黑"/>
                <w:b/>
                <w:bCs/>
                <w:sz w:val="84"/>
                <w:szCs w:val="84"/>
              </w:rPr>
            </w:pPr>
          </w:p>
          <w:p>
            <w:pPr>
              <w:spacing w:line="1110" w:lineRule="exact"/>
              <w:ind w:left="20"/>
              <w:jc w:val="center"/>
              <w:rPr>
                <w:rFonts w:ascii="微软雅黑" w:hAnsi="Times New Roman" w:eastAsia="微软雅黑" w:cs="微软雅黑"/>
                <w:b/>
                <w:bCs/>
                <w:sz w:val="84"/>
                <w:szCs w:val="84"/>
              </w:rPr>
            </w:pPr>
          </w:p>
          <w:p>
            <w:pPr>
              <w:spacing w:line="1110" w:lineRule="exact"/>
              <w:ind w:left="20"/>
              <w:jc w:val="center"/>
              <w:rPr>
                <w:rFonts w:ascii="微软雅黑" w:hAnsi="Times New Roman" w:eastAsia="微软雅黑" w:cs="微软雅黑"/>
                <w:b/>
                <w:bCs/>
                <w:sz w:val="84"/>
                <w:szCs w:val="84"/>
              </w:rPr>
            </w:pPr>
            <w:r>
              <w:rPr>
                <w:rFonts w:ascii="微软雅黑" w:hAnsi="Times New Roman" w:eastAsia="微软雅黑" w:cs="微软雅黑"/>
                <w:b/>
                <w:bCs/>
                <w:sz w:val="84"/>
                <w:szCs w:val="84"/>
              </w:rPr>
              <w:t xml:space="preserve">  </w:t>
            </w:r>
            <w:r>
              <w:rPr>
                <w:rFonts w:hint="eastAsia" w:ascii="微软雅黑" w:hAnsi="Times New Roman" w:eastAsia="微软雅黑" w:cs="微软雅黑"/>
                <w:b/>
                <w:bCs/>
                <w:sz w:val="84"/>
                <w:szCs w:val="84"/>
              </w:rPr>
              <w:t>岳阳市林业局</w:t>
            </w:r>
          </w:p>
          <w:p>
            <w:pPr>
              <w:spacing w:line="1110" w:lineRule="exact"/>
              <w:ind w:left="20"/>
              <w:jc w:val="center"/>
              <w:rPr>
                <w:rFonts w:ascii="微软雅黑" w:hAnsi="Times New Roman" w:eastAsia="微软雅黑" w:cs="微软雅黑"/>
                <w:b/>
                <w:bCs/>
                <w:sz w:val="84"/>
                <w:szCs w:val="84"/>
              </w:rPr>
            </w:pPr>
            <w:r>
              <w:rPr>
                <w:rFonts w:ascii="微软雅黑" w:hAnsi="Times New Roman" w:eastAsia="微软雅黑" w:cs="微软雅黑"/>
                <w:b/>
                <w:bCs/>
                <w:sz w:val="84"/>
                <w:szCs w:val="84"/>
              </w:rPr>
              <w:t xml:space="preserve">  2023</w:t>
            </w:r>
            <w:r>
              <w:rPr>
                <w:rFonts w:hint="eastAsia" w:ascii="微软雅黑" w:hAnsi="Times New Roman" w:eastAsia="微软雅黑" w:cs="微软雅黑"/>
                <w:b/>
                <w:bCs/>
                <w:sz w:val="84"/>
                <w:szCs w:val="84"/>
              </w:rPr>
              <w:t>年度部门预算</w:t>
            </w:r>
          </w:p>
          <w:p>
            <w:pPr>
              <w:spacing w:line="1110" w:lineRule="exact"/>
              <w:ind w:left="20"/>
              <w:jc w:val="center"/>
              <w:rPr>
                <w:rFonts w:ascii="微软雅黑" w:hAnsi="Times New Roman" w:eastAsia="微软雅黑" w:cs="微软雅黑"/>
                <w:b/>
                <w:bCs/>
                <w:sz w:val="84"/>
                <w:szCs w:val="84"/>
              </w:rPr>
            </w:pPr>
          </w:p>
          <w:p>
            <w:pPr>
              <w:spacing w:line="1110" w:lineRule="exact"/>
              <w:ind w:left="20"/>
              <w:jc w:val="center"/>
              <w:rPr>
                <w:rFonts w:ascii="微软雅黑" w:hAnsi="Times New Roman" w:eastAsia="微软雅黑" w:cs="微软雅黑"/>
                <w:b/>
                <w:bCs/>
                <w:sz w:val="84"/>
                <w:szCs w:val="84"/>
              </w:rPr>
            </w:pPr>
          </w:p>
          <w:p>
            <w:pPr>
              <w:spacing w:line="1110" w:lineRule="exact"/>
              <w:ind w:left="20"/>
              <w:jc w:val="center"/>
              <w:rPr>
                <w:rFonts w:ascii="微软雅黑" w:hAnsi="Times New Roman" w:eastAsia="微软雅黑" w:cs="微软雅黑"/>
                <w:b/>
                <w:bCs/>
                <w:sz w:val="84"/>
                <w:szCs w:val="84"/>
              </w:rPr>
            </w:pPr>
          </w:p>
          <w:p>
            <w:pPr>
              <w:spacing w:line="1110" w:lineRule="exact"/>
              <w:ind w:left="20"/>
              <w:jc w:val="center"/>
              <w:rPr>
                <w:rFonts w:ascii="微软雅黑" w:hAnsi="Times New Roman" w:eastAsia="微软雅黑" w:cs="微软雅黑"/>
                <w:b/>
                <w:bCs/>
                <w:sz w:val="84"/>
                <w:szCs w:val="84"/>
              </w:rPr>
            </w:pPr>
          </w:p>
          <w:p>
            <w:pPr>
              <w:spacing w:line="1110" w:lineRule="exact"/>
              <w:ind w:left="20"/>
              <w:jc w:val="center"/>
              <w:rPr>
                <w:rFonts w:ascii="微软雅黑" w:hAnsi="Times New Roman" w:eastAsia="微软雅黑" w:cs="微软雅黑"/>
                <w:b/>
                <w:bCs/>
                <w:sz w:val="84"/>
                <w:szCs w:val="84"/>
              </w:rPr>
            </w:pPr>
          </w:p>
          <w:p>
            <w:pPr>
              <w:spacing w:line="1110" w:lineRule="exact"/>
              <w:ind w:left="20"/>
              <w:jc w:val="center"/>
              <w:rPr>
                <w:rFonts w:ascii="微软雅黑" w:hAnsi="Times New Roman" w:eastAsia="微软雅黑" w:cs="微软雅黑"/>
                <w:b/>
                <w:bCs/>
                <w:sz w:val="84"/>
                <w:szCs w:val="84"/>
              </w:rPr>
            </w:pPr>
          </w:p>
          <w:p>
            <w:pPr>
              <w:spacing w:line="1110" w:lineRule="exact"/>
              <w:ind w:left="20"/>
              <w:jc w:val="center"/>
              <w:rPr>
                <w:rFonts w:ascii="微软雅黑" w:hAnsi="Times New Roman" w:eastAsia="微软雅黑" w:cs="微软雅黑"/>
                <w:b/>
                <w:bCs/>
                <w:sz w:val="84"/>
                <w:szCs w:val="84"/>
              </w:rPr>
            </w:pPr>
          </w:p>
          <w:p>
            <w:pPr>
              <w:pStyle w:val="2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ascii="仿宋_GB2312" w:hAnsi="Times New Roman" w:eastAsia="仿宋_GB2312" w:cs="Dialog"/>
                <w:sz w:val="32"/>
                <w:szCs w:val="32"/>
              </w:rPr>
            </w:pPr>
          </w:p>
          <w:p>
            <w:pPr>
              <w:ind w:firstLine="640" w:firstLineChars="200"/>
              <w:jc w:val="both"/>
              <w:rPr>
                <w:rFonts w:ascii="仿宋_GB2312" w:hAnsi="Times New Roman" w:eastAsia="仿宋_GB2312" w:cs="Dialog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Times New Roman" w:eastAsia="仿宋_GB2312" w:cs="Dialog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Dialog"/>
                <w:sz w:val="32"/>
                <w:szCs w:val="32"/>
              </w:rPr>
              <w:t>目录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仿宋_GB2312" w:hAnsi="Times New Roman" w:eastAsia="仿宋_GB2312" w:cs="Dialog"/>
                <w:sz w:val="32"/>
                <w:szCs w:val="32"/>
              </w:rPr>
            </w:pPr>
          </w:p>
          <w:p>
            <w:pPr>
              <w:ind w:firstLine="640" w:firstLineChars="200"/>
              <w:jc w:val="both"/>
              <w:rPr>
                <w:rFonts w:ascii="仿宋_GB2312" w:hAnsi="Times New Roman" w:eastAsia="仿宋_GB2312" w:cs="Dialog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Dialog"/>
                <w:sz w:val="32"/>
                <w:szCs w:val="32"/>
              </w:rPr>
              <w:t>第一部分</w:t>
            </w:r>
            <w:r>
              <w:rPr>
                <w:rFonts w:ascii="仿宋_GB2312" w:hAnsi="Times New Roman" w:eastAsia="仿宋_GB2312" w:cs="Dialog"/>
                <w:sz w:val="32"/>
                <w:szCs w:val="32"/>
              </w:rPr>
              <w:t xml:space="preserve">  2023</w:t>
            </w:r>
            <w:r>
              <w:rPr>
                <w:rFonts w:hint="eastAsia" w:ascii="仿宋_GB2312" w:hAnsi="Times New Roman" w:eastAsia="仿宋_GB2312" w:cs="Dialog"/>
                <w:sz w:val="32"/>
                <w:szCs w:val="32"/>
              </w:rPr>
              <w:t>年部门预算说明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ascii="仿宋_GB2312" w:hAnsi="Times New Roman" w:eastAsia="仿宋_GB2312" w:cs="Dialog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Dialog"/>
                <w:sz w:val="32"/>
                <w:szCs w:val="32"/>
              </w:rPr>
              <w:t>第二部分</w:t>
            </w:r>
            <w:r>
              <w:rPr>
                <w:rFonts w:ascii="仿宋_GB2312" w:hAnsi="Times New Roman" w:eastAsia="仿宋_GB2312" w:cs="Dialog"/>
                <w:sz w:val="32"/>
                <w:szCs w:val="32"/>
              </w:rPr>
              <w:t xml:space="preserve">  2023</w:t>
            </w:r>
            <w:r>
              <w:rPr>
                <w:rFonts w:hint="eastAsia" w:ascii="仿宋_GB2312" w:hAnsi="Times New Roman" w:eastAsia="仿宋_GB2312" w:cs="Dialog"/>
                <w:sz w:val="32"/>
                <w:szCs w:val="32"/>
              </w:rPr>
              <w:t>年部门预算公开表格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ascii="仿宋_GB2312" w:hAnsi="Times New Roman" w:eastAsia="仿宋_GB2312" w:cs="Dialog"/>
                <w:sz w:val="32"/>
                <w:szCs w:val="32"/>
              </w:rPr>
            </w:pPr>
            <w:r>
              <w:rPr>
                <w:rFonts w:ascii="仿宋_GB2312" w:hAnsi="Times New Roman" w:eastAsia="仿宋_GB2312" w:cs="Dialog"/>
                <w:sz w:val="32"/>
                <w:szCs w:val="32"/>
              </w:rPr>
              <w:t>1</w:t>
            </w:r>
            <w:r>
              <w:rPr>
                <w:rFonts w:hint="eastAsia" w:ascii="仿宋_GB2312" w:hAnsi="Times New Roman" w:eastAsia="仿宋_GB2312" w:cs="Dialog"/>
                <w:sz w:val="32"/>
                <w:szCs w:val="32"/>
              </w:rPr>
              <w:t>、收支总表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ascii="仿宋_GB2312" w:hAnsi="Times New Roman" w:eastAsia="仿宋_GB2312" w:cs="Dialog"/>
                <w:sz w:val="32"/>
                <w:szCs w:val="32"/>
              </w:rPr>
            </w:pPr>
            <w:r>
              <w:rPr>
                <w:rFonts w:ascii="仿宋_GB2312" w:hAnsi="Times New Roman" w:eastAsia="仿宋_GB2312" w:cs="Dialog"/>
                <w:sz w:val="32"/>
                <w:szCs w:val="32"/>
              </w:rPr>
              <w:t>2</w:t>
            </w:r>
            <w:r>
              <w:rPr>
                <w:rFonts w:hint="eastAsia" w:ascii="仿宋_GB2312" w:hAnsi="Times New Roman" w:eastAsia="仿宋_GB2312" w:cs="Dialog"/>
                <w:sz w:val="32"/>
                <w:szCs w:val="32"/>
              </w:rPr>
              <w:t>、收入总表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ascii="仿宋_GB2312" w:hAnsi="Times New Roman" w:eastAsia="仿宋_GB2312" w:cs="Dialog"/>
                <w:sz w:val="32"/>
                <w:szCs w:val="32"/>
              </w:rPr>
            </w:pPr>
            <w:r>
              <w:rPr>
                <w:rFonts w:ascii="仿宋_GB2312" w:hAnsi="Times New Roman" w:eastAsia="仿宋_GB2312" w:cs="Dialog"/>
                <w:sz w:val="32"/>
                <w:szCs w:val="32"/>
              </w:rPr>
              <w:t>3</w:t>
            </w:r>
            <w:r>
              <w:rPr>
                <w:rFonts w:hint="eastAsia" w:ascii="仿宋_GB2312" w:hAnsi="Times New Roman" w:eastAsia="仿宋_GB2312" w:cs="Dialog"/>
                <w:sz w:val="32"/>
                <w:szCs w:val="32"/>
              </w:rPr>
              <w:t>、支出总表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ascii="仿宋_GB2312" w:hAnsi="Times New Roman" w:eastAsia="仿宋_GB2312" w:cs="Dialog"/>
                <w:sz w:val="32"/>
                <w:szCs w:val="32"/>
              </w:rPr>
            </w:pPr>
            <w:r>
              <w:rPr>
                <w:rFonts w:ascii="仿宋_GB2312" w:hAnsi="Times New Roman" w:eastAsia="仿宋_GB2312" w:cs="Dialog"/>
                <w:sz w:val="32"/>
                <w:szCs w:val="32"/>
              </w:rPr>
              <w:t>4</w:t>
            </w:r>
            <w:r>
              <w:rPr>
                <w:rFonts w:hint="eastAsia" w:ascii="仿宋_GB2312" w:hAnsi="Times New Roman" w:eastAsia="仿宋_GB2312" w:cs="Dialog"/>
                <w:sz w:val="32"/>
                <w:szCs w:val="32"/>
              </w:rPr>
              <w:t>、支出预算分类汇总表（按政府预算经济分类）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ascii="仿宋_GB2312" w:hAnsi="Times New Roman" w:eastAsia="仿宋_GB2312" w:cs="Dialog"/>
                <w:sz w:val="32"/>
                <w:szCs w:val="32"/>
              </w:rPr>
            </w:pPr>
            <w:r>
              <w:rPr>
                <w:rFonts w:ascii="仿宋_GB2312" w:hAnsi="Times New Roman" w:eastAsia="仿宋_GB2312" w:cs="Dialog"/>
                <w:sz w:val="32"/>
                <w:szCs w:val="32"/>
              </w:rPr>
              <w:t>5</w:t>
            </w:r>
            <w:r>
              <w:rPr>
                <w:rFonts w:hint="eastAsia" w:ascii="仿宋_GB2312" w:hAnsi="Times New Roman" w:eastAsia="仿宋_GB2312" w:cs="Dialog"/>
                <w:sz w:val="32"/>
                <w:szCs w:val="32"/>
              </w:rPr>
              <w:t>、支出预算分类汇总表（按部门预算经济分类）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ascii="仿宋_GB2312" w:hAnsi="Times New Roman" w:eastAsia="仿宋_GB2312" w:cs="Dialog"/>
                <w:sz w:val="32"/>
                <w:szCs w:val="32"/>
              </w:rPr>
            </w:pPr>
            <w:r>
              <w:rPr>
                <w:rFonts w:ascii="仿宋_GB2312" w:hAnsi="Times New Roman" w:eastAsia="仿宋_GB2312" w:cs="Dialog"/>
                <w:sz w:val="32"/>
                <w:szCs w:val="32"/>
              </w:rPr>
              <w:t>6</w:t>
            </w:r>
            <w:r>
              <w:rPr>
                <w:rFonts w:hint="eastAsia" w:ascii="仿宋_GB2312" w:hAnsi="Times New Roman" w:eastAsia="仿宋_GB2312" w:cs="Dialog"/>
                <w:sz w:val="32"/>
                <w:szCs w:val="32"/>
              </w:rPr>
              <w:t>、财政拨款收支总表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ascii="仿宋_GB2312" w:hAnsi="Times New Roman" w:eastAsia="仿宋_GB2312" w:cs="Dialog"/>
                <w:sz w:val="32"/>
                <w:szCs w:val="32"/>
              </w:rPr>
            </w:pPr>
            <w:r>
              <w:rPr>
                <w:rFonts w:ascii="仿宋_GB2312" w:hAnsi="Times New Roman" w:eastAsia="仿宋_GB2312" w:cs="Dialog"/>
                <w:sz w:val="32"/>
                <w:szCs w:val="32"/>
              </w:rPr>
              <w:t>7</w:t>
            </w:r>
            <w:r>
              <w:rPr>
                <w:rFonts w:hint="eastAsia" w:ascii="仿宋_GB2312" w:hAnsi="Times New Roman" w:eastAsia="仿宋_GB2312" w:cs="Dialog"/>
                <w:sz w:val="32"/>
                <w:szCs w:val="32"/>
              </w:rPr>
              <w:t>、一般公共预算支出表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ascii="仿宋_GB2312" w:hAnsi="Times New Roman" w:eastAsia="仿宋_GB2312" w:cs="Dialog"/>
                <w:sz w:val="32"/>
                <w:szCs w:val="32"/>
              </w:rPr>
            </w:pPr>
            <w:r>
              <w:rPr>
                <w:rFonts w:ascii="仿宋_GB2312" w:hAnsi="Times New Roman" w:eastAsia="仿宋_GB2312" w:cs="Dialog"/>
                <w:sz w:val="32"/>
                <w:szCs w:val="32"/>
              </w:rPr>
              <w:t>8</w:t>
            </w:r>
            <w:r>
              <w:rPr>
                <w:rFonts w:hint="eastAsia" w:ascii="仿宋_GB2312" w:hAnsi="Times New Roman" w:eastAsia="仿宋_GB2312" w:cs="Dialog"/>
                <w:sz w:val="32"/>
                <w:szCs w:val="32"/>
              </w:rPr>
              <w:t>、一般公共预算基本支出表</w:t>
            </w:r>
            <w:r>
              <w:rPr>
                <w:rFonts w:ascii="仿宋_GB2312" w:hAnsi="Times New Roman" w:eastAsia="仿宋_GB2312" w:cs="Dialog"/>
                <w:sz w:val="32"/>
                <w:szCs w:val="32"/>
              </w:rPr>
              <w:t>-</w:t>
            </w:r>
            <w:r>
              <w:rPr>
                <w:rFonts w:hint="eastAsia" w:ascii="仿宋_GB2312" w:hAnsi="Times New Roman" w:eastAsia="仿宋_GB2312" w:cs="Dialog"/>
                <w:sz w:val="32"/>
                <w:szCs w:val="32"/>
              </w:rPr>
              <w:t>人员经费（工资福利支出）（按政府预算经济分类）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ascii="仿宋_GB2312" w:hAnsi="Times New Roman" w:eastAsia="仿宋_GB2312" w:cs="Dialog"/>
                <w:sz w:val="32"/>
                <w:szCs w:val="32"/>
              </w:rPr>
            </w:pPr>
            <w:r>
              <w:rPr>
                <w:rFonts w:ascii="仿宋_GB2312" w:hAnsi="Times New Roman" w:eastAsia="仿宋_GB2312" w:cs="Dialog"/>
                <w:sz w:val="32"/>
                <w:szCs w:val="32"/>
              </w:rPr>
              <w:t>9</w:t>
            </w:r>
            <w:r>
              <w:rPr>
                <w:rFonts w:hint="eastAsia" w:ascii="仿宋_GB2312" w:hAnsi="Times New Roman" w:eastAsia="仿宋_GB2312" w:cs="Dialog"/>
                <w:sz w:val="32"/>
                <w:szCs w:val="32"/>
              </w:rPr>
              <w:t>、一般公共预算基本支出表</w:t>
            </w:r>
            <w:r>
              <w:rPr>
                <w:rFonts w:ascii="仿宋_GB2312" w:hAnsi="Times New Roman" w:eastAsia="仿宋_GB2312" w:cs="Dialog"/>
                <w:sz w:val="32"/>
                <w:szCs w:val="32"/>
              </w:rPr>
              <w:t>-</w:t>
            </w:r>
            <w:r>
              <w:rPr>
                <w:rFonts w:hint="eastAsia" w:ascii="仿宋_GB2312" w:hAnsi="Times New Roman" w:eastAsia="仿宋_GB2312" w:cs="Dialog"/>
                <w:sz w:val="32"/>
                <w:szCs w:val="32"/>
              </w:rPr>
              <w:t>人员经费（工资福利支出）（按部门预算经济分类）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ascii="仿宋_GB2312" w:hAnsi="Times New Roman" w:eastAsia="仿宋_GB2312" w:cs="Dialog"/>
                <w:sz w:val="32"/>
                <w:szCs w:val="32"/>
              </w:rPr>
            </w:pPr>
            <w:r>
              <w:rPr>
                <w:rFonts w:ascii="仿宋_GB2312" w:hAnsi="Times New Roman" w:eastAsia="仿宋_GB2312" w:cs="Dialog"/>
                <w:sz w:val="32"/>
                <w:szCs w:val="32"/>
              </w:rPr>
              <w:t>10</w:t>
            </w:r>
            <w:r>
              <w:rPr>
                <w:rFonts w:hint="eastAsia" w:ascii="仿宋_GB2312" w:hAnsi="Times New Roman" w:eastAsia="仿宋_GB2312" w:cs="Dialog"/>
                <w:sz w:val="32"/>
                <w:szCs w:val="32"/>
              </w:rPr>
              <w:t>、一般公共预算基本支出表</w:t>
            </w:r>
            <w:r>
              <w:rPr>
                <w:rFonts w:ascii="仿宋_GB2312" w:hAnsi="Times New Roman" w:eastAsia="仿宋_GB2312" w:cs="Dialog"/>
                <w:sz w:val="32"/>
                <w:szCs w:val="32"/>
              </w:rPr>
              <w:t>-</w:t>
            </w:r>
            <w:r>
              <w:rPr>
                <w:rFonts w:hint="eastAsia" w:ascii="仿宋_GB2312" w:hAnsi="Times New Roman" w:eastAsia="仿宋_GB2312" w:cs="Dialog"/>
                <w:sz w:val="32"/>
                <w:szCs w:val="32"/>
              </w:rPr>
              <w:t>人员经费（对个人和家庭的补助）（按政府预算经济分类）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ascii="仿宋_GB2312" w:hAnsi="Times New Roman" w:eastAsia="仿宋_GB2312" w:cs="Dialog"/>
                <w:sz w:val="32"/>
                <w:szCs w:val="32"/>
              </w:rPr>
            </w:pPr>
            <w:r>
              <w:rPr>
                <w:rFonts w:ascii="仿宋_GB2312" w:hAnsi="Times New Roman" w:eastAsia="仿宋_GB2312" w:cs="Dialog"/>
                <w:sz w:val="32"/>
                <w:szCs w:val="32"/>
              </w:rPr>
              <w:t>11</w:t>
            </w:r>
            <w:r>
              <w:rPr>
                <w:rFonts w:hint="eastAsia" w:ascii="仿宋_GB2312" w:hAnsi="Times New Roman" w:eastAsia="仿宋_GB2312" w:cs="Dialog"/>
                <w:sz w:val="32"/>
                <w:szCs w:val="32"/>
              </w:rPr>
              <w:t>、一般公共预算基本支出表</w:t>
            </w:r>
            <w:r>
              <w:rPr>
                <w:rFonts w:ascii="仿宋_GB2312" w:hAnsi="Times New Roman" w:eastAsia="仿宋_GB2312" w:cs="Dialog"/>
                <w:sz w:val="32"/>
                <w:szCs w:val="32"/>
              </w:rPr>
              <w:t>-</w:t>
            </w:r>
            <w:r>
              <w:rPr>
                <w:rFonts w:hint="eastAsia" w:ascii="仿宋_GB2312" w:hAnsi="Times New Roman" w:eastAsia="仿宋_GB2312" w:cs="Dialog"/>
                <w:sz w:val="32"/>
                <w:szCs w:val="32"/>
              </w:rPr>
              <w:t>人员经费（对个人和家庭的补助）（按部门预算经济分类）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ascii="仿宋_GB2312" w:hAnsi="Times New Roman" w:eastAsia="仿宋_GB2312" w:cs="Dialog"/>
                <w:sz w:val="32"/>
                <w:szCs w:val="32"/>
              </w:rPr>
            </w:pPr>
            <w:r>
              <w:rPr>
                <w:rFonts w:ascii="仿宋_GB2312" w:hAnsi="Times New Roman" w:eastAsia="仿宋_GB2312" w:cs="Dialog"/>
                <w:sz w:val="32"/>
                <w:szCs w:val="32"/>
              </w:rPr>
              <w:t>12</w:t>
            </w:r>
            <w:r>
              <w:rPr>
                <w:rFonts w:hint="eastAsia" w:ascii="仿宋_GB2312" w:hAnsi="Times New Roman" w:eastAsia="仿宋_GB2312" w:cs="Dialog"/>
                <w:sz w:val="32"/>
                <w:szCs w:val="32"/>
              </w:rPr>
              <w:t>、一般公共预算基本支出表</w:t>
            </w:r>
            <w:r>
              <w:rPr>
                <w:rFonts w:ascii="仿宋_GB2312" w:hAnsi="Times New Roman" w:eastAsia="仿宋_GB2312" w:cs="Dialog"/>
                <w:sz w:val="32"/>
                <w:szCs w:val="32"/>
              </w:rPr>
              <w:t>-</w:t>
            </w:r>
            <w:r>
              <w:rPr>
                <w:rFonts w:hint="eastAsia" w:ascii="仿宋_GB2312" w:hAnsi="Times New Roman" w:eastAsia="仿宋_GB2312" w:cs="Dialog"/>
                <w:sz w:val="32"/>
                <w:szCs w:val="32"/>
              </w:rPr>
              <w:t>公用经费（商品和服务支出）（按政府预算经济分类）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ascii="仿宋_GB2312" w:hAnsi="Times New Roman" w:eastAsia="仿宋_GB2312" w:cs="Dialog"/>
                <w:sz w:val="32"/>
                <w:szCs w:val="32"/>
              </w:rPr>
            </w:pPr>
            <w:r>
              <w:rPr>
                <w:rFonts w:ascii="仿宋_GB2312" w:hAnsi="Times New Roman" w:eastAsia="仿宋_GB2312" w:cs="Dialog"/>
                <w:sz w:val="32"/>
                <w:szCs w:val="32"/>
              </w:rPr>
              <w:t>13</w:t>
            </w:r>
            <w:r>
              <w:rPr>
                <w:rFonts w:hint="eastAsia" w:ascii="仿宋_GB2312" w:hAnsi="Times New Roman" w:eastAsia="仿宋_GB2312" w:cs="Dialog"/>
                <w:sz w:val="32"/>
                <w:szCs w:val="32"/>
              </w:rPr>
              <w:t>、一般公共预算基本支出表</w:t>
            </w:r>
            <w:r>
              <w:rPr>
                <w:rFonts w:ascii="仿宋_GB2312" w:hAnsi="Times New Roman" w:eastAsia="仿宋_GB2312" w:cs="Dialog"/>
                <w:sz w:val="32"/>
                <w:szCs w:val="32"/>
              </w:rPr>
              <w:t>-</w:t>
            </w:r>
            <w:r>
              <w:rPr>
                <w:rFonts w:hint="eastAsia" w:ascii="仿宋_GB2312" w:hAnsi="Times New Roman" w:eastAsia="仿宋_GB2312" w:cs="Dialog"/>
                <w:sz w:val="32"/>
                <w:szCs w:val="32"/>
              </w:rPr>
              <w:t>公用经费（商品和服务支出）（按部门预算经济分类）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ascii="仿宋_GB2312" w:hAnsi="Times New Roman" w:eastAsia="仿宋_GB2312" w:cs="Dialog"/>
                <w:sz w:val="32"/>
                <w:szCs w:val="32"/>
              </w:rPr>
            </w:pPr>
            <w:r>
              <w:rPr>
                <w:rFonts w:ascii="仿宋_GB2312" w:hAnsi="Times New Roman" w:eastAsia="仿宋_GB2312" w:cs="Dialog"/>
                <w:sz w:val="32"/>
                <w:szCs w:val="32"/>
              </w:rPr>
              <w:t>14</w:t>
            </w:r>
            <w:r>
              <w:rPr>
                <w:rFonts w:hint="eastAsia" w:ascii="仿宋_GB2312" w:hAnsi="Times New Roman" w:eastAsia="仿宋_GB2312" w:cs="Dialog"/>
                <w:sz w:val="32"/>
                <w:szCs w:val="32"/>
              </w:rPr>
              <w:t>、一般公共预算“三公”经费支出表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ascii="仿宋_GB2312" w:hAnsi="Times New Roman" w:eastAsia="仿宋_GB2312" w:cs="Dialog"/>
                <w:sz w:val="32"/>
                <w:szCs w:val="32"/>
              </w:rPr>
            </w:pPr>
            <w:r>
              <w:rPr>
                <w:rFonts w:ascii="仿宋_GB2312" w:hAnsi="Times New Roman" w:eastAsia="仿宋_GB2312" w:cs="Dialog"/>
                <w:sz w:val="32"/>
                <w:szCs w:val="32"/>
              </w:rPr>
              <w:t>15</w:t>
            </w:r>
            <w:r>
              <w:rPr>
                <w:rFonts w:hint="eastAsia" w:ascii="仿宋_GB2312" w:hAnsi="Times New Roman" w:eastAsia="仿宋_GB2312" w:cs="Dialog"/>
                <w:sz w:val="32"/>
                <w:szCs w:val="32"/>
              </w:rPr>
              <w:t>、政府性基金预算支出表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ascii="仿宋_GB2312" w:hAnsi="Times New Roman" w:eastAsia="仿宋_GB2312" w:cs="Dialog"/>
                <w:sz w:val="32"/>
                <w:szCs w:val="32"/>
              </w:rPr>
            </w:pPr>
            <w:r>
              <w:rPr>
                <w:rFonts w:ascii="仿宋_GB2312" w:hAnsi="Times New Roman" w:eastAsia="仿宋_GB2312" w:cs="Dialog"/>
                <w:sz w:val="32"/>
                <w:szCs w:val="32"/>
              </w:rPr>
              <w:t>16</w:t>
            </w:r>
            <w:r>
              <w:rPr>
                <w:rFonts w:hint="eastAsia" w:ascii="仿宋_GB2312" w:hAnsi="Times New Roman" w:eastAsia="仿宋_GB2312" w:cs="Dialog"/>
                <w:sz w:val="32"/>
                <w:szCs w:val="32"/>
              </w:rPr>
              <w:t>、政府性基金预算支出分类汇总表（按政府预算经济分类）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ascii="仿宋_GB2312" w:hAnsi="Times New Roman" w:eastAsia="仿宋_GB2312" w:cs="Dialog"/>
                <w:sz w:val="32"/>
                <w:szCs w:val="32"/>
              </w:rPr>
            </w:pPr>
            <w:r>
              <w:rPr>
                <w:rFonts w:ascii="仿宋_GB2312" w:hAnsi="Times New Roman" w:eastAsia="仿宋_GB2312" w:cs="Dialog"/>
                <w:sz w:val="32"/>
                <w:szCs w:val="32"/>
              </w:rPr>
              <w:t>17</w:t>
            </w:r>
            <w:r>
              <w:rPr>
                <w:rFonts w:hint="eastAsia" w:ascii="仿宋_GB2312" w:hAnsi="Times New Roman" w:eastAsia="仿宋_GB2312" w:cs="Dialog"/>
                <w:sz w:val="32"/>
                <w:szCs w:val="32"/>
              </w:rPr>
              <w:t>、政府性基金预算支出分类汇总表（按部门预算经济分类）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ascii="仿宋_GB2312" w:hAnsi="Times New Roman" w:eastAsia="仿宋_GB2312" w:cs="Dialog"/>
                <w:sz w:val="32"/>
                <w:szCs w:val="32"/>
              </w:rPr>
            </w:pPr>
            <w:r>
              <w:rPr>
                <w:rFonts w:ascii="仿宋_GB2312" w:hAnsi="Times New Roman" w:eastAsia="仿宋_GB2312" w:cs="Dialog"/>
                <w:sz w:val="32"/>
                <w:szCs w:val="32"/>
              </w:rPr>
              <w:t>18</w:t>
            </w:r>
            <w:r>
              <w:rPr>
                <w:rFonts w:hint="eastAsia" w:ascii="仿宋_GB2312" w:hAnsi="Times New Roman" w:eastAsia="仿宋_GB2312" w:cs="Dialog"/>
                <w:sz w:val="32"/>
                <w:szCs w:val="32"/>
              </w:rPr>
              <w:t>、国有资本经营预算支出表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ascii="仿宋_GB2312" w:hAnsi="Times New Roman" w:eastAsia="仿宋_GB2312" w:cs="Dialog"/>
                <w:sz w:val="32"/>
                <w:szCs w:val="32"/>
              </w:rPr>
            </w:pPr>
            <w:r>
              <w:rPr>
                <w:rFonts w:ascii="仿宋_GB2312" w:hAnsi="Times New Roman" w:eastAsia="仿宋_GB2312" w:cs="Dialog"/>
                <w:sz w:val="32"/>
                <w:szCs w:val="32"/>
              </w:rPr>
              <w:t>19</w:t>
            </w:r>
            <w:r>
              <w:rPr>
                <w:rFonts w:hint="eastAsia" w:ascii="仿宋_GB2312" w:hAnsi="Times New Roman" w:eastAsia="仿宋_GB2312" w:cs="Dialog"/>
                <w:sz w:val="32"/>
                <w:szCs w:val="32"/>
              </w:rPr>
              <w:t>、财政专户管理资金预算支出表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ascii="仿宋_GB2312" w:hAnsi="Times New Roman" w:eastAsia="仿宋_GB2312" w:cs="Dialog"/>
                <w:sz w:val="32"/>
                <w:szCs w:val="32"/>
              </w:rPr>
            </w:pPr>
            <w:r>
              <w:rPr>
                <w:rFonts w:ascii="仿宋_GB2312" w:hAnsi="Times New Roman" w:eastAsia="仿宋_GB2312" w:cs="Dialog"/>
                <w:sz w:val="32"/>
                <w:szCs w:val="32"/>
              </w:rPr>
              <w:t>20</w:t>
            </w:r>
            <w:r>
              <w:rPr>
                <w:rFonts w:hint="eastAsia" w:ascii="仿宋_GB2312" w:hAnsi="Times New Roman" w:eastAsia="仿宋_GB2312" w:cs="Dialog"/>
                <w:sz w:val="32"/>
                <w:szCs w:val="32"/>
              </w:rPr>
              <w:t>、专项资金预算汇总表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ascii="仿宋_GB2312" w:hAnsi="Times New Roman" w:eastAsia="仿宋_GB2312" w:cs="Dialog"/>
                <w:sz w:val="32"/>
                <w:szCs w:val="32"/>
              </w:rPr>
            </w:pPr>
            <w:r>
              <w:rPr>
                <w:rFonts w:ascii="仿宋_GB2312" w:hAnsi="Times New Roman" w:eastAsia="仿宋_GB2312" w:cs="Dialog"/>
                <w:sz w:val="32"/>
                <w:szCs w:val="32"/>
              </w:rPr>
              <w:t>21</w:t>
            </w:r>
            <w:r>
              <w:rPr>
                <w:rFonts w:hint="eastAsia" w:ascii="仿宋_GB2312" w:hAnsi="Times New Roman" w:eastAsia="仿宋_GB2312" w:cs="Dialog"/>
                <w:sz w:val="32"/>
                <w:szCs w:val="32"/>
              </w:rPr>
              <w:t>、项目支出绩效目标表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ascii="仿宋_GB2312" w:hAnsi="Times New Roman" w:eastAsia="仿宋_GB2312" w:cs="Dialog"/>
                <w:sz w:val="32"/>
                <w:szCs w:val="32"/>
              </w:rPr>
            </w:pPr>
            <w:r>
              <w:rPr>
                <w:rFonts w:ascii="仿宋_GB2312" w:hAnsi="Times New Roman" w:eastAsia="仿宋_GB2312" w:cs="Dialog"/>
                <w:sz w:val="32"/>
                <w:szCs w:val="32"/>
              </w:rPr>
              <w:t>22</w:t>
            </w:r>
            <w:r>
              <w:rPr>
                <w:rFonts w:hint="eastAsia" w:ascii="仿宋_GB2312" w:hAnsi="Times New Roman" w:eastAsia="仿宋_GB2312" w:cs="Dialog"/>
                <w:sz w:val="32"/>
                <w:szCs w:val="32"/>
              </w:rPr>
              <w:t>、部门整体支出绩效目标表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ascii="仿宋_GB2312" w:hAnsi="Times New Roman" w:eastAsia="仿宋_GB2312" w:cs="Dialog"/>
                <w:sz w:val="32"/>
                <w:szCs w:val="32"/>
              </w:rPr>
            </w:pPr>
            <w:r>
              <w:rPr>
                <w:rFonts w:ascii="仿宋_GB2312" w:hAnsi="Times New Roman" w:eastAsia="仿宋_GB2312" w:cs="Dialog"/>
                <w:sz w:val="32"/>
                <w:szCs w:val="32"/>
              </w:rPr>
              <w:t>23</w:t>
            </w:r>
            <w:r>
              <w:rPr>
                <w:rFonts w:hint="eastAsia" w:ascii="仿宋_GB2312" w:hAnsi="Times New Roman" w:eastAsia="仿宋_GB2312" w:cs="Dialog"/>
                <w:sz w:val="32"/>
                <w:szCs w:val="32"/>
              </w:rPr>
              <w:t>、一般公共预算基本支出表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ascii="仿宋_GB2312" w:hAnsi="Times New Roman" w:eastAsia="仿宋_GB2312" w:cs="Dialog"/>
                <w:color w:val="auto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Dialog"/>
                <w:color w:val="auto"/>
                <w:sz w:val="32"/>
                <w:szCs w:val="32"/>
              </w:rPr>
              <w:t>注：以上部门预算公开报表中，空表表示本部门无相关收支情况。</w:t>
            </w:r>
          </w:p>
          <w:p>
            <w:pPr>
              <w:ind w:firstLine="640" w:firstLineChars="200"/>
              <w:jc w:val="both"/>
              <w:rPr>
                <w:rFonts w:ascii="仿宋_GB2312" w:hAnsi="Times New Roman" w:eastAsia="仿宋_GB2312" w:cs="Dialog"/>
                <w:color w:val="FF0000"/>
                <w:sz w:val="32"/>
                <w:szCs w:val="32"/>
              </w:rPr>
            </w:pPr>
          </w:p>
          <w:p>
            <w:pPr>
              <w:ind w:firstLine="640" w:firstLineChars="200"/>
              <w:jc w:val="both"/>
              <w:rPr>
                <w:rFonts w:ascii="仿宋_GB2312" w:hAnsi="Times New Roman" w:eastAsia="仿宋_GB2312" w:cs="Dialog"/>
                <w:color w:val="FF0000"/>
                <w:sz w:val="32"/>
                <w:szCs w:val="32"/>
              </w:rPr>
            </w:pPr>
          </w:p>
          <w:p>
            <w:pPr>
              <w:ind w:firstLine="640" w:firstLineChars="200"/>
              <w:jc w:val="both"/>
              <w:rPr>
                <w:rFonts w:ascii="仿宋_GB2312" w:hAnsi="Times New Roman" w:eastAsia="仿宋_GB2312" w:cs="Dialog"/>
                <w:color w:val="FF0000"/>
                <w:sz w:val="32"/>
                <w:szCs w:val="32"/>
              </w:rPr>
            </w:pPr>
          </w:p>
          <w:p>
            <w:pPr>
              <w:ind w:firstLine="640" w:firstLineChars="200"/>
              <w:jc w:val="both"/>
              <w:rPr>
                <w:rFonts w:ascii="仿宋_GB2312" w:hAnsi="Times New Roman" w:eastAsia="仿宋_GB2312" w:cs="Dialog"/>
                <w:color w:val="FF0000"/>
                <w:sz w:val="32"/>
                <w:szCs w:val="32"/>
              </w:rPr>
            </w:pPr>
          </w:p>
          <w:p>
            <w:pPr>
              <w:ind w:firstLine="640" w:firstLineChars="200"/>
              <w:jc w:val="both"/>
              <w:rPr>
                <w:rFonts w:ascii="仿宋_GB2312" w:hAnsi="Times New Roman" w:eastAsia="仿宋_GB2312" w:cs="Dialog"/>
                <w:color w:val="FF0000"/>
                <w:sz w:val="32"/>
                <w:szCs w:val="32"/>
              </w:rPr>
            </w:pPr>
          </w:p>
          <w:p>
            <w:pPr>
              <w:ind w:firstLine="640" w:firstLineChars="200"/>
              <w:jc w:val="both"/>
              <w:rPr>
                <w:rFonts w:ascii="仿宋_GB2312" w:hAnsi="Times New Roman" w:eastAsia="仿宋_GB2312" w:cs="Dialog"/>
                <w:color w:val="FF0000"/>
                <w:sz w:val="32"/>
                <w:szCs w:val="32"/>
              </w:rPr>
            </w:pPr>
          </w:p>
          <w:p>
            <w:pPr>
              <w:jc w:val="both"/>
              <w:rPr>
                <w:rFonts w:ascii="仿宋_GB2312" w:hAnsi="Times New Roman" w:eastAsia="仿宋_GB2312" w:cs="Dialog"/>
                <w:color w:val="FF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jc w:val="center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第一部分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年部门预算说明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firstLine="640" w:firstLineChars="200"/>
              <w:jc w:val="both"/>
              <w:textAlignment w:val="auto"/>
              <w:rPr>
                <w:rFonts w:ascii="黑体" w:hAnsi="Times New Roman" w:eastAsia="黑体" w:cs="Dialog"/>
                <w:sz w:val="32"/>
                <w:szCs w:val="32"/>
              </w:rPr>
            </w:pPr>
            <w:r>
              <w:rPr>
                <w:rFonts w:hint="eastAsia" w:ascii="黑体" w:hAnsi="Times New Roman" w:eastAsia="黑体" w:cs="Dialog"/>
                <w:sz w:val="32"/>
                <w:szCs w:val="32"/>
              </w:rPr>
              <w:t>一、部门基本概况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ascii="楷体_GB2312" w:hAnsi="Times New Roman" w:eastAsia="楷体_GB2312" w:cs="宋体"/>
                <w:b/>
                <w:sz w:val="32"/>
                <w:szCs w:val="32"/>
              </w:rPr>
            </w:pPr>
            <w:r>
              <w:rPr>
                <w:rFonts w:hint="eastAsia" w:ascii="楷体_GB2312" w:hAnsi="Times New Roman" w:eastAsia="楷体_GB2312" w:cs="宋体"/>
                <w:b/>
                <w:sz w:val="32"/>
                <w:szCs w:val="32"/>
              </w:rPr>
              <w:t>（一）职能职责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adjustRightInd/>
              <w:ind w:firstLine="640" w:firstLineChars="200"/>
              <w:jc w:val="both"/>
              <w:rPr>
                <w:rFonts w:ascii="宋体" w:hAnsi="Times New Roman" w:cs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林业和草原及其生态保护修复的监督管理。组织指导林业和草原生态保护修复和造林绿化工作。负责森林、草原、湿地资源的监督管理。负责陆生野生动植物资源监督管理。负责监督管理各类自然保护地。负责推进林业和草原改革、行政执法相关工作。指导开展林业产业工作。组织林木种子、草种种质资源普查，组织建立种质资源库，负责良种选育推广，管理林木种苗、草种生产经营行为，监管林木种苗、草种质量。监督管理林业和草原生物种质资源、转基因生物安全、植物新品种保护。负责林业和草原防灾减灾工作。监督管理林业和草原资金使用和国有资产处置，提出林业和草原预算内投资、财政性资金安排建议，按规定权限，审核规划内和年度计划投资项目，指导监督林业和草原项目实施工作。负责林业和草原科技、教育和外事工作，指导全市林业人才队伍建设，组织指导林业和草原对外交流与合作事务。完成市委和市政府交办的其他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ascii="楷体_GB2312" w:hAnsi="Times New Roman" w:eastAsia="楷体_GB2312" w:cs="宋体"/>
                <w:b/>
                <w:sz w:val="32"/>
                <w:szCs w:val="32"/>
              </w:rPr>
            </w:pPr>
            <w:r>
              <w:rPr>
                <w:rFonts w:hint="eastAsia" w:ascii="楷体_GB2312" w:hAnsi="Times New Roman" w:eastAsia="楷体_GB2312" w:cs="宋体"/>
                <w:b/>
                <w:sz w:val="32"/>
                <w:szCs w:val="32"/>
              </w:rPr>
              <w:t>（二）机构设置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adjustRightInd/>
              <w:ind w:firstLine="640" w:firstLineChars="20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市直林业部门包括岳阳市林业局本级和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个直属单位。</w:t>
            </w:r>
          </w:p>
          <w:p>
            <w:pPr>
              <w:adjustRightInd/>
              <w:ind w:firstLine="640" w:firstLineChars="20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市林业局内设行政科室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，分别为办公室、造林种苗科（市绿化委员会办公室）、森林资源管理科、野生动植物保护科、自然保护地管理科、政策法规和改革发展科、规划财务科、行政审批科、森林防火科、人事教育科、林长制工作科（行政执法科）、机关党委、机关纪委、离退休人员管理服务科。内设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个事业单位，分别为市林业事务中心、市森林资源管理监测中心、市湿地保护中心、市风景名胜区管理中心。</w:t>
            </w:r>
          </w:p>
          <w:p>
            <w:pPr>
              <w:adjustRightInd/>
              <w:ind w:firstLine="640" w:firstLineChars="200"/>
              <w:jc w:val="both"/>
              <w:rPr>
                <w:rFonts w:ascii="宋体" w:hAnsi="Times New Roman" w:cs="宋体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个直属单位为：湖南东洞庭湖国家级自然保护区管理局、岳阳市林业科学研究所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firstLine="640" w:firstLineChars="200"/>
              <w:jc w:val="both"/>
              <w:textAlignment w:val="auto"/>
              <w:rPr>
                <w:rFonts w:hint="eastAsia" w:ascii="黑体" w:hAnsi="Times New Roman" w:eastAsia="黑体" w:cs="Dialog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Dialog"/>
                <w:sz w:val="32"/>
                <w:szCs w:val="32"/>
              </w:rPr>
              <w:t>二、部门预算构成</w:t>
            </w:r>
            <w:r>
              <w:rPr>
                <w:rFonts w:hint="eastAsia" w:ascii="黑体" w:hAnsi="Times New Roman" w:eastAsia="黑体" w:cs="Dialog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ascii="仿宋_GB2312" w:hAnsi="Times New Roman" w:eastAsia="仿宋_GB2312" w:cs="宋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本部门预算为汇总预算，纳入编制范围的预算单位包括：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adjustRightInd/>
              <w:ind w:firstLine="640" w:firstLineChars="200"/>
              <w:jc w:val="both"/>
              <w:rPr>
                <w:rFonts w:ascii="仿宋_GB2312" w:hAnsi="Times New Roman" w:eastAsia="仿宋_GB2312" w:cs="宋体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、岳阳市林业局本级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adjustRightInd/>
              <w:ind w:firstLine="640" w:firstLineChars="200"/>
              <w:jc w:val="both"/>
              <w:rPr>
                <w:rFonts w:ascii="仿宋_GB2312" w:hAnsi="Times New Roman" w:eastAsia="仿宋_GB2312" w:cs="宋体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、湖南东洞庭湖国家级自然保护区管理局、岳阳市林业科学研究所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firstLine="640" w:firstLineChars="200"/>
              <w:jc w:val="both"/>
              <w:textAlignment w:val="auto"/>
              <w:rPr>
                <w:rFonts w:ascii="黑体" w:hAnsi="Times New Roman" w:eastAsia="黑体" w:cs="Dialog"/>
                <w:sz w:val="32"/>
                <w:szCs w:val="32"/>
              </w:rPr>
            </w:pPr>
            <w:r>
              <w:rPr>
                <w:rFonts w:hint="eastAsia" w:ascii="黑体" w:hAnsi="Times New Roman" w:eastAsia="黑体" w:cs="Dialog"/>
                <w:sz w:val="32"/>
                <w:szCs w:val="32"/>
              </w:rPr>
              <w:t>三、部门收支总体情况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ascii="仿宋_GB2312" w:hAnsi="Times New Roman" w:eastAsia="仿宋_GB2312" w:cs="宋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本部门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2023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年没有政府性基金预算拨款、国有资本经营预算收入和纳入专户管理的非税收入拨款收入，也没有使用政府性基金预算拨款、国有资本经营预算收入和纳入专户管理的非税收入拨款安排的支出，所以公开的附件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15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、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16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、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17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、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18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、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19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表均为空。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ascii="楷体_GB2312" w:hAnsi="Times New Roman" w:eastAsia="楷体_GB2312" w:cs="Dialog"/>
                <w:b/>
                <w:sz w:val="32"/>
                <w:szCs w:val="32"/>
              </w:rPr>
            </w:pPr>
            <w:r>
              <w:rPr>
                <w:rFonts w:hint="eastAsia" w:ascii="楷体_GB2312" w:hAnsi="Times New Roman" w:eastAsia="楷体_GB2312" w:cs="Dialog"/>
                <w:b/>
                <w:sz w:val="32"/>
                <w:szCs w:val="32"/>
              </w:rPr>
              <w:t>（一）收入预算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adjustRightInd/>
              <w:ind w:firstLine="640" w:firstLineChars="200"/>
              <w:jc w:val="both"/>
              <w:rPr>
                <w:rFonts w:hint="eastAsia" w:ascii="仿宋_GB2312" w:hAnsi="Times New Roman" w:eastAsia="仿宋_GB2312" w:cs="宋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包括一般公共预算、政府性基金、国有资本经营预算等财政拨款收入，以及经营收入、事业收入等单位资金。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2023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年度年本部门收入预算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2822.19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万元，其中，一般公共预算拨款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2822.19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万元，政府性基金预算资金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0.00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万元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(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所以公开的附件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17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为空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)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，国有资本经营预算资金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0.00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万元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(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所以公开的附件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18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为空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)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，财政专户管理资金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0.00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万元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(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所以公开的附件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19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为空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)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，上级补助收入资金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0.00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万元，事业单位经营收入资金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0.00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万元，上年结转结余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0.00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万元。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(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数据来源见表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2)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本部门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2023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年收入较去年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增加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195.58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万元，主要是因为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一般公共预算拨款增加，增加了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医疗补助资金预算。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643" w:firstLineChars="200"/>
              <w:jc w:val="both"/>
              <w:textAlignment w:val="auto"/>
              <w:rPr>
                <w:rFonts w:hint="eastAsia" w:ascii="楷体_GB2312" w:hAnsi="Times New Roman" w:eastAsia="楷体_GB2312" w:cs="Dialog"/>
                <w:b/>
                <w:sz w:val="32"/>
                <w:szCs w:val="32"/>
              </w:rPr>
            </w:pPr>
            <w:r>
              <w:rPr>
                <w:rFonts w:hint="eastAsia" w:ascii="楷体_GB2312" w:hAnsi="Times New Roman" w:eastAsia="楷体_GB2312" w:cs="Dialog"/>
                <w:b/>
                <w:sz w:val="32"/>
                <w:szCs w:val="32"/>
                <w:lang w:val="en-US" w:eastAsia="zh-CN"/>
              </w:rPr>
              <w:t>(二）</w:t>
            </w:r>
            <w:r>
              <w:rPr>
                <w:rFonts w:hint="eastAsia" w:ascii="楷体_GB2312" w:hAnsi="Times New Roman" w:eastAsia="楷体_GB2312" w:cs="Dialog"/>
                <w:b/>
                <w:sz w:val="32"/>
                <w:szCs w:val="32"/>
              </w:rPr>
              <w:t>支出预算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640" w:firstLineChars="200"/>
              <w:jc w:val="both"/>
              <w:textAlignment w:val="auto"/>
              <w:rPr>
                <w:rFonts w:ascii="仿宋_GB2312" w:hAnsi="Times New Roman" w:eastAsia="仿宋_GB2312" w:cs="宋体"/>
                <w:sz w:val="32"/>
                <w:szCs w:val="32"/>
              </w:rPr>
            </w:pPr>
            <w:r>
              <w:rPr>
                <w:rFonts w:ascii="仿宋_GB2312" w:hAnsi="Times New Roman" w:eastAsia="仿宋_GB2312" w:cs="宋体"/>
                <w:sz w:val="32"/>
                <w:szCs w:val="32"/>
              </w:rPr>
              <w:t>2023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年本部门支出预算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2822.19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万元，其中，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208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社会保障和就业支出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184.70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万元，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210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卫生健康支出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180.79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万元，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213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农林水支出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2279.18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万元，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221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住房保障支出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177.52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万元，支出较去年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增加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195.58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万元，主要是因为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本年预算增加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医疗补助资金。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firstLine="640" w:firstLineChars="200"/>
              <w:jc w:val="both"/>
              <w:textAlignment w:val="auto"/>
              <w:rPr>
                <w:rFonts w:ascii="黑体" w:hAnsi="Times New Roman" w:eastAsia="黑体" w:cs="Dialog"/>
                <w:sz w:val="32"/>
                <w:szCs w:val="32"/>
              </w:rPr>
            </w:pPr>
            <w:r>
              <w:rPr>
                <w:rFonts w:hint="eastAsia" w:ascii="黑体" w:hAnsi="Times New Roman" w:eastAsia="黑体" w:cs="Dialog"/>
                <w:sz w:val="32"/>
                <w:szCs w:val="32"/>
              </w:rPr>
              <w:t>四、一般公共预算拨款支出预算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ascii="仿宋_GB2312" w:hAnsi="Times New Roman" w:eastAsia="仿宋_GB2312" w:cs="宋体"/>
                <w:sz w:val="32"/>
                <w:szCs w:val="32"/>
              </w:rPr>
            </w:pPr>
            <w:r>
              <w:rPr>
                <w:rFonts w:ascii="仿宋_GB2312" w:hAnsi="Times New Roman" w:eastAsia="仿宋_GB2312" w:cs="宋体"/>
                <w:sz w:val="32"/>
                <w:szCs w:val="32"/>
              </w:rPr>
              <w:t xml:space="preserve">  2023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年一般公共预算拨款支出预算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2822.19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万元，其中，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208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社会保障和就业支出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184.70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万元，占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6.54%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；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210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卫生健康支出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180.79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万元，占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6.41%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；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213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农林水支出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2279.18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万元，占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80.76%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；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221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住房保障支出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177.52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万元，占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6.29%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；具体安排情况如下：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3" w:firstLineChars="200"/>
              <w:jc w:val="both"/>
              <w:rPr>
                <w:rFonts w:ascii="仿宋_GB2312" w:hAnsi="Times New Roman" w:eastAsia="仿宋_GB2312" w:cs="宋体"/>
                <w:sz w:val="32"/>
                <w:szCs w:val="32"/>
              </w:rPr>
            </w:pPr>
            <w:r>
              <w:rPr>
                <w:rFonts w:hint="eastAsia" w:ascii="楷体_GB2312" w:hAnsi="Times New Roman" w:eastAsia="楷体_GB2312" w:cs="宋体"/>
                <w:b/>
                <w:sz w:val="32"/>
                <w:szCs w:val="32"/>
              </w:rPr>
              <w:t>（一）基本支出：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2023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年基本支出年初预算数为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2817.34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万元（数据来源见表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23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3" w:firstLineChars="200"/>
              <w:jc w:val="both"/>
              <w:rPr>
                <w:rFonts w:ascii="仿宋_GB2312" w:hAnsi="Times New Roman" w:eastAsia="仿宋_GB2312" w:cs="宋体"/>
                <w:sz w:val="32"/>
                <w:szCs w:val="32"/>
              </w:rPr>
            </w:pPr>
            <w:r>
              <w:rPr>
                <w:rFonts w:hint="eastAsia" w:ascii="楷体_GB2312" w:hAnsi="Times New Roman" w:eastAsia="楷体_GB2312" w:cs="宋体"/>
                <w:b/>
                <w:sz w:val="32"/>
                <w:szCs w:val="32"/>
              </w:rPr>
              <w:t>（二）项目支出：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2023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年项目支出年初预算数为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4.85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万元（数据来源见表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20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），是指部门为完成特定行政工作任务或事业发展目标而发生的支出，包括有关业务工作经费、运行维护经费、其他事业发展资金等。其中：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2023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年办案费专项支出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0.25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万元，主要用于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办案费专项经费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方面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,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办案费专项支出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1.00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万元，主要用于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履行法律法规及规章赋予的林业和草原行政执法职能，依法办理涉林涉草相关案件，指导、协调本行政区域内行政执法行为等工作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方面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,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林业科研专项经费专项支出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3.60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万元，主要用于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林业科研支出等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方面。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firstLine="640" w:firstLineChars="200"/>
              <w:jc w:val="both"/>
              <w:textAlignment w:val="auto"/>
              <w:rPr>
                <w:rFonts w:ascii="黑体" w:hAnsi="Times New Roman" w:eastAsia="黑体" w:cs="Dialog"/>
                <w:sz w:val="32"/>
                <w:szCs w:val="32"/>
              </w:rPr>
            </w:pPr>
            <w:r>
              <w:rPr>
                <w:rFonts w:hint="eastAsia" w:ascii="黑体" w:hAnsi="Times New Roman" w:eastAsia="黑体" w:cs="Dialog"/>
                <w:sz w:val="32"/>
                <w:szCs w:val="32"/>
              </w:rPr>
              <w:t>五、政府性基金预算支出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ascii="仿宋_GB2312" w:hAnsi="Times New Roman" w:eastAsia="仿宋_GB2312" w:cs="宋体"/>
                <w:sz w:val="32"/>
                <w:szCs w:val="32"/>
              </w:rPr>
            </w:pPr>
            <w:r>
              <w:rPr>
                <w:rFonts w:ascii="仿宋_GB2312" w:hAnsi="Times New Roman" w:eastAsia="仿宋_GB2312" w:cs="宋体"/>
                <w:sz w:val="32"/>
                <w:szCs w:val="32"/>
              </w:rPr>
              <w:t>2023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年度本部门无政府性基金安排的支出，所以公开的附件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15-17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（政府性基金预算）为空。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firstLine="640" w:firstLineChars="200"/>
              <w:jc w:val="both"/>
              <w:textAlignment w:val="auto"/>
              <w:rPr>
                <w:rFonts w:ascii="黑体" w:hAnsi="Times New Roman" w:eastAsia="黑体" w:cs="Dialog"/>
                <w:sz w:val="32"/>
                <w:szCs w:val="32"/>
              </w:rPr>
            </w:pPr>
            <w:r>
              <w:rPr>
                <w:rFonts w:hint="eastAsia" w:ascii="黑体" w:hAnsi="Times New Roman" w:eastAsia="黑体" w:cs="Dialog"/>
                <w:sz w:val="32"/>
                <w:szCs w:val="32"/>
              </w:rPr>
              <w:t>六、其他重要事项的情况说明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ascii="楷体_GB2312" w:hAnsi="Times New Roman" w:eastAsia="楷体_GB2312" w:cs="Dialog"/>
                <w:b/>
                <w:sz w:val="32"/>
                <w:szCs w:val="32"/>
              </w:rPr>
            </w:pPr>
            <w:r>
              <w:rPr>
                <w:rFonts w:hint="eastAsia" w:ascii="楷体_GB2312" w:hAnsi="Times New Roman" w:eastAsia="楷体_GB2312" w:cs="Dialog"/>
                <w:b/>
                <w:sz w:val="32"/>
                <w:szCs w:val="32"/>
              </w:rPr>
              <w:t>（一）机关运行经费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adjustRightInd/>
              <w:ind w:firstLine="640" w:firstLineChars="200"/>
              <w:jc w:val="both"/>
              <w:rPr>
                <w:rFonts w:ascii="仿宋_GB2312" w:hAnsi="Times New Roman" w:eastAsia="仿宋_GB2312" w:cs="宋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本部门</w:t>
            </w:r>
            <w:r>
              <w:rPr>
                <w:rFonts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年机关运行经费当年一般公共预算拨款</w:t>
            </w:r>
            <w:r>
              <w:rPr>
                <w:rFonts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391.84</w:t>
            </w:r>
            <w:r>
              <w:rPr>
                <w:rFonts w:hint="eastAsia"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万元（数据来源见表</w:t>
            </w:r>
            <w:r>
              <w:rPr>
                <w:rFonts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），比上一年增加</w:t>
            </w:r>
            <w:r>
              <w:rPr>
                <w:rFonts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109.13</w:t>
            </w:r>
            <w:r>
              <w:rPr>
                <w:rFonts w:hint="eastAsia"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万元，增加</w:t>
            </w:r>
            <w:r>
              <w:rPr>
                <w:rFonts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38.6%</w:t>
            </w:r>
            <w:r>
              <w:rPr>
                <w:rFonts w:hint="eastAsia"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。主要原因是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岳阳市林业局本级本年人员增加，机关运行经费增加，以及本年将工会经费补助列入机关运行经费等；湖南东洞庭湖国家级自然保护区管理局</w:t>
            </w:r>
            <w:r>
              <w:rPr>
                <w:rFonts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年将工会经费补助款列入了机关运行经费及增加公车补贴等；岳阳市林业科学研究所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增加了工会经费补助。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ascii="楷体_GB2312" w:hAnsi="Times New Roman" w:eastAsia="楷体_GB2312" w:cs="Dialog"/>
                <w:b/>
                <w:sz w:val="32"/>
                <w:szCs w:val="32"/>
              </w:rPr>
            </w:pPr>
            <w:r>
              <w:rPr>
                <w:rFonts w:hint="eastAsia" w:ascii="楷体_GB2312" w:hAnsi="Times New Roman" w:eastAsia="楷体_GB2312" w:cs="Dialog"/>
                <w:b/>
                <w:sz w:val="32"/>
                <w:szCs w:val="32"/>
              </w:rPr>
              <w:t>（二）“三公”经费预算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ascii="仿宋_GB2312" w:hAnsi="Times New Roman" w:eastAsia="仿宋_GB2312" w:cs="宋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本部门</w:t>
            </w:r>
            <w:r>
              <w:rPr>
                <w:rFonts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年“三公”经费预算数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64.65</w:t>
            </w:r>
            <w:r>
              <w:rPr>
                <w:rFonts w:hint="eastAsia"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万元（数据来源见表</w:t>
            </w:r>
            <w:r>
              <w:rPr>
                <w:rFonts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），其中，公务接待费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38.59</w:t>
            </w:r>
            <w:r>
              <w:rPr>
                <w:rFonts w:hint="eastAsia"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万元，因公出国（境）费</w:t>
            </w:r>
            <w:r>
              <w:rPr>
                <w:rFonts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0.00</w:t>
            </w:r>
            <w:r>
              <w:rPr>
                <w:rFonts w:hint="eastAsia"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万元，公务用车购置及运行费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26.06</w:t>
            </w:r>
            <w:r>
              <w:rPr>
                <w:rFonts w:hint="eastAsia"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万元（其中，公务用车购置费</w:t>
            </w:r>
            <w:r>
              <w:rPr>
                <w:rFonts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0.00</w:t>
            </w:r>
            <w:r>
              <w:rPr>
                <w:rFonts w:hint="eastAsia"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万元，公务用车运行费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26.06</w:t>
            </w:r>
            <w:r>
              <w:rPr>
                <w:rFonts w:hint="eastAsia"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万元）。</w:t>
            </w:r>
            <w:r>
              <w:rPr>
                <w:rFonts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年三公经费预算较上年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减少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34.14</w:t>
            </w:r>
            <w:r>
              <w:rPr>
                <w:rFonts w:hint="eastAsia"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万元，主要原因是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厉行节约以及岳阳市林业局本级本年减少了公务用车购置费预算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ascii="楷体_GB2312" w:hAnsi="Times New Roman" w:eastAsia="楷体_GB2312" w:cs="Dialog"/>
                <w:b/>
                <w:sz w:val="32"/>
                <w:szCs w:val="32"/>
              </w:rPr>
            </w:pPr>
            <w:r>
              <w:rPr>
                <w:rFonts w:hint="eastAsia" w:ascii="楷体_GB2312" w:hAnsi="Times New Roman" w:eastAsia="楷体_GB2312" w:cs="Dialog"/>
                <w:b/>
                <w:sz w:val="32"/>
                <w:szCs w:val="32"/>
              </w:rPr>
              <w:t>（三）一般性支出情况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640" w:firstLineChars="200"/>
              <w:jc w:val="both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本部门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2023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年会议费预算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2.00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万元（数据来源见表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13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会议费、培训费），拟召开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4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次会议，人数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115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人，内容为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岳阳市林业局本级离退休同志春节座谈会，湖南东洞庭湖国家级自然保护区管理局意识形态、党风廉政、党建方面的会议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；培训费预算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1.70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万元，拟开展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4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次培训，人数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100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人，内容为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岳阳市林业局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本级培训集体林地承包经营纠纷调处工作，湖南东洞庭湖国家级自然保护区管理局科研监测、巡护管理、技能培训。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640" w:firstLineChars="200"/>
              <w:jc w:val="both"/>
              <w:textAlignment w:val="auto"/>
              <w:rPr>
                <w:rFonts w:ascii="宋体" w:hAnsi="Times New Roman" w:cs="宋体"/>
                <w:sz w:val="32"/>
                <w:szCs w:val="32"/>
              </w:rPr>
            </w:pPr>
            <w:r>
              <w:rPr>
                <w:rFonts w:ascii="仿宋_GB2312" w:hAnsi="Times New Roman" w:eastAsia="仿宋_GB2312" w:cs="宋体"/>
                <w:sz w:val="32"/>
                <w:szCs w:val="32"/>
              </w:rPr>
              <w:t>2023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年度本部门未计划举办节庆、晚会、论坛、赛事活动。（没有计划的注明“</w:t>
            </w:r>
            <w:r>
              <w:rPr>
                <w:rFonts w:ascii="仿宋_GB2312" w:hAnsi="Times New Roman" w:eastAsia="仿宋_GB2312" w:cs="宋体"/>
                <w:sz w:val="32"/>
                <w:szCs w:val="32"/>
              </w:rPr>
              <w:t>2023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年度本部门未计划安排会议、培训，未计划举办节庆、晚会、论坛、赛事活动。”）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ascii="楷体_GB2312" w:hAnsi="Times New Roman" w:eastAsia="楷体_GB2312" w:cs="Dialog"/>
                <w:b/>
                <w:sz w:val="32"/>
                <w:szCs w:val="32"/>
              </w:rPr>
            </w:pPr>
            <w:r>
              <w:rPr>
                <w:rFonts w:hint="eastAsia" w:ascii="楷体_GB2312" w:hAnsi="Times New Roman" w:eastAsia="楷体_GB2312" w:cs="Dialog"/>
                <w:b/>
                <w:sz w:val="32"/>
                <w:szCs w:val="32"/>
              </w:rPr>
              <w:t>（四）政府采购情况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本部门2023年政府采购预算总额5451.95万元，其中工程类4647.88万元，货物类138.11万元，服务类665.96万元。（没有政府采购预算的也需要说明：2023年度本部门未安排政府采购预算。）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firstLine="643" w:firstLineChars="200"/>
              <w:jc w:val="both"/>
              <w:textAlignment w:val="auto"/>
            </w:pPr>
            <w:r>
              <w:rPr>
                <w:rFonts w:hint="eastAsia" w:ascii="楷体_GB2312" w:hAnsi="Times New Roman" w:eastAsia="楷体_GB2312" w:cs="Dialog"/>
                <w:b/>
                <w:color w:val="000000"/>
                <w:kern w:val="0"/>
                <w:sz w:val="32"/>
                <w:szCs w:val="32"/>
                <w:lang w:val="en-US" w:eastAsia="zh-CN" w:bidi="ar-SA"/>
              </w:rPr>
              <w:t>（五）国有资产占有使用及新增资产配置情况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firstLine="640" w:firstLineChars="200"/>
              <w:jc w:val="both"/>
              <w:textAlignment w:val="auto"/>
              <w:rPr>
                <w:rFonts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截至上年底，本部门共有车辆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辆，其中领导干部用车</w:t>
            </w:r>
            <w:r>
              <w:rPr>
                <w:rFonts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辆，一般公务用车</w:t>
            </w:r>
            <w:r>
              <w:rPr>
                <w:rFonts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辆，其他用车</w:t>
            </w:r>
            <w:r>
              <w:rPr>
                <w:rFonts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辆，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应急保障用车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辆、执法执勤用车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辆</w:t>
            </w:r>
            <w:r>
              <w:rPr>
                <w:rFonts w:hint="eastAsia"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。单位价值</w:t>
            </w:r>
            <w:r>
              <w:rPr>
                <w:rFonts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万元以上通用设备</w:t>
            </w:r>
            <w:r>
              <w:rPr>
                <w:rFonts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台，单位价值</w:t>
            </w:r>
            <w:r>
              <w:rPr>
                <w:rFonts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万元以上专用设备</w:t>
            </w:r>
            <w:r>
              <w:rPr>
                <w:rFonts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firstLine="640" w:firstLineChars="200"/>
              <w:jc w:val="both"/>
              <w:textAlignment w:val="auto"/>
              <w:rPr>
                <w:rFonts w:hint="eastAsia" w:ascii="楷体_GB2312" w:hAnsi="Times New Roman" w:eastAsia="楷体_GB2312" w:cs="Dialog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年度本部门未计划处置或新增车辆、新增配备单位价值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万元以上通用设备和单位价值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万元以上专用设备等。</w:t>
            </w:r>
            <w:r>
              <w:rPr>
                <w:rFonts w:hint="eastAsia"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（没有处置或新增计划的也需说明“</w:t>
            </w:r>
            <w:r>
              <w:rPr>
                <w:rFonts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仿宋_GB2312" w:hAnsi="Times New Roman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年度本部门未计划处置或新增车辆、设备等。”）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ascii="楷体_GB2312" w:hAnsi="Times New Roman" w:eastAsia="楷体_GB2312" w:cs="Dialog"/>
                <w:b/>
                <w:sz w:val="32"/>
                <w:szCs w:val="32"/>
              </w:rPr>
            </w:pPr>
            <w:r>
              <w:rPr>
                <w:rFonts w:hint="eastAsia" w:ascii="楷体_GB2312" w:hAnsi="Times New Roman" w:eastAsia="楷体_GB2312" w:cs="Dialog"/>
                <w:b/>
                <w:sz w:val="32"/>
                <w:szCs w:val="32"/>
              </w:rPr>
              <w:t>（六）预算绩效目标说明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640" w:firstLineChars="200"/>
              <w:jc w:val="both"/>
              <w:textAlignment w:val="auto"/>
              <w:rPr>
                <w:rFonts w:ascii="楷体_GB2312" w:hAnsi="Times New Roman" w:eastAsia="楷体_GB2312" w:cs="宋体"/>
                <w:sz w:val="32"/>
                <w:szCs w:val="32"/>
              </w:rPr>
            </w:pPr>
            <w:r>
              <w:rPr>
                <w:rFonts w:hint="eastAsia" w:ascii="楷体_GB2312" w:hAnsi="Times New Roman" w:eastAsia="楷体_GB2312" w:cs="宋体"/>
                <w:sz w:val="32"/>
                <w:szCs w:val="32"/>
              </w:rPr>
              <w:t>本部门所有支出实行绩效目标管理。纳入</w:t>
            </w:r>
            <w:r>
              <w:rPr>
                <w:rFonts w:ascii="楷体_GB2312" w:hAnsi="Times New Roman" w:eastAsia="楷体_GB2312" w:cs="宋体"/>
                <w:sz w:val="32"/>
                <w:szCs w:val="32"/>
              </w:rPr>
              <w:t>2023</w:t>
            </w:r>
            <w:r>
              <w:rPr>
                <w:rFonts w:hint="eastAsia" w:ascii="楷体_GB2312" w:hAnsi="Times New Roman" w:eastAsia="楷体_GB2312" w:cs="宋体"/>
                <w:sz w:val="32"/>
                <w:szCs w:val="32"/>
              </w:rPr>
              <w:t>年部门整体支出绩效目标的金额为</w:t>
            </w:r>
            <w:r>
              <w:rPr>
                <w:rFonts w:ascii="楷体_GB2312" w:hAnsi="Times New Roman" w:eastAsia="楷体_GB2312" w:cs="宋体"/>
                <w:sz w:val="32"/>
                <w:szCs w:val="32"/>
              </w:rPr>
              <w:t>2822.19</w:t>
            </w:r>
            <w:r>
              <w:rPr>
                <w:rFonts w:hint="eastAsia" w:ascii="楷体_GB2312" w:hAnsi="Times New Roman" w:eastAsia="楷体_GB2312" w:cs="宋体"/>
                <w:sz w:val="32"/>
                <w:szCs w:val="32"/>
              </w:rPr>
              <w:t>万元，其中，基本支出</w:t>
            </w:r>
            <w:r>
              <w:rPr>
                <w:rFonts w:ascii="楷体_GB2312" w:hAnsi="Times New Roman" w:eastAsia="楷体_GB2312" w:cs="宋体"/>
                <w:sz w:val="32"/>
                <w:szCs w:val="32"/>
              </w:rPr>
              <w:t>2817.34</w:t>
            </w:r>
            <w:r>
              <w:rPr>
                <w:rFonts w:hint="eastAsia" w:ascii="楷体_GB2312" w:hAnsi="Times New Roman" w:eastAsia="楷体_GB2312" w:cs="宋体"/>
                <w:sz w:val="32"/>
                <w:szCs w:val="32"/>
              </w:rPr>
              <w:t>万元，项目支出</w:t>
            </w:r>
            <w:r>
              <w:rPr>
                <w:rFonts w:ascii="楷体_GB2312" w:hAnsi="Times New Roman" w:eastAsia="楷体_GB2312" w:cs="宋体"/>
                <w:sz w:val="32"/>
                <w:szCs w:val="32"/>
              </w:rPr>
              <w:t>4.85</w:t>
            </w:r>
            <w:r>
              <w:rPr>
                <w:rFonts w:hint="eastAsia" w:ascii="楷体_GB2312" w:hAnsi="Times New Roman" w:eastAsia="楷体_GB2312" w:cs="宋体"/>
                <w:sz w:val="32"/>
                <w:szCs w:val="32"/>
              </w:rPr>
              <w:t>万元，详见文尾附表中部门预算公开表格的表</w:t>
            </w:r>
            <w:r>
              <w:rPr>
                <w:rFonts w:ascii="楷体_GB2312" w:hAnsi="Times New Roman" w:eastAsia="楷体_GB2312" w:cs="宋体"/>
                <w:sz w:val="32"/>
                <w:szCs w:val="32"/>
              </w:rPr>
              <w:t>21-22</w:t>
            </w:r>
            <w:r>
              <w:rPr>
                <w:rFonts w:hint="eastAsia" w:ascii="楷体_GB2312" w:hAnsi="Times New Roman" w:eastAsia="楷体_GB2312" w:cs="宋体"/>
                <w:sz w:val="32"/>
                <w:szCs w:val="32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firstLine="640" w:firstLineChars="200"/>
              <w:jc w:val="both"/>
              <w:textAlignment w:val="auto"/>
              <w:rPr>
                <w:rFonts w:ascii="黑体" w:hAnsi="Times New Roman" w:eastAsia="黑体" w:cs="Dialog"/>
                <w:sz w:val="32"/>
                <w:szCs w:val="32"/>
              </w:rPr>
            </w:pPr>
            <w:r>
              <w:rPr>
                <w:rFonts w:hint="eastAsia" w:ascii="黑体" w:hAnsi="Times New Roman" w:eastAsia="黑体" w:cs="Dialog"/>
                <w:sz w:val="32"/>
                <w:szCs w:val="32"/>
              </w:rPr>
              <w:t>七、名词解释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640" w:firstLineChars="200"/>
              <w:jc w:val="both"/>
              <w:textAlignment w:val="auto"/>
              <w:rPr>
                <w:rFonts w:ascii="仿宋_GB2312" w:hAnsi="Times New Roman" w:eastAsia="仿宋_GB2312" w:cs="宋体"/>
                <w:sz w:val="32"/>
                <w:szCs w:val="32"/>
              </w:rPr>
            </w:pPr>
            <w:r>
              <w:rPr>
                <w:rFonts w:ascii="仿宋_GB2312" w:hAnsi="Times New Roman" w:eastAsia="仿宋_GB2312" w:cs="宋体"/>
                <w:sz w:val="32"/>
                <w:szCs w:val="32"/>
              </w:rPr>
              <w:t xml:space="preserve">  1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640" w:firstLineChars="200"/>
              <w:jc w:val="both"/>
              <w:textAlignment w:val="auto"/>
              <w:rPr>
                <w:rFonts w:ascii="仿宋_GB2312" w:hAnsi="Times New Roman" w:eastAsia="仿宋_GB2312" w:cs="宋体"/>
                <w:sz w:val="32"/>
                <w:szCs w:val="32"/>
              </w:rPr>
            </w:pPr>
            <w:r>
              <w:rPr>
                <w:rFonts w:ascii="仿宋_GB2312" w:hAnsi="Times New Roman" w:eastAsia="仿宋_GB2312" w:cs="宋体"/>
                <w:sz w:val="32"/>
                <w:szCs w:val="32"/>
              </w:rPr>
              <w:t xml:space="preserve">  2</w:t>
            </w:r>
            <w:r>
              <w:rPr>
                <w:rFonts w:hint="eastAsia" w:ascii="仿宋_GB2312" w:hAnsi="Times New Roman" w:eastAsia="仿宋_GB2312" w:cs="宋体"/>
                <w:sz w:val="32"/>
                <w:szCs w:val="32"/>
              </w:rPr>
              <w:t>、“三公”经费：纳入财政预算管理的“三公“经费，是指用一般公共预算拨款安排的公务接待费、公务用车购置及运行维护费和因公出国（境）费。其中，公务接待费反映部门按规定开支的各类公务接待支出；公务用车购置及运行费反映部门公务用车车辆购置支出（含车辆购置税），以及燃料费、维修费、保险费等支出；因公出国（境）费反映部门公务出国（境）的国际旅费、国外城市间交通费、食宿费等支出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firstLine="480" w:firstLineChars="200"/>
              <w:jc w:val="both"/>
              <w:textAlignment w:val="auto"/>
              <w:rPr>
                <w:rFonts w:ascii="仿宋_GB2312"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ascii="仿宋_GB2312" w:eastAsia="仿宋_GB2312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firstLine="480" w:firstLineChars="200"/>
              <w:jc w:val="both"/>
              <w:textAlignment w:val="auto"/>
              <w:rPr>
                <w:rFonts w:ascii="仿宋_GB2312"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ascii="仿宋_GB2312" w:eastAsia="仿宋_GB2312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firstLine="480" w:firstLineChars="200"/>
              <w:jc w:val="both"/>
              <w:textAlignment w:val="auto"/>
              <w:rPr>
                <w:rFonts w:ascii="仿宋_GB2312"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ascii="仿宋_GB2312" w:eastAsia="仿宋_GB2312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firstLine="480" w:firstLineChars="200"/>
              <w:jc w:val="both"/>
              <w:textAlignment w:val="auto"/>
              <w:rPr>
                <w:rFonts w:ascii="仿宋_GB2312" w:eastAsia="仿宋_GB2312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 w:firstLineChars="200"/>
              <w:jc w:val="both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firstLine="480" w:firstLineChars="200"/>
              <w:jc w:val="both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 w:firstLineChars="200"/>
              <w:jc w:val="both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ascii="仿宋_GB2312" w:eastAsia="仿宋_GB2312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firstLine="480" w:firstLineChars="200"/>
              <w:jc w:val="both"/>
              <w:textAlignment w:val="auto"/>
              <w:rPr>
                <w:rFonts w:ascii="仿宋_GB2312"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ascii="仿宋_GB2312" w:eastAsia="仿宋_GB2312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firstLine="480" w:firstLineChars="200"/>
              <w:jc w:val="both"/>
              <w:textAlignment w:val="auto"/>
              <w:rPr>
                <w:rFonts w:ascii="仿宋_GB2312"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ascii="仿宋_GB2312" w:eastAsia="仿宋_GB2312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firstLine="480" w:firstLineChars="200"/>
              <w:jc w:val="both"/>
              <w:textAlignment w:val="auto"/>
              <w:rPr>
                <w:rFonts w:ascii="仿宋_GB2312"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第二部分  2023年部门预算公开表格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1、收支总表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2、收入总表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3、支出总表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4、支出预算分类汇总表（按政府预算经济分类）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5、支出预算分类汇总表（按部门预算经济分类）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6、财政拨款收支总表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7、一般公共预算支出表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8、一般公共预算基本支出表-人员经费（工资福利支出）（按政府预算经济分类）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9、一般公共预算基本支出表-人员经费（工资福利支出）（按部门预算经济分类）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10、一般公共预算基本支出表-人员经费（对个人和家庭的补助）（按政府预算经济分类）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11、一般公共预算基本支出表-人员经费（对个人和家庭的补助）（按部门预算经济分类）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12、一般公共预算基本支出表-公用经费（商品和服务支出）（按政府预算经济分类）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13、一般公共预算基本支出表-公用经费（商品和服务支出）（按部门预算经济分类）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14、一般公共预算“三公”经费支出表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15、政府性基金预算支出表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16、政府性基金预算支出分类汇总表（按政府预算经济分类）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17、政府性基金预算支出分类汇总表（按部门预算经济分类）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18、国有资本经营预算支出表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19、财政专户管理资金预算支出表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20、专项资金预算汇总表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21、项目支出绩效目标表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22、部门整体支出绩效目标表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23、一般公共预算基本支出表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ind w:firstLine="643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注：以上部门预算公开报表中，空表表示本部门无相关收支情况。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8708" w:h="15840"/>
      <w:pgMar w:top="388" w:right="1080" w:bottom="388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ialog">
    <w:altName w:val="Times New Roman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IyNTM2ZTNkYzRlNjQxMDkzYmY3OWJhZDY3ZTJkMWYifQ=="/>
  </w:docVars>
  <w:rsids>
    <w:rsidRoot w:val="000A0F96"/>
    <w:rsid w:val="000204BF"/>
    <w:rsid w:val="00064002"/>
    <w:rsid w:val="000A0F96"/>
    <w:rsid w:val="000F34F5"/>
    <w:rsid w:val="00121B8B"/>
    <w:rsid w:val="00170BF2"/>
    <w:rsid w:val="001B36BB"/>
    <w:rsid w:val="0023374A"/>
    <w:rsid w:val="00266401"/>
    <w:rsid w:val="002774A0"/>
    <w:rsid w:val="00296B15"/>
    <w:rsid w:val="002B6848"/>
    <w:rsid w:val="00306698"/>
    <w:rsid w:val="00332C97"/>
    <w:rsid w:val="003441E3"/>
    <w:rsid w:val="00346C38"/>
    <w:rsid w:val="00367A38"/>
    <w:rsid w:val="0038217E"/>
    <w:rsid w:val="003A6F8A"/>
    <w:rsid w:val="00421069"/>
    <w:rsid w:val="00435DFA"/>
    <w:rsid w:val="005654BE"/>
    <w:rsid w:val="00577495"/>
    <w:rsid w:val="005A24B1"/>
    <w:rsid w:val="005C7E6D"/>
    <w:rsid w:val="006C1685"/>
    <w:rsid w:val="007719BB"/>
    <w:rsid w:val="007B655F"/>
    <w:rsid w:val="007C341D"/>
    <w:rsid w:val="008A44D4"/>
    <w:rsid w:val="00905D3F"/>
    <w:rsid w:val="0098431E"/>
    <w:rsid w:val="009A7605"/>
    <w:rsid w:val="00A26F98"/>
    <w:rsid w:val="00A517AD"/>
    <w:rsid w:val="00A8243B"/>
    <w:rsid w:val="00A83DF3"/>
    <w:rsid w:val="00AA703E"/>
    <w:rsid w:val="00AB2940"/>
    <w:rsid w:val="00B22BD6"/>
    <w:rsid w:val="00B825D8"/>
    <w:rsid w:val="00C54CFA"/>
    <w:rsid w:val="00C54DED"/>
    <w:rsid w:val="00D60725"/>
    <w:rsid w:val="00DA5893"/>
    <w:rsid w:val="00E0058D"/>
    <w:rsid w:val="00E876F3"/>
    <w:rsid w:val="00F77543"/>
    <w:rsid w:val="017815E6"/>
    <w:rsid w:val="02296E92"/>
    <w:rsid w:val="022D4557"/>
    <w:rsid w:val="027D2D3A"/>
    <w:rsid w:val="05654685"/>
    <w:rsid w:val="0B610D74"/>
    <w:rsid w:val="0E87566C"/>
    <w:rsid w:val="138B65C8"/>
    <w:rsid w:val="15A22D8C"/>
    <w:rsid w:val="16502059"/>
    <w:rsid w:val="190478B9"/>
    <w:rsid w:val="19E5593D"/>
    <w:rsid w:val="1BAD5FE6"/>
    <w:rsid w:val="1BBB4BA7"/>
    <w:rsid w:val="1DDE2DCF"/>
    <w:rsid w:val="24155071"/>
    <w:rsid w:val="256242E5"/>
    <w:rsid w:val="262B46D7"/>
    <w:rsid w:val="287E4F92"/>
    <w:rsid w:val="29695C42"/>
    <w:rsid w:val="29CC61D1"/>
    <w:rsid w:val="2A2A6419"/>
    <w:rsid w:val="2E115F03"/>
    <w:rsid w:val="2FED0C50"/>
    <w:rsid w:val="30C65728"/>
    <w:rsid w:val="312100DD"/>
    <w:rsid w:val="3166515D"/>
    <w:rsid w:val="332C1A8F"/>
    <w:rsid w:val="36A209E6"/>
    <w:rsid w:val="39697599"/>
    <w:rsid w:val="39D72754"/>
    <w:rsid w:val="3BA945C4"/>
    <w:rsid w:val="3C900121"/>
    <w:rsid w:val="3CC55AFB"/>
    <w:rsid w:val="3D840E45"/>
    <w:rsid w:val="3E6301F3"/>
    <w:rsid w:val="40C1415E"/>
    <w:rsid w:val="41A73354"/>
    <w:rsid w:val="42786A9F"/>
    <w:rsid w:val="441E360C"/>
    <w:rsid w:val="44527C37"/>
    <w:rsid w:val="44DF1057"/>
    <w:rsid w:val="4732546E"/>
    <w:rsid w:val="48082673"/>
    <w:rsid w:val="4B9506C1"/>
    <w:rsid w:val="4BEB211D"/>
    <w:rsid w:val="4BFB49C8"/>
    <w:rsid w:val="4D297313"/>
    <w:rsid w:val="4E451F2B"/>
    <w:rsid w:val="4F9071D6"/>
    <w:rsid w:val="4F92661E"/>
    <w:rsid w:val="50483F54"/>
    <w:rsid w:val="514B4AA0"/>
    <w:rsid w:val="51870AAC"/>
    <w:rsid w:val="5272350A"/>
    <w:rsid w:val="53397B84"/>
    <w:rsid w:val="53536E98"/>
    <w:rsid w:val="569B7468"/>
    <w:rsid w:val="597414E9"/>
    <w:rsid w:val="5C272836"/>
    <w:rsid w:val="5CA644DC"/>
    <w:rsid w:val="5EB86749"/>
    <w:rsid w:val="5F334021"/>
    <w:rsid w:val="5F385194"/>
    <w:rsid w:val="63F35B2D"/>
    <w:rsid w:val="67CA446A"/>
    <w:rsid w:val="68330D9E"/>
    <w:rsid w:val="683A3A89"/>
    <w:rsid w:val="6A3F7D1E"/>
    <w:rsid w:val="6ADB7A47"/>
    <w:rsid w:val="6CEB1A97"/>
    <w:rsid w:val="6D0B213A"/>
    <w:rsid w:val="6D1E00BF"/>
    <w:rsid w:val="6E3B25AB"/>
    <w:rsid w:val="6F122880"/>
    <w:rsid w:val="70BF74C3"/>
    <w:rsid w:val="76F65C09"/>
    <w:rsid w:val="79D20267"/>
    <w:rsid w:val="7BBA0FB3"/>
    <w:rsid w:val="7C9C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kern w:val="0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99"/>
    <w:pPr>
      <w:outlineLvl w:val="0"/>
    </w:pPr>
    <w:rPr>
      <w:b/>
      <w:bCs/>
      <w:sz w:val="32"/>
      <w:szCs w:val="32"/>
    </w:rPr>
  </w:style>
  <w:style w:type="paragraph" w:styleId="4">
    <w:name w:val="heading 2"/>
    <w:basedOn w:val="1"/>
    <w:next w:val="1"/>
    <w:link w:val="9"/>
    <w:qFormat/>
    <w:uiPriority w:val="99"/>
    <w:pPr>
      <w:outlineLvl w:val="1"/>
    </w:pPr>
    <w:rPr>
      <w:b/>
      <w:bCs/>
      <w:i/>
      <w:iCs/>
      <w:sz w:val="28"/>
      <w:szCs w:val="28"/>
    </w:rPr>
  </w:style>
  <w:style w:type="paragraph" w:styleId="5">
    <w:name w:val="heading 3"/>
    <w:basedOn w:val="1"/>
    <w:next w:val="1"/>
    <w:link w:val="10"/>
    <w:qFormat/>
    <w:uiPriority w:val="99"/>
    <w:pPr>
      <w:outlineLvl w:val="2"/>
    </w:pPr>
    <w:rPr>
      <w:b/>
      <w:bCs/>
      <w:sz w:val="26"/>
      <w:szCs w:val="26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</w:style>
  <w:style w:type="character" w:customStyle="1" w:styleId="8">
    <w:name w:val="Heading 1 Char"/>
    <w:basedOn w:val="7"/>
    <w:link w:val="3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9">
    <w:name w:val="Heading 2 Char"/>
    <w:basedOn w:val="7"/>
    <w:link w:val="4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0">
    <w:name w:val="Heading 3 Char"/>
    <w:basedOn w:val="7"/>
    <w:link w:val="5"/>
    <w:semiHidden/>
    <w:qFormat/>
    <w:locked/>
    <w:uiPriority w:val="99"/>
    <w:rPr>
      <w:rFonts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4008</Words>
  <Characters>4375</Characters>
  <Lines>0</Lines>
  <Paragraphs>0</Paragraphs>
  <TotalTime>9</TotalTime>
  <ScaleCrop>false</ScaleCrop>
  <LinksUpToDate>false</LinksUpToDate>
  <CharactersWithSpaces>4394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2024-03-20T06:10:00Z</dcterms:created>
  <dc:creator>Administrator</dc:creator>
  <cp:lastModifiedBy>易洪宇</cp:lastModifiedBy>
  <dcterms:modified xsi:type="dcterms:W3CDTF">2024-03-25T08:50:24Z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C17CB227854E494E96EACD0882F7097A_12</vt:lpwstr>
  </property>
</Properties>
</file>