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岳阳市老干部活动服务中心2024年度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单位预算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第一部分  2024年单位预算说明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第二部分  2024年单位预算公开表格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2、收入总表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3、支出总表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4、支出预算分类汇总表（按政府预算经济分类）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5、支出预算分类汇总表（按部门预算经济分类）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6、财政拨款收支总表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7、一般公共预算支出表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8、一般公共预算基本支出表-人员经费（工资福利支出）（按政府预算经济分类）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12、一般公共预算基本支出表-公用经费（商品和服务支出）（按政府预算经济分类）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13、一般公共预算基本支出表-公用经费（商品和服务支出）（按部门预算经济分类）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14、一般公共预算“三公”经费支出表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15、政府性基金预算支出表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16、政府性基金预算支出分类汇总表（按政府预算经济分类）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17、政府性基金预算支出分类汇总表（按部门预算经济分类）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18、国有资本经营预算支出表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19、财政专户管理资金预算支出表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20、专项资金预算汇总表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21、项目支出绩效目标表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22、单位整体支出绩效目标表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23、一般公共预算基本支出表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注：以上单位预算公开报表中，空表表示本单位无相关收支情况。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第一部分  2024年单位预算说明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单位基本概况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职能职责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1、负责贯彻执行党和政府关于老干部工作的方针、政策，做好住所离退休干部及遗孀的管理、服务工作。(国发[1978]104号)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2、负责加强住所离退休干部和在职工作人员思想政治工作，组织开展健康有益的活动。(国发[1980]253号)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3、负责协调住所离休干部与原工作单位的关系，落实好住所离休干部的政治待遇和生活待遇，做好医疗保健工作。(国发[1978]104号)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4、负责本单位国有资产管理，改善离退休干部活动场所，提高社会化服务保障水平。(国发[1980]253号)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5、服务管理老干部活动中心各场馆，组织全市老干部开展各类娱乐、健身活动等。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（二）机构设置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岳阳市老干部活动服务中心属于独立核算全额拨款的（参公）事业二级单位，单位内设机构包括：综合部、生活服务部、活动服务部。现有人员编制17人。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二、单位预算单位构成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本单位预算仅含本级预算。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三、单位收支总体情况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2024年没有政府性基金预算拨款、国有资本经营预算收入和纳入专户管理的非税收入拨款收入，也没有使用政府性基金预算拨款、国有资本经营预算收入和纳入专户管理的非税收入拨款安排的支出，所以公开的附件15、16、17、18、19表均为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（一）收入预算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一般公共预算、政府性基金、国有资本经营预算等财政拨款收入，以及经营收入、事业收入等单位资金。2024年度年本单位收入预算387.18万元，其中，一般公共预算拨款387.18万元，政府性基金预算资金0.00万元(所以公开的附件17为空)，国有资本经营预算资金0.00万元(所以公开的附件18为空)，财政专户管理资金0.00万元(所以公开的附件19为空)，上级补助收入资金0.00万元，事业单位经营收入资金0.00万元，上年结转结余0.00万元。(数据来源见表2)本单位2024年收入较去年增加25.55万元，主要是因为有人员新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（二）支出预算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本单位支出预算387.18万元，其中，201一般公共服务支出246.44万元，208社会保障和就业支出113.28万元，210卫生健康支出12.08万元，221住房保障支出15.38万元，支出较去年增加25.55万元，主要是因为增加了人员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一般公共预算拨款支出预算387.18万元，其中，201一般公共服务支出246.44万元，占63.65%；208社会保障和就业支出113.28万元，占29.26%；210卫生健康支出12.08万元，占3.12%；221住房保障支出15.38万元，占3.97%；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基本支出：2024年基本支出年初预算数为335.18万元（数据来源见表23），是指为保障单位机构正常运转、完成日常工作任务而发生的各项支出，包括用于基本工资、津贴补贴等人员经费以及办公费、印刷费、水电费、差旅费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支出：2024年项目支出年初预算数为52.00万元（数据来源见表20），是指单位为完成特定行政工作任务或事业发展目标而发生的支出，包括有关业务工作经费、运行维护经费、其他事业发展资金等。其中：岳阳市老干部活动中心运行费专项支出52.00万元，主要用于老干部活动中心开展专项活动、运行维护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五、政府性基金预算支出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2024年度本单位无政府性基金安排的支出，所以公开的附件15-17（政府性基金预算）为空。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本单位2024年机关运行经费当年一般公共预算拨款47.39万元（数据来源见表12），比上一年增加0.85万元，增加2%。主要原因是人员新增。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2024年“三公”经费预算数0.20万元（数据来源见表14），其中，公务接待费0.20万元，因公出国（境）费0.00万元，公务用车购置及运行费0.00万元（其中，公务用车购置费0.00万元，公务用车运行费0.00万元）。2024年三公经费预算较上年增加0.00万元，主要原因是落实中央八项规定履行节约各项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三公经费并无变化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（三）一般性支出情况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本单位2024年会议费预算0.00万元（数据来源见表13会议费、培训费），拟召开0次会议，人数0人，内容为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；培训费预算0.00万元，拟开展0次培训，人数0人，内容为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；计划举办节庆、晚会、论坛、赛事活动0万元，内容为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。2024年度本单位未计划安排会议、培训，未计划举办节庆、晚会、论坛、赛事活动。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本单位2024年政府采购预算总额0万元，其中工程类0万元，货物类0万元，服务类0万元。2024年度本单位未安排政府采购预算。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（五）国有资产占有使用及新增资产配置情况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截至上年底，本单位共有车辆0辆，其中领导干部用车0辆，一般公务用车0辆，其他用车0辆。单位价值50万元以上通用设备0台，单位价值100万元以上专用设备0台。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拟报废处置车辆0辆，其中：报废处置领导干部用车0辆，报废处置一般公务用车0辆，报废处置其他用车0辆，报废处置单位价值50万元以上通用设备0台，报废处置单位价值100万元以上通用设备0台。拟新增配置车辆0辆，其中领导干部用车0辆，一般公务用车0辆，其他用车0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2024年拟新增配备领导干部用车0辆，一般公务用车0辆，其他用车0辆，新增配备单位价值50万元以上通用设备0台，单位价值100万元以上专用设备0台。2024年度本单位未计划处置或新增车辆、设备等。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本单位所有支出实行绩效目标管理。纳入2024年单位整体支出绩效目标的金额为387.18万元，其中，基本支出335.18万元，项目支出52.00万元，详见文尾附表中单位预算公开表格的表21-22。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第二部分  2024年单位预算公开表格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2、收入总表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3、支出总表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4、支出预算分类汇总表（按政府预算经济分类）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5、支出预算分类汇总表（按部门预算经济分类）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6、财政拨款收支总表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7、一般公共预算支出表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8、一般公共预算基本支出表-人员经费（工资福利支出）（按政府预算经济分类）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12、一般公共预算基本支出表-公用经费（商品和服务支出）（按政府预算经济分类）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13、一般公共预算基本支出表-公用经费（商品和服务支出）（按部门预算经济分类）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14、一般公共预算“三公”经费支出表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15、政府性基金预算支出表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16、政府性基金预算支出分类汇总表（按政府预算经济分类）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17、政府性基金预算支出分类汇总表（按部门预算经济分类）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18、国有资本经营预算支出表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19、财政专户管理资金预算支出表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20、专项资金预算汇总表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21、项目支出绩效目标表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22、单位整体支出绩效目标表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23、一般公共预算基本支出表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注：以上单位预算公开报表中，空表表示本单位无相关收支情况。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00EF7D"/>
    <w:multiLevelType w:val="singleLevel"/>
    <w:tmpl w:val="6600EF7D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600EF8B"/>
    <w:multiLevelType w:val="singleLevel"/>
    <w:tmpl w:val="6600EF8B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GFmMTJjZDc5MTY3YTY1N2I2YTE3ZGU3YTY2NDUifQ=="/>
    <w:docVar w:name="KSO_WPS_MARK_KEY" w:val="fa6c37ab-9d7b-48f0-9447-e5a4c394997c"/>
  </w:docVars>
  <w:rsids>
    <w:rsidRoot w:val="67070762"/>
    <w:rsid w:val="04E539FC"/>
    <w:rsid w:val="13083212"/>
    <w:rsid w:val="535105F2"/>
    <w:rsid w:val="57242DF2"/>
    <w:rsid w:val="67070762"/>
    <w:rsid w:val="76045C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3396</Words>
  <Characters>3738</Characters>
  <Lines>0</Lines>
  <Paragraphs>0</Paragraphs>
  <TotalTime>1</TotalTime>
  <ScaleCrop>false</ScaleCrop>
  <LinksUpToDate>false</LinksUpToDate>
  <CharactersWithSpaces>3751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2024-03-25T03:23:00Z</dcterms:created>
  <dc:creator>Administrator</dc:creator>
  <cp:lastModifiedBy>German Phillip</cp:lastModifiedBy>
  <dcterms:modified xsi:type="dcterms:W3CDTF">2024-03-26T06:38:34Z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A60112BD8F5D48579652226F876D4521_12</vt:lpwstr>
  </property>
</Properties>
</file>