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/>
          <w:sz w:val="2"/>
          <w:szCs w:val="24"/>
        </w:rPr>
      </w:pPr>
      <w:bookmarkStart w:id="0" w:name="_GoBack"/>
      <w:bookmarkEnd w:id="0"/>
    </w:p>
    <w:tbl>
      <w:tblPr>
        <w:tblStyle w:val="6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岳阳市公共资源交易中心2023年度</w:t>
            </w:r>
          </w:p>
          <w:p>
            <w:pPr>
              <w:spacing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部门预算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2023年部门预算说明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2023年部门预算公开表格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注：以上部门预算公开报表中，空表表示本部门无相关收支情况。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2023年部门预算说明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widowControl/>
              <w:shd w:val="clear" w:color="auto" w:fill="FFFFFF"/>
              <w:spacing w:before="0" w:beforeAutospacing="0" w:after="0" w:afterAutospacing="0" w:line="480" w:lineRule="atLeast"/>
              <w:ind w:firstLine="480"/>
              <w:jc w:val="both"/>
              <w:rPr>
                <w:rFonts w:hint="eastAsia" w:ascii="宋体" w:hAnsi="宋体" w:cs="Times New Roman"/>
                <w:sz w:val="32"/>
                <w:szCs w:val="24"/>
                <w:lang/>
              </w:rPr>
            </w:pPr>
            <w:r>
              <w:rPr>
                <w:rFonts w:hint="eastAsia" w:ascii="宋体" w:hAnsi="宋体" w:cs="Times New Roman"/>
                <w:sz w:val="32"/>
                <w:szCs w:val="24"/>
                <w:lang/>
              </w:rPr>
              <w:t>（1）负责市级公共资源交易平台及信息网络系统建设、运行、管理，</w:t>
            </w:r>
          </w:p>
          <w:p>
            <w:pPr>
              <w:pStyle w:val="5"/>
              <w:widowControl/>
              <w:shd w:val="clear" w:color="auto" w:fill="FFFFFF"/>
              <w:spacing w:before="0" w:beforeAutospacing="0" w:after="0" w:afterAutospacing="0" w:line="480" w:lineRule="atLeast"/>
              <w:ind w:firstLine="480"/>
              <w:jc w:val="both"/>
              <w:rPr>
                <w:rFonts w:hint="eastAsia" w:ascii="宋体" w:hAnsi="宋体" w:cs="Times New Roman"/>
                <w:sz w:val="32"/>
                <w:szCs w:val="24"/>
                <w:lang/>
              </w:rPr>
            </w:pPr>
            <w:r>
              <w:rPr>
                <w:rFonts w:hint="eastAsia" w:ascii="宋体" w:hAnsi="宋体" w:cs="Times New Roman"/>
                <w:sz w:val="32"/>
                <w:szCs w:val="24"/>
                <w:lang/>
              </w:rPr>
              <w:t>（2）配合有关部门研究制定平台内交易活动的技术标准、交易流程、操作规程和现场管理制度。</w:t>
            </w:r>
          </w:p>
          <w:p>
            <w:pPr>
              <w:pStyle w:val="5"/>
              <w:widowControl/>
              <w:shd w:val="clear" w:color="auto" w:fill="FFFFFF"/>
              <w:spacing w:before="0" w:beforeAutospacing="0" w:after="0" w:afterAutospacing="0" w:line="480" w:lineRule="atLeast"/>
              <w:ind w:firstLine="480"/>
              <w:jc w:val="both"/>
              <w:rPr>
                <w:rFonts w:hint="eastAsia" w:ascii="宋体" w:hAnsi="宋体" w:cs="Times New Roman"/>
                <w:sz w:val="32"/>
                <w:szCs w:val="24"/>
                <w:lang/>
              </w:rPr>
            </w:pPr>
            <w:r>
              <w:rPr>
                <w:rFonts w:hint="eastAsia" w:ascii="宋体" w:hAnsi="宋体" w:cs="Times New Roman"/>
                <w:sz w:val="32"/>
                <w:szCs w:val="24"/>
                <w:lang/>
              </w:rPr>
              <w:t>（3）依法受理各类公共资源交易申请，依法收集、储存、发布各类公共资源交易的相关信息。</w:t>
            </w:r>
          </w:p>
          <w:p>
            <w:pPr>
              <w:pStyle w:val="5"/>
              <w:widowControl/>
              <w:shd w:val="clear" w:color="auto" w:fill="FFFFFF"/>
              <w:spacing w:before="0" w:beforeAutospacing="0" w:after="0" w:afterAutospacing="0" w:line="480" w:lineRule="atLeast"/>
              <w:ind w:firstLine="480"/>
              <w:jc w:val="both"/>
              <w:rPr>
                <w:rFonts w:hint="eastAsia" w:ascii="宋体" w:hAnsi="宋体" w:cs="Times New Roman"/>
                <w:sz w:val="32"/>
                <w:szCs w:val="24"/>
                <w:lang/>
              </w:rPr>
            </w:pPr>
            <w:r>
              <w:rPr>
                <w:rFonts w:hint="eastAsia" w:ascii="宋体" w:hAnsi="宋体" w:cs="Times New Roman"/>
                <w:sz w:val="32"/>
                <w:szCs w:val="24"/>
                <w:lang/>
              </w:rPr>
              <w:t>（4）负责全市公共资源交易保证金的收退，负责核实评审资料，办理交易确认书。</w:t>
            </w:r>
          </w:p>
          <w:p>
            <w:pPr>
              <w:pStyle w:val="5"/>
              <w:widowControl/>
              <w:shd w:val="clear" w:color="auto" w:fill="FFFFFF"/>
              <w:spacing w:before="0" w:beforeAutospacing="0" w:after="0" w:afterAutospacing="0" w:line="480" w:lineRule="atLeast"/>
              <w:ind w:firstLine="480"/>
              <w:jc w:val="both"/>
              <w:rPr>
                <w:rFonts w:hint="eastAsia" w:ascii="宋体" w:hAnsi="宋体" w:cs="Times New Roman"/>
                <w:sz w:val="32"/>
                <w:szCs w:val="24"/>
                <w:lang/>
              </w:rPr>
            </w:pPr>
            <w:r>
              <w:rPr>
                <w:rFonts w:hint="eastAsia" w:ascii="宋体" w:hAnsi="宋体" w:cs="Times New Roman"/>
                <w:sz w:val="32"/>
                <w:szCs w:val="24"/>
                <w:lang/>
              </w:rPr>
              <w:t>（5）负责全市公共资源交易监管网的运行和维护，为行业监管、行政监察提供平台服务，及时报告交易活动中的违规、违纪行为。</w:t>
            </w:r>
          </w:p>
          <w:p>
            <w:pPr>
              <w:pStyle w:val="5"/>
              <w:widowControl/>
              <w:shd w:val="clear" w:color="auto" w:fill="FFFFFF"/>
              <w:spacing w:before="0" w:beforeAutospacing="0" w:after="0" w:afterAutospacing="0" w:line="480" w:lineRule="atLeast"/>
              <w:ind w:firstLine="480"/>
              <w:jc w:val="both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 w:cs="Times New Roman"/>
                <w:sz w:val="32"/>
                <w:szCs w:val="24"/>
                <w:lang/>
              </w:rPr>
              <w:t>（6）承担市委、市政府和公共资源交易管理委员会交办的其它工作。中心现在交易服务场所位于岳阳市岳阳大道狮子山路丘山大厦1-6楼，总面积3862平方米，拥有1个监督室，6个开标室、13个评标室、1个专家抽取室，1个专用评委候评室，1个评委用餐室，并配备了较为完备的监控系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sz w:val="32"/>
                <w:szCs w:val="24"/>
                <w:lang w:val="en-US" w:eastAsia="zh-CN" w:bidi="ar"/>
              </w:rPr>
              <w:t>我中心设综合部、人事部、财务部、信息技术部、交易服务部、现场管理部、政府采购交易部、工程建设交易部、国有产权交易部、自然资源交易部10个内设机构。目前，中心共有编制51人，实有干部职工51人，退休人员8人。全部纳入2022年部门预算编制范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二、部门预算构成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本部门预算为汇总预算，纳入编制范围的预算单位包括：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  1、</w:t>
            </w:r>
            <w:r>
              <w:rPr>
                <w:rFonts w:hint="eastAsia" w:ascii="宋体" w:hAnsi="宋体" w:cs="Times New Roman"/>
                <w:sz w:val="32"/>
                <w:szCs w:val="24"/>
              </w:rPr>
              <w:t>岳阳市公共资源交易中心本级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三、部门收支总体情况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部门2023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2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2023年度本部门收入预算1502.79万元，其中，一般公共预算拨款1502.79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2023年收入较去年增加</w:t>
            </w:r>
            <w:r>
              <w:rPr>
                <w:rFonts w:hint="default"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  <w:t>258.56</w:t>
            </w:r>
            <w:r>
              <w:rPr>
                <w:rFonts w:hint="eastAsia" w:ascii="宋体" w:hAnsi="宋体"/>
                <w:sz w:val="32"/>
                <w:szCs w:val="24"/>
              </w:rPr>
              <w:t>万元，主要是因为</w:t>
            </w:r>
            <w:r>
              <w:rPr>
                <w:rFonts w:hint="eastAsia" w:ascii="宋体" w:hAnsi="宋体" w:cs="Times New Roman"/>
                <w:sz w:val="32"/>
                <w:szCs w:val="24"/>
              </w:rPr>
              <w:t>中心在职人员增加了2人，退休人员增加3人，拨款内含绩效奖励金，并增加了人员住房公积金、医保铺底等拨款。因中心非税收入执收比例增高，执收成本较上年有所增加。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2023年本部门支出预算1502.79万元，其中，201一般公共服务支出1356.88万元，208社会保障和就业支出59.18万元，210卫生健康支出30.17万元，221住房保障支出56.54万元，支出较去年增加</w:t>
            </w:r>
            <w:r>
              <w:rPr>
                <w:rFonts w:hint="default" w:ascii="Times New Roman" w:hAnsi="Times New Roman" w:eastAsia="仿宋_GB2312" w:cs="Times New Roman"/>
                <w:color w:val="555555"/>
                <w:sz w:val="32"/>
                <w:szCs w:val="32"/>
                <w:shd w:val="clear" w:color="auto" w:fill="FFFFFF"/>
              </w:rPr>
              <w:t>258.5</w:t>
            </w:r>
            <w:r>
              <w:rPr>
                <w:rFonts w:hint="eastAsia" w:ascii="宋体" w:hAnsi="宋体" w:cs="Times New Roman"/>
                <w:sz w:val="32"/>
                <w:szCs w:val="24"/>
              </w:rPr>
              <w:t>6万元，主要是因为中心在职人员增加了2人，退休人员增加3人，拨款内含绩效奖励金，并增加了人员住房公积金、医保铺底等拨款</w:t>
            </w:r>
            <w:r>
              <w:rPr>
                <w:rFonts w:hint="eastAsia" w:ascii="宋体" w:hAnsi="宋体" w:cs="Times New Roman"/>
                <w:sz w:val="3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2023年一般公共预算拨款支出预算1502.79万元，其中，201一般公共服务支出1356.88万元，占90.29%；208社会保障和就业支出59.18万元，占3.94%；210卫生健康支出30.17万元，占2.01%；221住房保障支出56.54万元，占3.76%；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基本支出：2023年基本支出年初预算数为802.79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项目支出：2023年项目支出年初预算数为700.00万元（数据来源见表20），是指部门为完成特定行政工作任务或事业发展目标而发生的支出，包括有关业务工作经费、运行维护经费、其他事业发展资金等。其中：日常运转经费（非税收入征收成本）专项支出700.00万元，主要用</w:t>
            </w:r>
            <w:r>
              <w:rPr>
                <w:rFonts w:hint="eastAsia" w:ascii="宋体" w:hAnsi="宋体" w:cs="Times New Roman"/>
                <w:sz w:val="32"/>
                <w:szCs w:val="24"/>
              </w:rPr>
              <w:t>于执收成本弥补中心日常运转经费等方面</w:t>
            </w:r>
            <w:r>
              <w:rPr>
                <w:rFonts w:hint="eastAsia" w:ascii="宋体" w:hAnsi="宋体"/>
                <w:sz w:val="32"/>
                <w:szCs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2023年度本部门无政府性基金安排的支出，所以公开的附件15-17（政府性基金预算）为空。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本部门2023年机关运行经费当年一般公共预算拨款117.82万元（数据来源见表12），比上一年增加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10.5</w:t>
            </w:r>
            <w:r>
              <w:rPr>
                <w:rFonts w:hint="eastAsia" w:ascii="宋体" w:hAnsi="宋体"/>
                <w:sz w:val="32"/>
                <w:szCs w:val="24"/>
              </w:rPr>
              <w:t>万元，增加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32"/>
                <w:szCs w:val="24"/>
              </w:rPr>
              <w:t>%。主要原因</w:t>
            </w:r>
            <w:r>
              <w:rPr>
                <w:rFonts w:hint="eastAsia" w:ascii="宋体" w:hAnsi="宋体" w:cs="Times New Roman"/>
                <w:sz w:val="32"/>
                <w:szCs w:val="24"/>
              </w:rPr>
              <w:t>是机关电子运行维护有所增加，人员有所增加</w:t>
            </w:r>
            <w:r>
              <w:rPr>
                <w:rFonts w:hint="eastAsia" w:ascii="宋体" w:hAnsi="宋体" w:cs="Times New Roman"/>
                <w:sz w:val="3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仿宋_GB2312" w:hAnsi="宋体" w:eastAsia="仿宋_GB2312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部门2023年“三公”经费预算数11.00万元（数据来源见表14），其中，公务接待费3.00万元，因公出国（境）费5.00万元，公务用车购置及运行费3.00万元（其中，公务用车购置费0.00万元，公务用车运行费3.00万元）。2023年三公经费预算较上年减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32"/>
                <w:szCs w:val="24"/>
              </w:rPr>
              <w:t>万元，主要原因是</w:t>
            </w:r>
            <w:r>
              <w:rPr>
                <w:rFonts w:hint="eastAsia" w:ascii="宋体" w:hAnsi="宋体" w:cs="Times New Roman"/>
                <w:sz w:val="32"/>
                <w:szCs w:val="24"/>
                <w:lang w:val="en-US" w:eastAsia="zh-CN"/>
              </w:rPr>
              <w:t>中心三公经费按照过“紧日子”要求进行逐年减少，并且数据填报根据中心上年实际支出数进行填报</w:t>
            </w:r>
            <w:r>
              <w:rPr>
                <w:rFonts w:hint="eastAsia" w:ascii="宋体" w:hAnsi="宋体" w:cs="Times New Roman"/>
                <w:sz w:val="3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本部门2023年会议费预算1.00万元（数据来源见表13会议费、培</w:t>
            </w:r>
            <w:r>
              <w:rPr>
                <w:rFonts w:hint="eastAsia" w:ascii="宋体" w:hAnsi="宋体" w:cs="Times New Roman"/>
                <w:sz w:val="32"/>
                <w:szCs w:val="24"/>
              </w:rPr>
              <w:t>训费），拟召开5次会议，人数100人，内容为“智慧保证金”系统、“中标贷”、全省财务人员培训会议、交易服务费线上缴费项目会议等；培训费预算2.00万元，拟开展8次培训，人数300人，内容为内容为党史培训、不见面开标培训等；计划举办节庆、晚会、论坛、赛事活动</w:t>
            </w:r>
            <w:r>
              <w:rPr>
                <w:rFonts w:hint="eastAsia" w:ascii="宋体" w:hAnsi="宋体" w:cs="Times New Roman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sz w:val="32"/>
                <w:szCs w:val="24"/>
              </w:rPr>
              <w:t>万元，内容为</w:t>
            </w:r>
            <w:r>
              <w:rPr>
                <w:rFonts w:hint="eastAsia" w:ascii="宋体" w:hAnsi="宋体" w:cs="Times New Roman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cs="Times New Roman"/>
                <w:sz w:val="32"/>
                <w:szCs w:val="24"/>
              </w:rPr>
              <w:t>。2023年度本部门未计划</w:t>
            </w:r>
            <w:r>
              <w:rPr>
                <w:rFonts w:hint="eastAsia" w:ascii="宋体" w:hAnsi="宋体"/>
                <w:sz w:val="32"/>
                <w:szCs w:val="24"/>
              </w:rPr>
              <w:t>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本部门2023年政府采购预算总额</w:t>
            </w:r>
            <w:r>
              <w:rPr>
                <w:rFonts w:hint="default"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  <w:t>1737.68</w:t>
            </w:r>
            <w:r>
              <w:rPr>
                <w:rFonts w:hint="eastAsia" w:ascii="宋体" w:hAnsi="宋体"/>
                <w:sz w:val="32"/>
                <w:szCs w:val="24"/>
              </w:rPr>
              <w:t>万元</w:t>
            </w:r>
            <w:r>
              <w:rPr>
                <w:rFonts w:hint="eastAsia" w:ascii="宋体" w:hAnsi="宋体" w:cs="Times New Roman"/>
                <w:sz w:val="32"/>
                <w:szCs w:val="24"/>
              </w:rPr>
              <w:t>，其中工程类</w:t>
            </w:r>
            <w:r>
              <w:rPr>
                <w:rFonts w:hint="eastAsia" w:ascii="宋体" w:hAnsi="宋体" w:cs="Times New Roman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sz w:val="32"/>
                <w:szCs w:val="24"/>
              </w:rPr>
              <w:t>万元，货物类</w:t>
            </w:r>
            <w:r>
              <w:rPr>
                <w:rFonts w:hint="eastAsia" w:ascii="宋体" w:hAnsi="宋体" w:cs="Times New Roman"/>
                <w:sz w:val="32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cs="Times New Roman"/>
                <w:sz w:val="32"/>
                <w:szCs w:val="24"/>
              </w:rPr>
              <w:t>万元，服务类1537.68万元</w:t>
            </w:r>
            <w:r>
              <w:rPr>
                <w:rFonts w:hint="eastAsia" w:ascii="宋体" w:hAnsi="宋体"/>
                <w:sz w:val="32"/>
                <w:szCs w:val="24"/>
              </w:rPr>
              <w:t>。（没有政府采购预算的也需要说明：2023年度本部门未安排政府采购预算。）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截至上年底，本部门共有车辆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32"/>
                <w:szCs w:val="24"/>
              </w:rPr>
              <w:t xml:space="preserve">台。 </w:t>
            </w:r>
          </w:p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2023年拟报废处置车辆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辆，其中：报废处置领导干部用车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台，报废处置单位价值100万元以上通用设备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台。拟新增配置车辆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辆，主要用于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32"/>
                <w:szCs w:val="24"/>
              </w:rPr>
              <w:t>，资金来源为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32"/>
                <w:szCs w:val="24"/>
              </w:rPr>
              <w:t>。</w:t>
            </w:r>
          </w:p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2023年拟新增配备领导干部用车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辆，新增配备单位价值50万元以上通用设备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台。2023年度本部门未计划处置或新增车辆、设备等。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  本部门所有支出实行绩效目标管理。纳入2023年部门整体支出绩效目标的金额为1502.79万元，其中，基本支出802.79万元，项目支出700.00万元，详见文尾附表中部门预算公开表格的表21-22。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2023年部门预算公开表格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22、部门整体支出绩效目标表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24"/>
              </w:rPr>
              <w:t>注：以上部门预算公开报表中，空表表示本部门无相关收支情况。</w:t>
            </w:r>
          </w:p>
        </w:tc>
      </w:tr>
    </w:tbl>
    <w:p>
      <w:pPr>
        <w:rPr>
          <w:rFonts w:hint="default"/>
          <w:sz w:val="24"/>
          <w:szCs w:val="24"/>
        </w:rPr>
      </w:pPr>
    </w:p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2UwNzk5ODY1YmQwODNmNzkyZDM5ZGZmNTY4MjkifQ=="/>
    <w:docVar w:name="KSO_WPS_MARK_KEY" w:val="61d20531-fdfe-4340-81c7-3e6cc5da3ac7"/>
  </w:docVars>
  <w:rsids>
    <w:rsidRoot w:val="00172A27"/>
    <w:rsid w:val="1FE67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color w:val="000000"/>
      <w:sz w:val="26"/>
      <w:szCs w:val="24"/>
    </w:rPr>
  </w:style>
  <w:style w:type="character" w:default="1" w:styleId="7">
    <w:name w:val="Default Paragraph Font"/>
    <w:unhideWhenUsed/>
    <w:uiPriority w:val="99"/>
    <w:rPr>
      <w:rFonts w:hint="default"/>
      <w:sz w:val="24"/>
      <w:szCs w:val="24"/>
    </w:rPr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hint="default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2024-06-28T08:20:19Z</dcterms:created>
  <dc:creator>Administrator</dc:creator>
  <cp:lastModifiedBy>李铃</cp:lastModifiedBy>
  <dcterms:modified xsi:type="dcterms:W3CDTF">2024-06-28T08:20:32Z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C34568DEA0864750A69ADF226EA37E3B_13</vt:lpwstr>
  </property>
</Properties>
</file>