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7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86.67%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5.42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5.45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4.72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4.45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4.72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4.45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0.70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676.05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815.07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8.90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、办案费支出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6.15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、环境监测、监控及监察能力建设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15.00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环境监察监测等运行经费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34.99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620.00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764.30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2020中央水污染防治专项（钱粮湖垸黑臭河道湖泊及水塘综合治理）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600.00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350.00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2022年省级农村生态环境保护专项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2022年中央重点生态保护修复治理（东洞庭湖滨带君山工濠河水环境综合治理项目）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414.30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212.7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35.73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48.35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205.58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24.85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5.83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1.29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227.67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184.48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43.02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61.23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16"/>
          <w:szCs w:val="18"/>
          <w:highlight w:val="none"/>
        </w:rPr>
      </w:pPr>
      <w:r>
        <w:rPr>
          <w:rFonts w:hint="default" w:ascii="Times New Roman" w:hAnsi="Times New Roman" w:eastAsia="仿宋_GB2312" w:cs="Times New Roman"/>
          <w:sz w:val="16"/>
          <w:szCs w:val="18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7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75"/>
        <w:gridCol w:w="1027"/>
        <w:gridCol w:w="1265"/>
        <w:gridCol w:w="1310"/>
        <w:gridCol w:w="1264"/>
        <w:gridCol w:w="714"/>
        <w:gridCol w:w="916"/>
        <w:gridCol w:w="14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0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岳阳市生态环境局君山分局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189.71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866.71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1050.25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100.00%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253.14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235.18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815.07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613.57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“春风行动”“夏季攻势”“利剑行动”和“守护蓝天”四大专项生态环保工作有序开展，辖区环境质量不断改善提升，污染防治攻坚考核明显提档进位，全区未发生较大以上的环境污染事件和生态破坏事件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水污染质量持续改善；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总磷削减项目“攻坚战”有序推进；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打响生态保护阵地战，确保生态功能区考核稳步向好；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5、加大日常环境执法，严厉打击违法行为，不断强化环境监管。　　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Calibri" w:eastAsia="仿宋_GB2312" w:cs="Times New Roman"/>
                <w:kern w:val="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环境资料持续向好。水环境方面，我区三个主要断面均达到目标水质；大气方面，我区空气质量优良率为86.4%，各项污染物指标基本达到了考核要求；土壤方面，规模化畜禽养殖粪污利用率、受污染耕地安全利用率、医疗废物安全无害化处置率及一般工业固体废物综合利用率均为100%</w:t>
            </w:r>
            <w:r>
              <w:rPr>
                <w:rFonts w:ascii="仿宋_GB2312" w:hAnsi="Calibri" w:eastAsia="仿宋_GB2312" w:cs="Times New Roman"/>
                <w:kern w:val="2"/>
                <w:sz w:val="32"/>
                <w:szCs w:val="32"/>
              </w:rPr>
              <w:t>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2、始终坚持把生态文明建设和生态环境保护摆在重要位置，坚定不移走生态优先、绿色发展之路，积极宣传生态环境保护理念，筹办了“绿水青山·大美君山”生态主题大型宣传活动，引导人们增强生态文明建设的思想自觉和行动自觉。</w:t>
            </w:r>
          </w:p>
          <w:p>
            <w:pPr>
              <w:pStyle w:val="3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3、打好污染防治攻坚战。一是重点突出蓝天保卫战。深入开展涉气企业“零点行动”专项整治，全面推行空气质量全过程管控，持续深化联合执法行动等，紧盯空气质量数据变化，紧扣重点时段重点区域，形成大气环境严管严控的高压态势。二是扎实开展碧水保卫战。不断深化河（湖）长制工作，全力开展“碧水攻坚行动”“洞庭清波”“河道保洁”“清河净滩”等活动，完成长江外滩欧美黑杨清退任务和河湖干渠水葫芦清理工作，推进排污口整治工作，完成整改销号工作。三是稳步推进净土保卫战。加强建设用地土壤环境监管工作，制止违法侵占耕地行为，开展耕地“非农化”“非粮化”专项整治行动。</w:t>
            </w:r>
          </w:p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4、坚持服务优先，不断提升环境管理水平。督促各工业企业严格落实排污许可证制度，开展排污许可证的质量核查，助力绿色发展转型；组织开展防范化解环境风险隐患利剑行动、大气污染防治特护期专项执法行动，积极推进“双随机”执法机制，严格环境监察执法；着力解决群众关注重点问题，落实信访工作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办理生态环境类执法案件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2023年罚没征收任务数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20万元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20.71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万元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2023年“夏季攻势”任务清单任务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20项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本区环保工作信访处理率、议案提案处理率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各种整治符合环保标准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按时完成各项指标任务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2023-12-31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7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办案费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岳阳市生态环境局君山分局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3.22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3.22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3.22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3.22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完成执收目标20万元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2023年罚没征收任务数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20.71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万元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确实罚没收入100%完成任务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罚没任务完成率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按时完成各项指标任务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支出控制在预算内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2.00万元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3.22万元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要控制支出在预算范围内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促进经济发展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平稳发展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改善居民生产、生活环境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有所提升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城区空气质量优良率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大于等于90%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有所提升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社会可持续发展良好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效益明显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效益明显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君山区全体人民群众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大于等于95%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Arial" w:hAnsi="Arial" w:cs="Arial"/>
                <w:color w:val="000000"/>
                <w:sz w:val="20"/>
              </w:rPr>
              <w:t>≥</w:t>
            </w:r>
            <w:r>
              <w:rPr>
                <w:rFonts w:hint="eastAsia" w:ascii="Arial"/>
                <w:color w:val="000000"/>
                <w:sz w:val="20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</w:p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7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环境监察监测等运行经费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岳阳市生态环境局君山分局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34.99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34.99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34.99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34.99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日常环境监管、执法工作；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委托第三方进行执法性监督监测；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环保迎检、应急处置经费；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4、节能环保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宣传费用。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办理生态环境类执法案件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各种整治符合环保标准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按时完成各项指标任务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支出控制在预算内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平稳发展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改善居民生产、生活环境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有所提升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城区空气质量优良率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有所提升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持续改善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持续改善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君山区全体人民群众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default" w:ascii="Arial" w:hAnsi="Arial" w:eastAsia="宋体" w:cs="Arial"/>
                <w:color w:val="000000"/>
                <w:sz w:val="20"/>
              </w:rPr>
              <w:t>≥</w:t>
            </w:r>
            <w:r>
              <w:rPr>
                <w:rFonts w:hint="eastAsia" w:ascii="Arial" w:eastAsia="宋体"/>
                <w:color w:val="000000"/>
                <w:sz w:val="20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年度岳阳市生态环境局君山分局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部门（单位）名称：岳阳市生态环境局君山分局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年度岳阳市生态环境局君山分局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1、受市生态环境局委托，承担辖区内的生态环境相关工作；承担市生态环境局和区管委会交办的其他任务。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2、负责本辖区内重点污染源在线监控系统现场监督管理；负责受理和办理生态环境保护举报（信访），负责生态环境信访维稳事件的现场调查处置工作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负责本辖区生态环境质量监测、执法监测、污染源监测和应急监测；负责辖区内生态文明示范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创建。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君山</w:t>
      </w:r>
      <w:r>
        <w:rPr>
          <w:rFonts w:hint="eastAsia" w:ascii="仿宋_GB2312" w:hAnsi="仿宋_GB2312" w:eastAsia="仿宋_GB2312" w:cs="仿宋_GB2312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态</w:t>
      </w:r>
      <w:r>
        <w:rPr>
          <w:rFonts w:hint="eastAsia" w:ascii="仿宋_GB2312" w:hAnsi="仿宋_GB2312" w:eastAsia="仿宋_GB2312" w:cs="仿宋_GB2312"/>
          <w:sz w:val="32"/>
          <w:szCs w:val="32"/>
        </w:rPr>
        <w:t>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境</w:t>
      </w:r>
      <w:r>
        <w:rPr>
          <w:rFonts w:hint="eastAsia" w:ascii="仿宋_GB2312" w:hAnsi="仿宋_GB2312" w:eastAsia="仿宋_GB2312" w:cs="仿宋_GB2312"/>
          <w:sz w:val="32"/>
          <w:szCs w:val="32"/>
        </w:rPr>
        <w:t>分局属岳阳市生态环境局二级机构。根据分局的整体情况，分局下设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个股室（办公室、监察大队、管理股、法制股）。分局目前在编人员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本科及以上学历占90%以上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我分局202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202.37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人员经费168.73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公用经费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33.64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万元。</w:t>
      </w:r>
    </w:p>
    <w:p>
      <w:pPr>
        <w:pStyle w:val="6"/>
        <w:widowControl/>
        <w:wordWrap w:val="0"/>
        <w:snapToGrid w:val="0"/>
        <w:spacing w:before="150" w:after="150" w:line="620" w:lineRule="exact"/>
        <w:ind w:firstLine="640" w:firstLineChars="200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三公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合计4.57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3.88万元与上年度基本持平，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实现了</w:t>
      </w:r>
      <w:r>
        <w:rPr>
          <w:rFonts w:hint="eastAsia" w:ascii="仿宋_GB2312" w:hAnsi="仿宋_GB2312" w:eastAsia="仿宋_GB2312" w:cs="仿宋_GB2312"/>
          <w:sz w:val="32"/>
          <w:szCs w:val="32"/>
        </w:rPr>
        <w:t>厉行节约的宗旨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公务用车购置费0万元；因公出国费0万元。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widowControl/>
        <w:spacing w:line="600" w:lineRule="exact"/>
        <w:ind w:firstLine="640" w:firstLineChars="200"/>
        <w:rPr>
          <w:rFonts w:hint="default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2023年项目支出年初预算数为2.00万元，决算实际支出数为50.77万元。主要用于业务工作经费、办案费支出、环境监测、监控及监察能力建设、环境监察监测等运行经费等方面。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三、政府性基金预算支出情况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年本单位没有使用政府性基金预算安排的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（一）部门资金情况分析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我局2023年预算资金总额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1266.70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万元，专项经费实行专款专用，严格按照相关规定支付，资金支付合规合法，资金使用率100%。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（二）项目绩效指标完成情况分析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1.履职效能情况分析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2023年以来，我区三个主要断面均达到目标水质，在全市“碧水攻坚战”考核通报中，我区水质综合指数（CWQI）排名全市第二；水质综合变化指数(△CWQI)排名全市第三；在水质保证金奖惩工作中，我区是全市唯一一个未被扣缴水质保障金的县市区。2023年1-11月，我区空气质量优良率为86.4%，排名城区第二；主要污染物PM2.5浓度为39μg/m3，同比下降3μg/m3；PM10浓度为55μg/m3，各项污染物指标基本达到了考核要求。2023年以来，规模化畜禽养殖粪污利用率、受污染耕地安全利用率、医疗废物安全无害化处置率及一般工业固体废物综合利用率均为100%，未发生较大及以上土壤污染事件，土壤环境质量总体平稳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2.管理效率情况分析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预算编制完整，专项资金细化率、预算执行率达到标准，预算调整率偏高，主要原因是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节能环保支出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。收入支出管理规范，内控制度有效，资产管理规范，部门固定资产利用率符合目标，信息化建设和管理制度建设有效。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3.运行成本控制情况分析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“三公经费”、公用经费均控制在预算范围内，项目支出有所超出预算，原因在于本年度县区财政项目经费增多。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4.服务满意度指标完成情况分析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全面实行重大环境信访案件集体研究，着力解决群众关注重点问题，2023年共处理信访投诉70件，及时答复率100%。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5.可持续性影响情况分析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区委、区政府高度重视环保领域工作，始终坚持把生态文明建设和生态环境保护摆在重要位置，坚定不移走生态优先、绿色发展之路。区委常委会、区政府常务会先后8次对生态环保领域相关工作进行专题学习、研究和部署；区委理论学习中心组3次把践行“两山”理论、碳达峰碳中和、碳经济纳入学习内容，着力提升领导干部环保意识和理念；区委、区政府坚决扛牢“守护好一江碧水”首倡地的政治责任，开展了“4·25”五周年系列纪念活动，并在首个全国生态日筹办了“绿水青山·大美君山”生态主题大型宣传活动，引导人们增强生态文明建设的思想自觉和行动自觉，积极参与生态环境保护和建设事业；区委、区政府主要负责人多次深入现场调研督导全区环境问题整改，全面压实整改责任，形成了生态环境保护工作合力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存在问题个别项目资金使用方面预算与实际存在差异。问题产生的主要原因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绩效管理水平有待提高，特别是绩效指标设置的科学性、合理性有待进一步改善。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加强财务管理，严格财务审批。在费用报账支付时，按照预算规定的费用项目和用途进行资金使用、审核，列报支付，财务核算杜绝超支现象的发生。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default"/>
        </w:rPr>
      </w:pPr>
      <w:r>
        <w:rPr>
          <w:rFonts w:hint="default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加强培训。建议多开展部门整体绩效评价工作的业务工作培训，组织开展部门之间、单位之间的经验交流，特别是要组织非财务部门的人员参与评价工作，切实推进绩效评价工作的开展。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lang w:val="en-US" w:eastAsia="zh-CN"/>
        </w:rPr>
        <w:t>本单位高度重视预算支出绩效自评工作，积极落实主体责任，成立预算绩效管理领导小组，加强组织领导，按照绩效管理工作方案和绩效评价相关制度规定，认真开展自评，确保绩效自评工作顺利实施，并按照要求进行信息公开，对存在的问题积极整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十、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-SA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71AFF4"/>
    <w:multiLevelType w:val="singleLevel"/>
    <w:tmpl w:val="D471AFF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6961419"/>
    <w:multiLevelType w:val="singleLevel"/>
    <w:tmpl w:val="D696141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B9CB6EC"/>
    <w:multiLevelType w:val="singleLevel"/>
    <w:tmpl w:val="0B9CB6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8C5804B"/>
    <w:multiLevelType w:val="singleLevel"/>
    <w:tmpl w:val="28C5804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C541453"/>
    <w:multiLevelType w:val="singleLevel"/>
    <w:tmpl w:val="7C54145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59886344"/>
    <w:rsid w:val="02B3536B"/>
    <w:rsid w:val="03906A9D"/>
    <w:rsid w:val="04AF5B15"/>
    <w:rsid w:val="05BC4D2C"/>
    <w:rsid w:val="062E1DC0"/>
    <w:rsid w:val="085207C5"/>
    <w:rsid w:val="0A5922DF"/>
    <w:rsid w:val="0B575DFD"/>
    <w:rsid w:val="0C177D5B"/>
    <w:rsid w:val="0C9F5F62"/>
    <w:rsid w:val="0D8F7523"/>
    <w:rsid w:val="0FB93992"/>
    <w:rsid w:val="10274C2E"/>
    <w:rsid w:val="107F04D7"/>
    <w:rsid w:val="12083B55"/>
    <w:rsid w:val="14092680"/>
    <w:rsid w:val="157F52EF"/>
    <w:rsid w:val="15F31839"/>
    <w:rsid w:val="175D340E"/>
    <w:rsid w:val="176C7BC4"/>
    <w:rsid w:val="17B635A4"/>
    <w:rsid w:val="1CBC3BF4"/>
    <w:rsid w:val="1F06438B"/>
    <w:rsid w:val="1F413203"/>
    <w:rsid w:val="242C3BC7"/>
    <w:rsid w:val="256B2DF1"/>
    <w:rsid w:val="25DD6BD2"/>
    <w:rsid w:val="27BB437C"/>
    <w:rsid w:val="28ED26BA"/>
    <w:rsid w:val="28F05023"/>
    <w:rsid w:val="2937299B"/>
    <w:rsid w:val="2E900890"/>
    <w:rsid w:val="2ECB4CA9"/>
    <w:rsid w:val="30B5176D"/>
    <w:rsid w:val="320F75A3"/>
    <w:rsid w:val="32E15811"/>
    <w:rsid w:val="34D716E8"/>
    <w:rsid w:val="35521C81"/>
    <w:rsid w:val="3671332B"/>
    <w:rsid w:val="36CD315B"/>
    <w:rsid w:val="374359F5"/>
    <w:rsid w:val="381866B2"/>
    <w:rsid w:val="38FA68B7"/>
    <w:rsid w:val="396D6ECE"/>
    <w:rsid w:val="3A3D1E2F"/>
    <w:rsid w:val="3AF83CC4"/>
    <w:rsid w:val="3B983D25"/>
    <w:rsid w:val="3BA10975"/>
    <w:rsid w:val="3E466385"/>
    <w:rsid w:val="3E962DA7"/>
    <w:rsid w:val="40E340D5"/>
    <w:rsid w:val="41FE7878"/>
    <w:rsid w:val="422F4422"/>
    <w:rsid w:val="433E1A96"/>
    <w:rsid w:val="44D212C3"/>
    <w:rsid w:val="465B01B9"/>
    <w:rsid w:val="49C017D1"/>
    <w:rsid w:val="49DB676B"/>
    <w:rsid w:val="4D5657A6"/>
    <w:rsid w:val="4DC4528E"/>
    <w:rsid w:val="4F5A491C"/>
    <w:rsid w:val="4FF74449"/>
    <w:rsid w:val="50992BDB"/>
    <w:rsid w:val="50D7196A"/>
    <w:rsid w:val="50E13A61"/>
    <w:rsid w:val="51805883"/>
    <w:rsid w:val="534D72F9"/>
    <w:rsid w:val="540D56D8"/>
    <w:rsid w:val="542C5C61"/>
    <w:rsid w:val="55164621"/>
    <w:rsid w:val="55715C3B"/>
    <w:rsid w:val="55A26C31"/>
    <w:rsid w:val="571526B6"/>
    <w:rsid w:val="585711D8"/>
    <w:rsid w:val="586D5502"/>
    <w:rsid w:val="5886386C"/>
    <w:rsid w:val="59886344"/>
    <w:rsid w:val="5B9938B6"/>
    <w:rsid w:val="5BF60D08"/>
    <w:rsid w:val="5FBE7D8F"/>
    <w:rsid w:val="60B91957"/>
    <w:rsid w:val="61F21F72"/>
    <w:rsid w:val="62261C1B"/>
    <w:rsid w:val="63807109"/>
    <w:rsid w:val="640A65E4"/>
    <w:rsid w:val="65735178"/>
    <w:rsid w:val="67346B89"/>
    <w:rsid w:val="67EE3325"/>
    <w:rsid w:val="692549DB"/>
    <w:rsid w:val="6ADE12E5"/>
    <w:rsid w:val="6D062D75"/>
    <w:rsid w:val="6FFF6D03"/>
    <w:rsid w:val="70826EAE"/>
    <w:rsid w:val="71DD22F7"/>
    <w:rsid w:val="72795E7F"/>
    <w:rsid w:val="7420296E"/>
    <w:rsid w:val="74980757"/>
    <w:rsid w:val="768A032C"/>
    <w:rsid w:val="77505319"/>
    <w:rsid w:val="787B63C5"/>
    <w:rsid w:val="7BA7012C"/>
    <w:rsid w:val="7C0D37D8"/>
    <w:rsid w:val="7EF82E56"/>
    <w:rsid w:val="7F736048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oc 5"/>
    <w:basedOn w:val="1"/>
    <w:next w:val="1"/>
    <w:autoRedefine/>
    <w:qFormat/>
    <w:uiPriority w:val="0"/>
    <w:pPr>
      <w:ind w:left="1680" w:leftChars="800"/>
    </w:p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styleId="6">
    <w:name w:val="Normal (Web)"/>
    <w:autoRedefine/>
    <w:qFormat/>
    <w:uiPriority w:val="99"/>
    <w:pPr>
      <w:widowControl w:val="0"/>
      <w:spacing w:line="432" w:lineRule="auto"/>
      <w:jc w:val="left"/>
    </w:pPr>
    <w:rPr>
      <w:rFonts w:ascii="仿宋" w:hAnsi="仿宋" w:eastAsia="宋体" w:cs="Times New Roman"/>
      <w:kern w:val="0"/>
      <w:sz w:val="24"/>
      <w:szCs w:val="24"/>
      <w:lang w:val="en-US" w:eastAsia="zh-CN" w:bidi="ar-SA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5075</Words>
  <Characters>5690</Characters>
  <Lines>0</Lines>
  <Paragraphs>0</Paragraphs>
  <TotalTime>0</TotalTime>
  <ScaleCrop>false</ScaleCrop>
  <LinksUpToDate>false</LinksUpToDate>
  <CharactersWithSpaces>5980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Gat</cp:lastModifiedBy>
  <dcterms:modified xsi:type="dcterms:W3CDTF">2024-06-27T04:12:53Z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3C3E1755A29B4B668806C5333F0C1A41_13</vt:lpwstr>
  </property>
</Properties>
</file>