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20" w:afterLines="50" w:line="600" w:lineRule="exact"/>
        <w:jc w:val="both"/>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eastAsia="zh-CN"/>
        </w:rPr>
        <w:t>附件</w:t>
      </w:r>
      <w:r>
        <w:rPr>
          <w:rFonts w:hint="eastAsia" w:ascii="黑体" w:hAnsi="黑体" w:eastAsia="黑体" w:cs="黑体"/>
          <w:sz w:val="32"/>
          <w:szCs w:val="32"/>
          <w:highlight w:val="none"/>
          <w:lang w:val="en-US" w:eastAsia="zh-CN"/>
        </w:rPr>
        <w:t>1</w:t>
      </w:r>
    </w:p>
    <w:p>
      <w:pPr>
        <w:spacing w:after="120" w:afterLines="50" w:line="600" w:lineRule="exact"/>
        <w:jc w:val="center"/>
        <w:rPr>
          <w:rFonts w:hint="eastAsia" w:ascii="方正小标宋简体" w:hAnsi="方正小标宋简体" w:eastAsia="方正小标宋简体" w:cs="方正小标宋简体"/>
          <w:sz w:val="24"/>
          <w:highlight w:val="none"/>
        </w:rPr>
      </w:pPr>
      <w:r>
        <w:rPr>
          <w:rFonts w:hint="eastAsia" w:ascii="方正小标宋简体" w:hAnsi="方正小标宋简体" w:eastAsia="方正小标宋简体" w:cs="方正小标宋简体"/>
          <w:sz w:val="36"/>
          <w:szCs w:val="36"/>
          <w:highlight w:val="none"/>
        </w:rPr>
        <w:t>202</w:t>
      </w:r>
      <w:r>
        <w:rPr>
          <w:rFonts w:hint="eastAsia" w:ascii="方正小标宋简体" w:hAnsi="方正小标宋简体" w:eastAsia="方正小标宋简体" w:cs="方正小标宋简体"/>
          <w:sz w:val="36"/>
          <w:szCs w:val="36"/>
          <w:highlight w:val="none"/>
          <w:lang w:val="en-US" w:eastAsia="zh-CN"/>
        </w:rPr>
        <w:t>3</w:t>
      </w:r>
      <w:r>
        <w:rPr>
          <w:rFonts w:hint="eastAsia" w:ascii="方正小标宋简体" w:hAnsi="方正小标宋简体" w:eastAsia="方正小标宋简体" w:cs="方正小标宋简体"/>
          <w:sz w:val="36"/>
          <w:szCs w:val="36"/>
          <w:highlight w:val="none"/>
        </w:rPr>
        <w:t>年度部门整体支出绩效评价基础数据表</w:t>
      </w:r>
    </w:p>
    <w:tbl>
      <w:tblPr>
        <w:tblStyle w:val="4"/>
        <w:tblW w:w="9673" w:type="dxa"/>
        <w:jc w:val="center"/>
        <w:tblLayout w:type="fixed"/>
        <w:tblCellMar>
          <w:top w:w="0" w:type="dxa"/>
          <w:left w:w="108" w:type="dxa"/>
          <w:bottom w:w="0" w:type="dxa"/>
          <w:right w:w="108" w:type="dxa"/>
        </w:tblCellMar>
      </w:tblPr>
      <w:tblGrid>
        <w:gridCol w:w="3354"/>
        <w:gridCol w:w="1189"/>
        <w:gridCol w:w="849"/>
        <w:gridCol w:w="1129"/>
        <w:gridCol w:w="1111"/>
        <w:gridCol w:w="1081"/>
        <w:gridCol w:w="960"/>
      </w:tblGrid>
      <w:tr>
        <w:tblPrEx>
          <w:tblCellMar>
            <w:top w:w="0" w:type="dxa"/>
            <w:left w:w="108" w:type="dxa"/>
            <w:bottom w:w="0" w:type="dxa"/>
            <w:right w:w="108" w:type="dxa"/>
          </w:tblCellMar>
        </w:tblPrEx>
        <w:trPr>
          <w:trHeight w:val="0" w:hRule="atLeast"/>
          <w:jc w:val="center"/>
        </w:trPr>
        <w:tc>
          <w:tcPr>
            <w:tcW w:w="3354"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财政供养人员情况（人）</w:t>
            </w:r>
          </w:p>
        </w:tc>
        <w:tc>
          <w:tcPr>
            <w:tcW w:w="2038"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编制数</w:t>
            </w:r>
          </w:p>
        </w:tc>
        <w:tc>
          <w:tcPr>
            <w:tcW w:w="2240"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202</w:t>
            </w:r>
            <w:r>
              <w:rPr>
                <w:rFonts w:hint="eastAsia" w:ascii="仿宋_GB2312" w:hAnsi="仿宋_GB2312" w:eastAsia="仿宋_GB2312" w:cs="仿宋_GB2312"/>
                <w:b/>
                <w:bCs/>
                <w:sz w:val="20"/>
                <w:szCs w:val="20"/>
                <w:highlight w:val="none"/>
                <w:lang w:val="en-US" w:eastAsia="zh-CN"/>
              </w:rPr>
              <w:t>3</w:t>
            </w:r>
            <w:r>
              <w:rPr>
                <w:rFonts w:hint="eastAsia" w:ascii="仿宋_GB2312" w:hAnsi="仿宋_GB2312" w:eastAsia="仿宋_GB2312" w:cs="仿宋_GB2312"/>
                <w:b/>
                <w:bCs/>
                <w:sz w:val="20"/>
                <w:szCs w:val="20"/>
                <w:highlight w:val="none"/>
              </w:rPr>
              <w:t>年实际在职人数</w:t>
            </w:r>
          </w:p>
        </w:tc>
        <w:tc>
          <w:tcPr>
            <w:tcW w:w="2041"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控制率</w:t>
            </w:r>
          </w:p>
        </w:tc>
      </w:tr>
      <w:tr>
        <w:tblPrEx>
          <w:tblCellMar>
            <w:top w:w="0" w:type="dxa"/>
            <w:left w:w="108" w:type="dxa"/>
            <w:bottom w:w="0" w:type="dxa"/>
            <w:right w:w="108" w:type="dxa"/>
          </w:tblCellMar>
        </w:tblPrEx>
        <w:trPr>
          <w:trHeight w:val="0" w:hRule="atLeast"/>
          <w:jc w:val="center"/>
        </w:trPr>
        <w:tc>
          <w:tcPr>
            <w:tcW w:w="335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p>
        </w:tc>
        <w:tc>
          <w:tcPr>
            <w:tcW w:w="2038"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92</w:t>
            </w:r>
          </w:p>
        </w:tc>
        <w:tc>
          <w:tcPr>
            <w:tcW w:w="2240"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92</w:t>
            </w:r>
          </w:p>
        </w:tc>
        <w:tc>
          <w:tcPr>
            <w:tcW w:w="2041"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100.00%</w:t>
            </w:r>
            <w:r>
              <w:rPr>
                <w:rFonts w:hint="eastAsia" w:ascii="仿宋_GB2312" w:hAnsi="仿宋_GB2312" w:eastAsia="仿宋_GB2312" w:cs="仿宋_GB2312"/>
                <w:sz w:val="20"/>
                <w:szCs w:val="20"/>
                <w:highlight w:val="none"/>
              </w:rPr>
              <w:t>　</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经费控制情况（万元）</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202</w:t>
            </w:r>
            <w:r>
              <w:rPr>
                <w:rFonts w:hint="eastAsia" w:ascii="仿宋_GB2312" w:hAnsi="仿宋_GB2312" w:eastAsia="仿宋_GB2312" w:cs="仿宋_GB2312"/>
                <w:b/>
                <w:bCs/>
                <w:sz w:val="20"/>
                <w:szCs w:val="20"/>
                <w:highlight w:val="none"/>
                <w:lang w:val="en-US" w:eastAsia="zh-CN"/>
              </w:rPr>
              <w:t>2</w:t>
            </w:r>
            <w:r>
              <w:rPr>
                <w:rFonts w:hint="eastAsia" w:ascii="仿宋_GB2312" w:hAnsi="仿宋_GB2312" w:eastAsia="仿宋_GB2312" w:cs="仿宋_GB2312"/>
                <w:b/>
                <w:bCs/>
                <w:sz w:val="20"/>
                <w:szCs w:val="20"/>
                <w:highlight w:val="none"/>
              </w:rPr>
              <w:t>年决算数</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202</w:t>
            </w:r>
            <w:r>
              <w:rPr>
                <w:rFonts w:hint="eastAsia" w:ascii="仿宋_GB2312" w:hAnsi="仿宋_GB2312" w:eastAsia="仿宋_GB2312" w:cs="仿宋_GB2312"/>
                <w:b/>
                <w:bCs/>
                <w:sz w:val="20"/>
                <w:szCs w:val="20"/>
                <w:highlight w:val="none"/>
                <w:lang w:val="en-US" w:eastAsia="zh-CN"/>
              </w:rPr>
              <w:t>3</w:t>
            </w:r>
            <w:r>
              <w:rPr>
                <w:rFonts w:hint="eastAsia" w:ascii="仿宋_GB2312" w:hAnsi="仿宋_GB2312" w:eastAsia="仿宋_GB2312" w:cs="仿宋_GB2312"/>
                <w:b/>
                <w:bCs/>
                <w:sz w:val="20"/>
                <w:szCs w:val="20"/>
                <w:highlight w:val="none"/>
              </w:rPr>
              <w:t>年预算数</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202</w:t>
            </w:r>
            <w:r>
              <w:rPr>
                <w:rFonts w:hint="eastAsia" w:ascii="仿宋_GB2312" w:hAnsi="仿宋_GB2312" w:eastAsia="仿宋_GB2312" w:cs="仿宋_GB2312"/>
                <w:b/>
                <w:bCs/>
                <w:sz w:val="20"/>
                <w:szCs w:val="20"/>
                <w:highlight w:val="none"/>
                <w:lang w:val="en-US" w:eastAsia="zh-CN"/>
              </w:rPr>
              <w:t>3</w:t>
            </w:r>
            <w:r>
              <w:rPr>
                <w:rFonts w:hint="eastAsia" w:ascii="仿宋_GB2312" w:hAnsi="仿宋_GB2312" w:eastAsia="仿宋_GB2312" w:cs="仿宋_GB2312"/>
                <w:b/>
                <w:bCs/>
                <w:sz w:val="20"/>
                <w:szCs w:val="20"/>
                <w:highlight w:val="none"/>
              </w:rPr>
              <w:t>年决算数</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三公经费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11.35</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10.00</w:t>
            </w:r>
            <w:r>
              <w:rPr>
                <w:rFonts w:hint="eastAsia" w:ascii="仿宋_GB2312" w:hAnsi="仿宋_GB2312" w:eastAsia="仿宋_GB2312" w:cs="仿宋_GB2312"/>
                <w:sz w:val="20"/>
                <w:szCs w:val="20"/>
                <w:highlight w:val="none"/>
              </w:rPr>
              <w:t>　</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8.20</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1、公务用车购置和维护经费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kern w:val="0"/>
                <w:sz w:val="20"/>
                <w:szCs w:val="20"/>
                <w:highlight w:val="none"/>
                <w:lang w:val="en-US" w:eastAsia="zh-CN" w:bidi="ar-SA"/>
              </w:rPr>
            </w:pPr>
            <w:r>
              <w:rPr>
                <w:rFonts w:hint="eastAsia" w:ascii="仿宋_GB2312" w:hAnsi="仿宋_GB2312" w:eastAsia="仿宋_GB2312" w:cs="仿宋_GB2312"/>
                <w:kern w:val="0"/>
                <w:sz w:val="20"/>
                <w:szCs w:val="20"/>
                <w:highlight w:val="none"/>
                <w:lang w:val="en-US" w:eastAsia="zh-CN" w:bidi="ar-SA"/>
              </w:rPr>
              <w:t>3.50</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kern w:val="0"/>
                <w:sz w:val="20"/>
                <w:szCs w:val="20"/>
                <w:highlight w:val="none"/>
                <w:lang w:val="en-US" w:eastAsia="zh-CN" w:bidi="ar-SA"/>
              </w:rPr>
            </w:pPr>
            <w:r>
              <w:rPr>
                <w:rFonts w:hint="eastAsia" w:ascii="仿宋_GB2312" w:hAnsi="仿宋_GB2312" w:eastAsia="仿宋_GB2312" w:cs="仿宋_GB2312"/>
                <w:kern w:val="0"/>
                <w:sz w:val="20"/>
                <w:szCs w:val="20"/>
                <w:highlight w:val="none"/>
                <w:lang w:val="en-US" w:eastAsia="zh-CN" w:bidi="ar-SA"/>
              </w:rPr>
              <w:t>3.00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kern w:val="0"/>
                <w:sz w:val="20"/>
                <w:szCs w:val="20"/>
                <w:highlight w:val="none"/>
                <w:lang w:val="en-US" w:eastAsia="zh-CN" w:bidi="ar-SA"/>
              </w:rPr>
            </w:pPr>
            <w:r>
              <w:rPr>
                <w:rFonts w:hint="eastAsia" w:ascii="仿宋_GB2312" w:hAnsi="仿宋_GB2312" w:eastAsia="仿宋_GB2312" w:cs="仿宋_GB2312"/>
                <w:kern w:val="0"/>
                <w:sz w:val="20"/>
                <w:szCs w:val="20"/>
                <w:highlight w:val="none"/>
                <w:lang w:val="en-US" w:eastAsia="zh-CN" w:bidi="ar-SA"/>
              </w:rPr>
              <w:t>1.32</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其中：公车购置</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公车运行维护</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3.50</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3.00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1.32</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2、出国经费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p>
        </w:tc>
      </w:tr>
      <w:tr>
        <w:tblPrEx>
          <w:tblCellMar>
            <w:top w:w="0" w:type="dxa"/>
            <w:left w:w="108" w:type="dxa"/>
            <w:bottom w:w="0" w:type="dxa"/>
            <w:right w:w="108" w:type="dxa"/>
          </w:tblCellMar>
        </w:tblPrEx>
        <w:trPr>
          <w:trHeight w:val="304"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3、公务接待</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7.85</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7.00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6.88</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项目支出：</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4297.73</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342.57</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3823.00</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lang w:eastAsia="zh-CN"/>
              </w:rPr>
            </w:pPr>
            <w:r>
              <w:rPr>
                <w:rFonts w:hint="eastAsia" w:ascii="仿宋_GB2312" w:hAnsi="仿宋_GB2312" w:eastAsia="仿宋_GB2312" w:cs="仿宋_GB2312"/>
                <w:sz w:val="20"/>
                <w:szCs w:val="20"/>
                <w:highlight w:val="none"/>
              </w:rPr>
              <w:t xml:space="preserve">    1、</w:t>
            </w:r>
            <w:r>
              <w:rPr>
                <w:rFonts w:hint="eastAsia" w:ascii="仿宋_GB2312" w:hAnsi="仿宋_GB2312" w:eastAsia="仿宋_GB2312" w:cs="仿宋_GB2312"/>
                <w:sz w:val="20"/>
                <w:szCs w:val="20"/>
                <w:highlight w:val="none"/>
                <w:lang w:eastAsia="zh-CN"/>
              </w:rPr>
              <w:t>业务工作经费</w:t>
            </w:r>
          </w:p>
        </w:tc>
        <w:tc>
          <w:tcPr>
            <w:tcW w:w="2038" w:type="dxa"/>
            <w:gridSpan w:val="2"/>
            <w:tcBorders>
              <w:top w:val="single" w:color="auto" w:sz="4" w:space="0"/>
              <w:left w:val="nil"/>
              <w:bottom w:val="single" w:color="auto" w:sz="4" w:space="0"/>
              <w:right w:val="single" w:color="000000" w:sz="4" w:space="0"/>
            </w:tcBorders>
            <w:noWrap w:val="0"/>
            <w:vAlign w:val="top"/>
          </w:tcPr>
          <w:p>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3966.16</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kern w:val="0"/>
                <w:sz w:val="20"/>
                <w:szCs w:val="20"/>
                <w:highlight w:val="none"/>
                <w:lang w:val="en-US" w:eastAsia="zh-CN" w:bidi="ar-SA"/>
              </w:rPr>
            </w:pP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3403.35</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w:t>
            </w:r>
            <w:r>
              <w:rPr>
                <w:rFonts w:hint="eastAsia" w:ascii="仿宋_GB2312" w:hAnsi="仿宋_GB2312" w:eastAsia="仿宋_GB2312" w:cs="仿宋_GB2312"/>
                <w:sz w:val="20"/>
                <w:szCs w:val="20"/>
                <w:highlight w:val="none"/>
                <w:lang w:val="en-US" w:eastAsia="zh-CN"/>
              </w:rPr>
              <w:t>2、</w:t>
            </w:r>
            <w:r>
              <w:rPr>
                <w:rFonts w:hint="eastAsia" w:ascii="仿宋_GB2312" w:hAnsi="仿宋_GB2312" w:eastAsia="仿宋_GB2312" w:cs="仿宋_GB2312"/>
                <w:sz w:val="20"/>
                <w:szCs w:val="20"/>
                <w:highlight w:val="none"/>
              </w:rPr>
              <w:t>办案费支出</w:t>
            </w:r>
          </w:p>
        </w:tc>
        <w:tc>
          <w:tcPr>
            <w:tcW w:w="2038" w:type="dxa"/>
            <w:gridSpan w:val="2"/>
            <w:tcBorders>
              <w:top w:val="single" w:color="auto" w:sz="4" w:space="0"/>
              <w:left w:val="nil"/>
              <w:bottom w:val="single" w:color="auto" w:sz="4" w:space="0"/>
              <w:right w:val="single" w:color="000000" w:sz="4" w:space="0"/>
            </w:tcBorders>
            <w:noWrap w:val="0"/>
            <w:vAlign w:val="top"/>
          </w:tcPr>
          <w:p>
            <w:pPr>
              <w:widowControl/>
              <w:spacing w:line="360" w:lineRule="exact"/>
              <w:jc w:val="center"/>
              <w:rPr>
                <w:rFonts w:hint="eastAsia" w:ascii="仿宋_GB2312" w:hAnsi="仿宋_GB2312" w:eastAsia="仿宋_GB2312" w:cs="仿宋_GB2312"/>
                <w:sz w:val="20"/>
                <w:szCs w:val="20"/>
                <w:highlight w:val="none"/>
                <w:lang w:val="en-US" w:eastAsia="zh-CN"/>
              </w:rPr>
            </w:pP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kern w:val="0"/>
                <w:sz w:val="20"/>
                <w:szCs w:val="20"/>
                <w:highlight w:val="none"/>
                <w:lang w:val="en-US" w:eastAsia="zh-CN" w:bidi="ar-SA"/>
              </w:rPr>
            </w:pPr>
            <w:r>
              <w:rPr>
                <w:rFonts w:hint="eastAsia" w:ascii="仿宋_GB2312" w:hAnsi="仿宋_GB2312" w:eastAsia="仿宋_GB2312" w:cs="仿宋_GB2312"/>
                <w:kern w:val="0"/>
                <w:sz w:val="20"/>
                <w:szCs w:val="20"/>
                <w:highlight w:val="none"/>
                <w:lang w:val="en-US" w:eastAsia="zh-CN" w:bidi="ar-SA"/>
              </w:rPr>
              <w:t>11.00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kern w:val="0"/>
                <w:sz w:val="20"/>
                <w:szCs w:val="20"/>
                <w:highlight w:val="none"/>
                <w:lang w:val="en-US" w:eastAsia="zh-CN" w:bidi="ar-SA"/>
              </w:rPr>
            </w:pPr>
            <w:r>
              <w:rPr>
                <w:rFonts w:hint="eastAsia" w:ascii="仿宋_GB2312" w:hAnsi="仿宋_GB2312" w:eastAsia="仿宋_GB2312" w:cs="仿宋_GB2312"/>
                <w:sz w:val="20"/>
                <w:szCs w:val="20"/>
                <w:highlight w:val="none"/>
                <w:lang w:val="en-US" w:eastAsia="zh-CN"/>
              </w:rPr>
              <w:t>56.31</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w:t>
            </w:r>
            <w:r>
              <w:rPr>
                <w:rFonts w:hint="eastAsia" w:ascii="仿宋_GB2312" w:hAnsi="仿宋_GB2312" w:eastAsia="仿宋_GB2312" w:cs="仿宋_GB2312"/>
                <w:sz w:val="20"/>
                <w:szCs w:val="20"/>
                <w:highlight w:val="none"/>
                <w:lang w:val="en-US" w:eastAsia="zh-CN"/>
              </w:rPr>
              <w:t>3</w:t>
            </w:r>
            <w:r>
              <w:rPr>
                <w:rFonts w:hint="eastAsia" w:ascii="仿宋_GB2312" w:hAnsi="仿宋_GB2312" w:eastAsia="仿宋_GB2312" w:cs="仿宋_GB2312"/>
                <w:sz w:val="20"/>
                <w:szCs w:val="20"/>
                <w:highlight w:val="none"/>
              </w:rPr>
              <w:t>、环境监测、监控及监察能力建设</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331.57</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kern w:val="0"/>
                <w:sz w:val="20"/>
                <w:szCs w:val="20"/>
                <w:highlight w:val="none"/>
                <w:lang w:val="en-US" w:eastAsia="zh-CN" w:bidi="ar-SA"/>
              </w:rPr>
            </w:pPr>
            <w:r>
              <w:rPr>
                <w:rFonts w:hint="eastAsia" w:ascii="仿宋_GB2312" w:hAnsi="仿宋_GB2312" w:eastAsia="仿宋_GB2312" w:cs="仿宋_GB2312"/>
                <w:kern w:val="0"/>
                <w:sz w:val="20"/>
                <w:szCs w:val="20"/>
                <w:highlight w:val="none"/>
                <w:lang w:val="en-US" w:eastAsia="zh-CN" w:bidi="ar-SA"/>
              </w:rPr>
              <w:t>117.50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72.00</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 xml:space="preserve">   4、环境监察、监测等运行经费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kern w:val="0"/>
                <w:sz w:val="20"/>
                <w:szCs w:val="20"/>
                <w:highlight w:val="none"/>
                <w:lang w:val="en-US" w:eastAsia="zh-CN" w:bidi="ar-SA"/>
              </w:rPr>
            </w:pPr>
            <w:r>
              <w:rPr>
                <w:rFonts w:hint="eastAsia" w:ascii="仿宋_GB2312" w:hAnsi="仿宋_GB2312" w:eastAsia="仿宋_GB2312" w:cs="仿宋_GB2312"/>
                <w:kern w:val="0"/>
                <w:sz w:val="20"/>
                <w:szCs w:val="20"/>
                <w:highlight w:val="none"/>
                <w:lang w:val="en-US" w:eastAsia="zh-CN" w:bidi="ar-SA"/>
              </w:rPr>
              <w:t>208.62</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135.89</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5</w:t>
            </w:r>
            <w:r>
              <w:rPr>
                <w:rFonts w:hint="eastAsia" w:ascii="仿宋_GB2312" w:hAnsi="仿宋_GB2312" w:eastAsia="仿宋_GB2312" w:cs="仿宋_GB2312"/>
                <w:sz w:val="20"/>
                <w:szCs w:val="20"/>
                <w:highlight w:val="none"/>
              </w:rPr>
              <w:t>、</w:t>
            </w:r>
            <w:r>
              <w:rPr>
                <w:rFonts w:hint="eastAsia" w:ascii="仿宋_GB2312" w:hAnsi="仿宋_GB2312" w:eastAsia="仿宋_GB2312" w:cs="仿宋_GB2312"/>
                <w:sz w:val="20"/>
                <w:szCs w:val="20"/>
                <w:highlight w:val="none"/>
                <w:lang w:eastAsia="zh-CN"/>
              </w:rPr>
              <w:t>市级</w:t>
            </w:r>
            <w:r>
              <w:rPr>
                <w:rFonts w:hint="eastAsia" w:ascii="仿宋_GB2312" w:hAnsi="仿宋_GB2312" w:eastAsia="仿宋_GB2312" w:cs="仿宋_GB2312"/>
                <w:sz w:val="20"/>
                <w:szCs w:val="20"/>
                <w:highlight w:val="none"/>
              </w:rPr>
              <w:t>专项资金（一个专项一行）</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5.45</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155.45</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污染防治攻坚治理专项经费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5.45</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5.45</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SA"/>
              </w:rPr>
            </w:pPr>
            <w:r>
              <w:rPr>
                <w:rFonts w:hint="eastAsia" w:ascii="仿宋_GB2312" w:hAnsi="仿宋_GB2312" w:eastAsia="仿宋_GB2312" w:cs="仿宋_GB2312"/>
                <w:sz w:val="20"/>
                <w:szCs w:val="20"/>
                <w:highlight w:val="none"/>
              </w:rPr>
              <w:t xml:space="preserve">  </w:t>
            </w:r>
            <w:r>
              <w:rPr>
                <w:rFonts w:hint="eastAsia" w:ascii="仿宋_GB2312" w:hAnsi="仿宋_GB2312" w:eastAsia="仿宋_GB2312" w:cs="仿宋_GB2312"/>
                <w:sz w:val="20"/>
                <w:szCs w:val="20"/>
                <w:highlight w:val="none"/>
                <w:lang w:val="en-US" w:eastAsia="zh-CN"/>
              </w:rPr>
              <w:t xml:space="preserve">   农村黑臭水体奖补资金</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val="en-US" w:eastAsia="zh-CN"/>
              </w:rPr>
            </w:pP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150.00</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公用经费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616.46</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color w:val="000000" w:themeColor="text1"/>
                <w:sz w:val="20"/>
                <w:szCs w:val="20"/>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0"/>
                <w:szCs w:val="20"/>
                <w:highlight w:val="none"/>
                <w:lang w:val="en-US" w:eastAsia="zh-CN"/>
                <w14:textFill>
                  <w14:solidFill>
                    <w14:schemeClr w14:val="tx1"/>
                  </w14:solidFill>
                </w14:textFill>
              </w:rPr>
              <w:t>265.75</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230.13</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其中：办公经费</w:t>
            </w:r>
          </w:p>
        </w:tc>
        <w:tc>
          <w:tcPr>
            <w:tcW w:w="2038" w:type="dxa"/>
            <w:gridSpan w:val="2"/>
            <w:tcBorders>
              <w:top w:val="single" w:color="auto" w:sz="4" w:space="0"/>
              <w:left w:val="nil"/>
              <w:bottom w:val="single" w:color="auto" w:sz="4" w:space="0"/>
              <w:right w:val="single" w:color="000000" w:sz="4" w:space="0"/>
            </w:tcBorders>
            <w:noWrap w:val="0"/>
            <w:vAlign w:val="top"/>
          </w:tcPr>
          <w:p>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557.41</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 xml:space="preserve"> 216.88 </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 xml:space="preserve"> 184.49 </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水费、电费、差旅费</w:t>
            </w:r>
          </w:p>
        </w:tc>
        <w:tc>
          <w:tcPr>
            <w:tcW w:w="2038" w:type="dxa"/>
            <w:gridSpan w:val="2"/>
            <w:tcBorders>
              <w:top w:val="single" w:color="auto" w:sz="4" w:space="0"/>
              <w:left w:val="nil"/>
              <w:bottom w:val="single" w:color="auto" w:sz="4" w:space="0"/>
              <w:right w:val="single" w:color="000000" w:sz="4" w:space="0"/>
            </w:tcBorders>
            <w:noWrap w:val="0"/>
            <w:vAlign w:val="top"/>
          </w:tcPr>
          <w:p>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50.76</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 xml:space="preserve"> 39.50 </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 xml:space="preserve"> 36.00 </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会议费、培训费</w:t>
            </w:r>
          </w:p>
        </w:tc>
        <w:tc>
          <w:tcPr>
            <w:tcW w:w="2038" w:type="dxa"/>
            <w:gridSpan w:val="2"/>
            <w:tcBorders>
              <w:top w:val="single" w:color="auto" w:sz="4" w:space="0"/>
              <w:left w:val="nil"/>
              <w:bottom w:val="single" w:color="auto" w:sz="4" w:space="0"/>
              <w:right w:val="single" w:color="000000" w:sz="4" w:space="0"/>
            </w:tcBorders>
            <w:noWrap w:val="0"/>
            <w:vAlign w:val="top"/>
          </w:tcPr>
          <w:p>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8.29</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 xml:space="preserve"> 10.00 </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 xml:space="preserve"> 7.43 </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政府采购金额</w:t>
            </w:r>
          </w:p>
        </w:tc>
        <w:tc>
          <w:tcPr>
            <w:tcW w:w="2038" w:type="dxa"/>
            <w:gridSpan w:val="2"/>
            <w:tcBorders>
              <w:top w:val="single" w:color="auto" w:sz="4" w:space="0"/>
              <w:left w:val="nil"/>
              <w:bottom w:val="single" w:color="auto" w:sz="4" w:space="0"/>
              <w:right w:val="single" w:color="000000" w:sz="4" w:space="0"/>
            </w:tcBorders>
            <w:noWrap w:val="0"/>
            <w:vAlign w:val="top"/>
          </w:tcPr>
          <w:p>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866.14</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color w:val="000000" w:themeColor="text1"/>
                <w:sz w:val="20"/>
                <w:szCs w:val="20"/>
                <w:highlight w:val="none"/>
                <w14:textFill>
                  <w14:solidFill>
                    <w14:schemeClr w14:val="tx1"/>
                  </w14:solidFill>
                </w14:textFill>
              </w:rPr>
            </w:pPr>
            <w:r>
              <w:rPr>
                <w:rFonts w:hint="eastAsia" w:ascii="仿宋_GB2312" w:hAnsi="仿宋_GB2312" w:eastAsia="仿宋_GB2312" w:cs="仿宋_GB2312"/>
                <w:color w:val="000000" w:themeColor="text1"/>
                <w:sz w:val="20"/>
                <w:szCs w:val="20"/>
                <w:highlight w:val="none"/>
                <w:lang w:val="en-US" w:eastAsia="zh-CN"/>
                <w14:textFill>
                  <w14:solidFill>
                    <w14:schemeClr w14:val="tx1"/>
                  </w14:solidFill>
                </w14:textFill>
              </w:rPr>
              <w:t>1271.35　</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239.35　</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部门基本支出预算调整 </w:t>
            </w:r>
          </w:p>
        </w:tc>
        <w:tc>
          <w:tcPr>
            <w:tcW w:w="2038" w:type="dxa"/>
            <w:gridSpan w:val="2"/>
            <w:tcBorders>
              <w:top w:val="single" w:color="auto" w:sz="4" w:space="0"/>
              <w:left w:val="nil"/>
              <w:bottom w:val="single" w:color="auto" w:sz="4" w:space="0"/>
              <w:right w:val="single" w:color="000000" w:sz="4" w:space="0"/>
            </w:tcBorders>
            <w:noWrap w:val="0"/>
            <w:vAlign w:val="top"/>
          </w:tcPr>
          <w:p>
            <w:pPr>
              <w:jc w:val="center"/>
              <w:rPr>
                <w:rFonts w:hint="eastAsia" w:ascii="仿宋_GB2312" w:hAnsi="仿宋_GB2312" w:eastAsia="仿宋_GB2312" w:cs="仿宋_GB2312"/>
                <w:sz w:val="20"/>
                <w:szCs w:val="20"/>
                <w:highlight w:val="none"/>
              </w:rPr>
            </w:pP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color w:val="000000" w:themeColor="text1"/>
                <w:sz w:val="20"/>
                <w:szCs w:val="20"/>
                <w:highlight w:val="none"/>
                <w14:textFill>
                  <w14:solidFill>
                    <w14:schemeClr w14:val="tx1"/>
                  </w14:solidFill>
                </w14:textFill>
              </w:rPr>
            </w:pPr>
            <w:r>
              <w:rPr>
                <w:rFonts w:hint="eastAsia" w:ascii="仿宋_GB2312" w:hAnsi="仿宋_GB2312" w:eastAsia="仿宋_GB2312" w:cs="仿宋_GB2312"/>
                <w:color w:val="000000" w:themeColor="text1"/>
                <w:sz w:val="20"/>
                <w:szCs w:val="20"/>
                <w:highlight w:val="none"/>
                <w:lang w:val="en-US" w:eastAsia="zh-CN"/>
                <w14:textFill>
                  <w14:solidFill>
                    <w14:schemeClr w14:val="tx1"/>
                  </w14:solidFill>
                </w14:textFill>
              </w:rPr>
              <w:t>71.21</w:t>
            </w:r>
            <w:r>
              <w:rPr>
                <w:rFonts w:hint="eastAsia" w:ascii="仿宋_GB2312" w:hAnsi="仿宋_GB2312" w:eastAsia="仿宋_GB2312" w:cs="仿宋_GB2312"/>
                <w:color w:val="000000" w:themeColor="text1"/>
                <w:sz w:val="20"/>
                <w:szCs w:val="20"/>
                <w:highlight w:val="none"/>
                <w14:textFill>
                  <w14:solidFill>
                    <w14:schemeClr w14:val="tx1"/>
                  </w14:solidFill>
                </w14:textFill>
              </w:rPr>
              <w:t>　</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r>
      <w:tr>
        <w:tblPrEx>
          <w:tblCellMar>
            <w:top w:w="0" w:type="dxa"/>
            <w:left w:w="108" w:type="dxa"/>
            <w:bottom w:w="0" w:type="dxa"/>
            <w:right w:w="108" w:type="dxa"/>
          </w:tblCellMar>
        </w:tblPrEx>
        <w:trPr>
          <w:trHeight w:val="0" w:hRule="atLeast"/>
          <w:jc w:val="center"/>
        </w:trPr>
        <w:tc>
          <w:tcPr>
            <w:tcW w:w="3354" w:type="dxa"/>
            <w:vMerge w:val="restart"/>
            <w:tcBorders>
              <w:top w:val="nil"/>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楼堂馆所控制情况</w:t>
            </w:r>
            <w:r>
              <w:rPr>
                <w:rFonts w:hint="eastAsia" w:ascii="仿宋_GB2312" w:hAnsi="仿宋_GB2312" w:eastAsia="仿宋_GB2312" w:cs="仿宋_GB2312"/>
                <w:sz w:val="20"/>
                <w:szCs w:val="20"/>
                <w:highlight w:val="none"/>
              </w:rPr>
              <w:br w:type="textWrapping"/>
            </w:r>
            <w:r>
              <w:rPr>
                <w:rFonts w:hint="eastAsia" w:ascii="仿宋_GB2312" w:hAnsi="仿宋_GB2312" w:eastAsia="仿宋_GB2312" w:cs="仿宋_GB2312"/>
                <w:sz w:val="20"/>
                <w:szCs w:val="20"/>
                <w:highlight w:val="none"/>
              </w:rPr>
              <w:t>（202</w:t>
            </w:r>
            <w:r>
              <w:rPr>
                <w:rFonts w:hint="eastAsia" w:ascii="仿宋_GB2312" w:hAnsi="仿宋_GB2312" w:eastAsia="仿宋_GB2312" w:cs="仿宋_GB2312"/>
                <w:sz w:val="20"/>
                <w:szCs w:val="20"/>
                <w:highlight w:val="none"/>
                <w:lang w:val="en-US" w:eastAsia="zh-CN"/>
              </w:rPr>
              <w:t>3</w:t>
            </w:r>
            <w:r>
              <w:rPr>
                <w:rFonts w:hint="eastAsia" w:ascii="仿宋_GB2312" w:hAnsi="仿宋_GB2312" w:eastAsia="仿宋_GB2312" w:cs="仿宋_GB2312"/>
                <w:sz w:val="20"/>
                <w:szCs w:val="20"/>
                <w:highlight w:val="none"/>
              </w:rPr>
              <w:t>年完工项目）</w:t>
            </w:r>
          </w:p>
        </w:tc>
        <w:tc>
          <w:tcPr>
            <w:tcW w:w="1189"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批复规模</w:t>
            </w:r>
            <w:r>
              <w:rPr>
                <w:rFonts w:hint="eastAsia" w:ascii="仿宋_GB2312" w:hAnsi="仿宋_GB2312" w:eastAsia="仿宋_GB2312" w:cs="仿宋_GB2312"/>
                <w:bCs/>
                <w:sz w:val="20"/>
                <w:szCs w:val="20"/>
                <w:highlight w:val="none"/>
              </w:rPr>
              <w:br w:type="textWrapping"/>
            </w:r>
            <w:r>
              <w:rPr>
                <w:rFonts w:hint="eastAsia" w:ascii="仿宋_GB2312" w:hAnsi="仿宋_GB2312" w:eastAsia="仿宋_GB2312" w:cs="仿宋_GB2312"/>
                <w:bCs/>
                <w:sz w:val="20"/>
                <w:szCs w:val="20"/>
                <w:highlight w:val="none"/>
              </w:rPr>
              <w:t>（㎡）</w:t>
            </w:r>
          </w:p>
        </w:tc>
        <w:tc>
          <w:tcPr>
            <w:tcW w:w="849"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实际规模（㎡）</w:t>
            </w:r>
          </w:p>
        </w:tc>
        <w:tc>
          <w:tcPr>
            <w:tcW w:w="1129"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规模控制率</w:t>
            </w:r>
          </w:p>
        </w:tc>
        <w:tc>
          <w:tcPr>
            <w:tcW w:w="1111"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预算投资（万元）</w:t>
            </w:r>
          </w:p>
        </w:tc>
        <w:tc>
          <w:tcPr>
            <w:tcW w:w="1081"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实际投资（万元）</w:t>
            </w:r>
          </w:p>
        </w:tc>
        <w:tc>
          <w:tcPr>
            <w:tcW w:w="960"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投资概算控制率</w:t>
            </w:r>
          </w:p>
        </w:tc>
      </w:tr>
      <w:tr>
        <w:tblPrEx>
          <w:tblCellMar>
            <w:top w:w="0" w:type="dxa"/>
            <w:left w:w="108" w:type="dxa"/>
            <w:bottom w:w="0" w:type="dxa"/>
            <w:right w:w="108" w:type="dxa"/>
          </w:tblCellMar>
        </w:tblPrEx>
        <w:trPr>
          <w:trHeight w:val="0" w:hRule="atLeast"/>
          <w:jc w:val="center"/>
        </w:trPr>
        <w:tc>
          <w:tcPr>
            <w:tcW w:w="3354" w:type="dxa"/>
            <w:vMerge w:val="continue"/>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p>
        </w:tc>
        <w:tc>
          <w:tcPr>
            <w:tcW w:w="1189"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849" w:type="dxa"/>
            <w:tcBorders>
              <w:top w:val="nil"/>
              <w:left w:val="nil"/>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1129" w:type="dxa"/>
            <w:tcBorders>
              <w:top w:val="nil"/>
              <w:left w:val="nil"/>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1111" w:type="dxa"/>
            <w:tcBorders>
              <w:top w:val="nil"/>
              <w:left w:val="nil"/>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1081" w:type="dxa"/>
            <w:tcBorders>
              <w:top w:val="nil"/>
              <w:left w:val="nil"/>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960" w:type="dxa"/>
            <w:tcBorders>
              <w:top w:val="nil"/>
              <w:left w:val="nil"/>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厉行节约保障措施</w:t>
            </w:r>
          </w:p>
        </w:tc>
        <w:tc>
          <w:tcPr>
            <w:tcW w:w="6319" w:type="dxa"/>
            <w:gridSpan w:val="6"/>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r>
    </w:tbl>
    <w:p>
      <w:pPr>
        <w:widowControl/>
        <w:spacing w:afterLines="0" w:line="400" w:lineRule="exact"/>
        <w:jc w:val="left"/>
        <w:rPr>
          <w:rFonts w:hint="default" w:ascii="Times New Roman" w:hAnsi="Times New Roman" w:eastAsia="仿宋_GB2312" w:cs="Times New Roman"/>
          <w:sz w:val="22"/>
          <w:highlight w:val="none"/>
        </w:rPr>
      </w:pPr>
      <w:r>
        <w:rPr>
          <w:rFonts w:hint="default" w:ascii="Times New Roman" w:hAnsi="Times New Roman" w:eastAsia="仿宋_GB2312" w:cs="Times New Roman"/>
          <w:sz w:val="22"/>
          <w:highlight w:val="none"/>
        </w:rPr>
        <w:t>说明：“项目支出”需要填报基本支出以外的所有项目支出情况，“公用经费”填报基本支出中的一般商品和服务支出。</w:t>
      </w:r>
    </w:p>
    <w:p>
      <w:pPr>
        <w:widowControl/>
        <w:spacing w:afterLines="0" w:line="400" w:lineRule="exact"/>
        <w:jc w:val="left"/>
        <w:rPr>
          <w:rFonts w:hint="default" w:ascii="Times New Roman" w:hAnsi="Times New Roman" w:eastAsia="仿宋_GB2312" w:cs="Times New Roman"/>
          <w:sz w:val="22"/>
          <w:highlight w:val="none"/>
        </w:rPr>
      </w:pPr>
    </w:p>
    <w:p>
      <w:pPr>
        <w:widowControl/>
        <w:spacing w:after="0" w:afterLines="0" w:line="400" w:lineRule="exact"/>
        <w:jc w:val="left"/>
        <w:rPr>
          <w:rFonts w:hint="eastAsia" w:ascii="黑体" w:hAnsi="黑体" w:eastAsia="黑体" w:cs="黑体"/>
          <w:sz w:val="32"/>
          <w:szCs w:val="32"/>
          <w:highlight w:val="none"/>
          <w:lang w:eastAsia="zh-CN"/>
        </w:rPr>
      </w:pPr>
      <w:r>
        <w:rPr>
          <w:rFonts w:hint="default" w:ascii="Times New Roman" w:hAnsi="Times New Roman" w:eastAsia="仿宋_GB2312" w:cs="Times New Roman"/>
          <w:sz w:val="22"/>
          <w:highlight w:val="none"/>
        </w:rPr>
        <w:t>填表人：        填报日期：          联系电话：            单位负责人签字：</w:t>
      </w:r>
      <w:r>
        <w:rPr>
          <w:rFonts w:hint="default" w:ascii="Times New Roman" w:hAnsi="Times New Roman" w:eastAsia="仿宋_GB2312" w:cs="Times New Roman"/>
          <w:sz w:val="22"/>
          <w:highlight w:val="none"/>
        </w:rPr>
        <w:br w:type="page"/>
      </w:r>
      <w:r>
        <w:rPr>
          <w:rFonts w:hint="eastAsia" w:ascii="黑体" w:hAnsi="黑体" w:eastAsia="黑体" w:cs="黑体"/>
          <w:sz w:val="32"/>
          <w:szCs w:val="32"/>
          <w:highlight w:val="none"/>
        </w:rPr>
        <w:t>附件</w:t>
      </w:r>
      <w:r>
        <w:rPr>
          <w:rFonts w:hint="eastAsia" w:ascii="黑体" w:hAnsi="黑体" w:eastAsia="黑体" w:cs="黑体"/>
          <w:sz w:val="32"/>
          <w:szCs w:val="32"/>
          <w:highlight w:val="none"/>
          <w:lang w:val="en-US" w:eastAsia="zh-CN"/>
        </w:rPr>
        <w:t>2</w:t>
      </w:r>
    </w:p>
    <w:p>
      <w:pPr>
        <w:widowControl/>
        <w:spacing w:after="120" w:afterLines="50"/>
        <w:jc w:val="center"/>
        <w:rPr>
          <w:rFonts w:hint="eastAsia" w:ascii="方正小标宋简体" w:hAnsi="方正小标宋简体" w:eastAsia="方正小标宋简体" w:cs="方正小标宋简体"/>
          <w:color w:val="000000"/>
          <w:sz w:val="36"/>
          <w:szCs w:val="36"/>
          <w:highlight w:val="none"/>
        </w:rPr>
      </w:pPr>
      <w:r>
        <w:rPr>
          <w:rFonts w:hint="eastAsia" w:ascii="方正小标宋简体" w:hAnsi="方正小标宋简体" w:eastAsia="方正小标宋简体" w:cs="方正小标宋简体"/>
          <w:color w:val="000000"/>
          <w:sz w:val="36"/>
          <w:szCs w:val="36"/>
          <w:highlight w:val="none"/>
        </w:rPr>
        <w:t>202</w:t>
      </w:r>
      <w:r>
        <w:rPr>
          <w:rFonts w:hint="eastAsia" w:ascii="方正小标宋简体" w:hAnsi="方正小标宋简体" w:eastAsia="方正小标宋简体" w:cs="方正小标宋简体"/>
          <w:color w:val="000000"/>
          <w:sz w:val="36"/>
          <w:szCs w:val="36"/>
          <w:highlight w:val="none"/>
          <w:lang w:val="en-US" w:eastAsia="zh-CN"/>
        </w:rPr>
        <w:t>3</w:t>
      </w:r>
      <w:r>
        <w:rPr>
          <w:rFonts w:hint="eastAsia" w:ascii="方正小标宋简体" w:hAnsi="方正小标宋简体" w:eastAsia="方正小标宋简体" w:cs="方正小标宋简体"/>
          <w:color w:val="000000"/>
          <w:sz w:val="36"/>
          <w:szCs w:val="36"/>
          <w:highlight w:val="none"/>
        </w:rPr>
        <w:t>年度部门整体支出绩效自评表</w:t>
      </w:r>
    </w:p>
    <w:tbl>
      <w:tblPr>
        <w:tblStyle w:val="4"/>
        <w:tblW w:w="10079" w:type="dxa"/>
        <w:jc w:val="center"/>
        <w:tblLayout w:type="fixed"/>
        <w:tblCellMar>
          <w:top w:w="0" w:type="dxa"/>
          <w:left w:w="108" w:type="dxa"/>
          <w:bottom w:w="0" w:type="dxa"/>
          <w:right w:w="108" w:type="dxa"/>
        </w:tblCellMar>
      </w:tblPr>
      <w:tblGrid>
        <w:gridCol w:w="1080"/>
        <w:gridCol w:w="1080"/>
        <w:gridCol w:w="1034"/>
        <w:gridCol w:w="1472"/>
        <w:gridCol w:w="1059"/>
        <w:gridCol w:w="198"/>
        <w:gridCol w:w="1121"/>
        <w:gridCol w:w="716"/>
        <w:gridCol w:w="873"/>
        <w:gridCol w:w="1446"/>
      </w:tblGrid>
      <w:tr>
        <w:tblPrEx>
          <w:tblCellMar>
            <w:top w:w="0" w:type="dxa"/>
            <w:left w:w="108" w:type="dxa"/>
            <w:bottom w:w="0" w:type="dxa"/>
            <w:right w:w="108" w:type="dxa"/>
          </w:tblCellMar>
        </w:tblPrEx>
        <w:trPr>
          <w:jc w:val="center"/>
        </w:trPr>
        <w:tc>
          <w:tcPr>
            <w:tcW w:w="108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市</w:t>
            </w:r>
            <w:r>
              <w:rPr>
                <w:rFonts w:hint="eastAsia" w:ascii="仿宋_GB2312" w:hAnsi="仿宋_GB2312" w:eastAsia="仿宋_GB2312" w:cs="仿宋_GB2312"/>
                <w:color w:val="000000"/>
                <w:sz w:val="20"/>
                <w:szCs w:val="20"/>
                <w:highlight w:val="none"/>
              </w:rPr>
              <w:t>级预算部门名称</w:t>
            </w:r>
          </w:p>
        </w:tc>
        <w:tc>
          <w:tcPr>
            <w:tcW w:w="8999" w:type="dxa"/>
            <w:gridSpan w:val="9"/>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Arial"/>
                <w:color w:val="000000" w:themeColor="text1"/>
                <w:sz w:val="21"/>
                <w14:textFill>
                  <w14:solidFill>
                    <w14:schemeClr w14:val="tx1"/>
                  </w14:solidFill>
                </w14:textFill>
              </w:rPr>
              <w:t>岳阳市生态环境局汨罗分局</w:t>
            </w: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restart"/>
            <w:tcBorders>
              <w:top w:val="nil"/>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年度预</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算申请</w:t>
            </w:r>
            <w:r>
              <w:rPr>
                <w:rFonts w:hint="eastAsia" w:ascii="仿宋_GB2312" w:hAnsi="仿宋_GB2312" w:eastAsia="仿宋_GB2312" w:cs="仿宋_GB2312"/>
                <w:color w:val="000000"/>
                <w:sz w:val="20"/>
                <w:szCs w:val="20"/>
                <w:highlight w:val="none"/>
              </w:rPr>
              <w:br w:type="textWrapping"/>
            </w:r>
            <w:r>
              <w:rPr>
                <w:rFonts w:hint="eastAsia" w:ascii="仿宋_GB2312" w:hAnsi="仿宋_GB2312" w:eastAsia="仿宋_GB2312" w:cs="仿宋_GB2312"/>
                <w:color w:val="000000"/>
                <w:sz w:val="20"/>
                <w:szCs w:val="20"/>
                <w:highlight w:val="none"/>
              </w:rPr>
              <w:t>（万元）</w:t>
            </w:r>
          </w:p>
        </w:tc>
        <w:tc>
          <w:tcPr>
            <w:tcW w:w="2114" w:type="dxa"/>
            <w:gridSpan w:val="2"/>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p>
        </w:tc>
        <w:tc>
          <w:tcPr>
            <w:tcW w:w="1472"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年初预算数</w:t>
            </w:r>
          </w:p>
        </w:tc>
        <w:tc>
          <w:tcPr>
            <w:tcW w:w="1059"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全年预算数</w:t>
            </w:r>
          </w:p>
        </w:tc>
        <w:tc>
          <w:tcPr>
            <w:tcW w:w="1319" w:type="dxa"/>
            <w:gridSpan w:val="2"/>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全年执行数</w:t>
            </w:r>
          </w:p>
        </w:tc>
        <w:tc>
          <w:tcPr>
            <w:tcW w:w="716"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分值</w:t>
            </w:r>
          </w:p>
        </w:tc>
        <w:tc>
          <w:tcPr>
            <w:tcW w:w="873"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执行率</w:t>
            </w:r>
          </w:p>
        </w:tc>
        <w:tc>
          <w:tcPr>
            <w:tcW w:w="1446"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得分</w:t>
            </w:r>
          </w:p>
        </w:tc>
      </w:tr>
      <w:tr>
        <w:tblPrEx>
          <w:tblCellMar>
            <w:top w:w="0" w:type="dxa"/>
            <w:left w:w="108" w:type="dxa"/>
            <w:bottom w:w="0" w:type="dxa"/>
            <w:right w:w="108" w:type="dxa"/>
          </w:tblCellMar>
        </w:tblPrEx>
        <w:trPr>
          <w:jc w:val="center"/>
        </w:trPr>
        <w:tc>
          <w:tcPr>
            <w:tcW w:w="1080" w:type="dxa"/>
            <w:vMerge w:val="continue"/>
            <w:tcBorders>
              <w:top w:val="nil"/>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p>
        </w:tc>
        <w:tc>
          <w:tcPr>
            <w:tcW w:w="2114" w:type="dxa"/>
            <w:gridSpan w:val="2"/>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color w:val="000000"/>
                <w:sz w:val="20"/>
                <w:szCs w:val="20"/>
                <w:highlight w:val="none"/>
              </w:rPr>
              <w:t>年度资金总额</w:t>
            </w:r>
          </w:p>
        </w:tc>
        <w:tc>
          <w:tcPr>
            <w:tcW w:w="1472" w:type="dxa"/>
            <w:tcBorders>
              <w:top w:val="nil"/>
              <w:left w:val="nil"/>
              <w:bottom w:val="single" w:color="auto" w:sz="4" w:space="0"/>
              <w:right w:val="single" w:color="auto" w:sz="4" w:space="0"/>
            </w:tcBorders>
            <w:noWrap w:val="0"/>
            <w:vAlign w:val="center"/>
          </w:tcPr>
          <w:p>
            <w:pPr>
              <w:spacing w:line="24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1901.61</w:t>
            </w:r>
          </w:p>
        </w:tc>
        <w:tc>
          <w:tcPr>
            <w:tcW w:w="1257" w:type="dxa"/>
            <w:gridSpan w:val="2"/>
            <w:tcBorders>
              <w:top w:val="nil"/>
              <w:left w:val="nil"/>
              <w:bottom w:val="single" w:color="auto" w:sz="4" w:space="0"/>
              <w:right w:val="single" w:color="auto" w:sz="4" w:space="0"/>
            </w:tcBorders>
            <w:noWrap w:val="0"/>
            <w:vAlign w:val="center"/>
          </w:tcPr>
          <w:p>
            <w:pPr>
              <w:spacing w:line="24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5453.25</w:t>
            </w:r>
          </w:p>
        </w:tc>
        <w:tc>
          <w:tcPr>
            <w:tcW w:w="1121" w:type="dxa"/>
            <w:tcBorders>
              <w:top w:val="nil"/>
              <w:left w:val="nil"/>
              <w:bottom w:val="single" w:color="auto" w:sz="4" w:space="0"/>
              <w:right w:val="single" w:color="auto" w:sz="4" w:space="0"/>
            </w:tcBorders>
            <w:noWrap w:val="0"/>
            <w:vAlign w:val="center"/>
          </w:tcPr>
          <w:p>
            <w:pPr>
              <w:spacing w:line="24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5453.25</w:t>
            </w:r>
          </w:p>
        </w:tc>
        <w:tc>
          <w:tcPr>
            <w:tcW w:w="716"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10</w:t>
            </w:r>
          </w:p>
        </w:tc>
        <w:tc>
          <w:tcPr>
            <w:tcW w:w="873" w:type="dxa"/>
            <w:tcBorders>
              <w:top w:val="nil"/>
              <w:left w:val="nil"/>
              <w:bottom w:val="single" w:color="auto" w:sz="4" w:space="0"/>
              <w:right w:val="single" w:color="auto" w:sz="4" w:space="0"/>
            </w:tcBorders>
            <w:noWrap w:val="0"/>
            <w:vAlign w:val="center"/>
          </w:tcPr>
          <w:p>
            <w:pPr>
              <w:spacing w:line="24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100%</w:t>
            </w:r>
          </w:p>
        </w:tc>
        <w:tc>
          <w:tcPr>
            <w:tcW w:w="1446" w:type="dxa"/>
            <w:tcBorders>
              <w:top w:val="nil"/>
              <w:left w:val="nil"/>
              <w:bottom w:val="single" w:color="auto" w:sz="4" w:space="0"/>
              <w:right w:val="single" w:color="auto" w:sz="4" w:space="0"/>
            </w:tcBorders>
            <w:noWrap w:val="0"/>
            <w:vAlign w:val="center"/>
          </w:tcPr>
          <w:p>
            <w:pPr>
              <w:spacing w:line="24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10</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4843" w:type="dxa"/>
            <w:gridSpan w:val="5"/>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按收入性质分：</w:t>
            </w:r>
          </w:p>
        </w:tc>
        <w:tc>
          <w:tcPr>
            <w:tcW w:w="4156"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按支出性质分：</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4843" w:type="dxa"/>
            <w:gridSpan w:val="5"/>
            <w:tcBorders>
              <w:top w:val="nil"/>
              <w:left w:val="nil"/>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xml:space="preserve">  其中：  一般公共预算：</w:t>
            </w:r>
            <w:r>
              <w:rPr>
                <w:rFonts w:hint="eastAsia" w:ascii="仿宋_GB2312" w:hAnsi="仿宋_GB2312" w:eastAsia="仿宋_GB2312" w:cs="仿宋_GB2312"/>
                <w:color w:val="000000"/>
                <w:sz w:val="20"/>
                <w:szCs w:val="20"/>
                <w:highlight w:val="none"/>
                <w:lang w:val="en-US" w:eastAsia="zh-CN"/>
              </w:rPr>
              <w:t>2049.90</w:t>
            </w:r>
          </w:p>
        </w:tc>
        <w:tc>
          <w:tcPr>
            <w:tcW w:w="4156"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其中：基本支出：</w:t>
            </w:r>
            <w:r>
              <w:rPr>
                <w:rFonts w:hint="eastAsia" w:ascii="仿宋_GB2312" w:hAnsi="仿宋_GB2312" w:eastAsia="仿宋_GB2312" w:cs="仿宋_GB2312"/>
                <w:color w:val="000000"/>
                <w:sz w:val="20"/>
                <w:szCs w:val="20"/>
                <w:highlight w:val="none"/>
                <w:lang w:val="en-US" w:eastAsia="zh-CN"/>
              </w:rPr>
              <w:t>1630.25</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4843" w:type="dxa"/>
            <w:gridSpan w:val="5"/>
            <w:tcBorders>
              <w:top w:val="nil"/>
              <w:left w:val="nil"/>
              <w:bottom w:val="single" w:color="auto" w:sz="4" w:space="0"/>
              <w:right w:val="single" w:color="auto" w:sz="4" w:space="0"/>
            </w:tcBorders>
            <w:noWrap w:val="0"/>
            <w:vAlign w:val="center"/>
          </w:tcPr>
          <w:p>
            <w:pPr>
              <w:widowControl/>
              <w:spacing w:line="240" w:lineRule="exact"/>
              <w:ind w:firstLine="800" w:firstLineChars="400"/>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政府性基金拨款：</w:t>
            </w:r>
          </w:p>
        </w:tc>
        <w:tc>
          <w:tcPr>
            <w:tcW w:w="4156" w:type="dxa"/>
            <w:gridSpan w:val="4"/>
            <w:tcBorders>
              <w:top w:val="nil"/>
              <w:left w:val="nil"/>
              <w:bottom w:val="single" w:color="auto" w:sz="4" w:space="0"/>
              <w:right w:val="single" w:color="auto" w:sz="4" w:space="0"/>
            </w:tcBorders>
            <w:noWrap w:val="0"/>
            <w:vAlign w:val="center"/>
          </w:tcPr>
          <w:p>
            <w:pPr>
              <w:widowControl/>
              <w:spacing w:line="240" w:lineRule="exact"/>
              <w:ind w:firstLine="600" w:firstLineChars="300"/>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项目支出：</w:t>
            </w:r>
            <w:r>
              <w:rPr>
                <w:rFonts w:hint="eastAsia" w:ascii="仿宋_GB2312" w:hAnsi="仿宋_GB2312" w:eastAsia="仿宋_GB2312" w:cs="仿宋_GB2312"/>
                <w:color w:val="000000"/>
                <w:sz w:val="20"/>
                <w:szCs w:val="20"/>
                <w:highlight w:val="none"/>
                <w:lang w:val="en-US" w:eastAsia="zh-CN"/>
              </w:rPr>
              <w:t>3823.00</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4843" w:type="dxa"/>
            <w:gridSpan w:val="5"/>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纳入专户管理的非税收入拨款：</w:t>
            </w:r>
          </w:p>
        </w:tc>
        <w:tc>
          <w:tcPr>
            <w:tcW w:w="4156"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80" w:type="dxa"/>
            <w:vMerge w:val="continue"/>
            <w:tcBorders>
              <w:left w:val="single" w:color="auto" w:sz="4" w:space="0"/>
              <w:bottom w:val="single" w:color="000000"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4843" w:type="dxa"/>
            <w:gridSpan w:val="5"/>
            <w:tcBorders>
              <w:top w:val="nil"/>
              <w:left w:val="nil"/>
              <w:bottom w:val="single" w:color="auto" w:sz="4" w:space="0"/>
              <w:right w:val="single" w:color="auto" w:sz="4" w:space="0"/>
            </w:tcBorders>
            <w:noWrap w:val="0"/>
            <w:vAlign w:val="center"/>
          </w:tcPr>
          <w:p>
            <w:pPr>
              <w:widowControl/>
              <w:spacing w:line="240" w:lineRule="exact"/>
              <w:ind w:firstLine="1400" w:firstLineChars="700"/>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其他资金：</w:t>
            </w:r>
            <w:r>
              <w:rPr>
                <w:rFonts w:hint="eastAsia" w:ascii="仿宋_GB2312" w:hAnsi="仿宋_GB2312" w:eastAsia="仿宋_GB2312" w:cs="仿宋_GB2312"/>
                <w:color w:val="000000"/>
                <w:sz w:val="20"/>
                <w:szCs w:val="20"/>
                <w:highlight w:val="none"/>
                <w:lang w:val="en-US" w:eastAsia="zh-CN"/>
              </w:rPr>
              <w:t>3403.35</w:t>
            </w:r>
          </w:p>
        </w:tc>
        <w:tc>
          <w:tcPr>
            <w:tcW w:w="4156"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年度总体目标</w:t>
            </w:r>
          </w:p>
        </w:tc>
        <w:tc>
          <w:tcPr>
            <w:tcW w:w="4843" w:type="dxa"/>
            <w:gridSpan w:val="5"/>
            <w:tcBorders>
              <w:top w:val="single" w:color="auto" w:sz="4" w:space="0"/>
              <w:left w:val="nil"/>
              <w:bottom w:val="single" w:color="auto" w:sz="4" w:space="0"/>
              <w:right w:val="single" w:color="000000"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预期目标</w:t>
            </w:r>
          </w:p>
        </w:tc>
        <w:tc>
          <w:tcPr>
            <w:tcW w:w="4156" w:type="dxa"/>
            <w:gridSpan w:val="4"/>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实际完成情况　</w:t>
            </w:r>
          </w:p>
        </w:tc>
      </w:tr>
      <w:tr>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4843" w:type="dxa"/>
            <w:gridSpan w:val="5"/>
            <w:tcBorders>
              <w:top w:val="single" w:color="auto" w:sz="4" w:space="0"/>
              <w:left w:val="nil"/>
              <w:bottom w:val="single" w:color="auto" w:sz="4" w:space="0"/>
              <w:right w:val="single" w:color="000000"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目标1：空气质量优良率90%以上，不断加强生态环境监督、监测、生态等管理工作，持续改善生态环境，提升人民群众对生态环境的满意度。</w:t>
            </w:r>
            <w:r>
              <w:rPr>
                <w:rFonts w:hint="eastAsia" w:ascii="仿宋_GB2312" w:hAnsi="仿宋_GB2312" w:eastAsia="仿宋_GB2312" w:cs="仿宋_GB2312"/>
                <w:color w:val="000000"/>
                <w:sz w:val="20"/>
                <w:szCs w:val="20"/>
                <w:highlight w:val="none"/>
              </w:rPr>
              <w:br w:type="textWrapping"/>
            </w:r>
            <w:r>
              <w:rPr>
                <w:rFonts w:hint="eastAsia" w:ascii="仿宋_GB2312" w:hAnsi="仿宋_GB2312" w:eastAsia="仿宋_GB2312" w:cs="仿宋_GB2312"/>
                <w:color w:val="000000"/>
                <w:sz w:val="20"/>
                <w:szCs w:val="20"/>
                <w:highlight w:val="none"/>
              </w:rPr>
              <w:t>目标2：实现无环保手续非法生产工业企业清零。</w:t>
            </w:r>
            <w:r>
              <w:rPr>
                <w:rFonts w:hint="eastAsia" w:ascii="仿宋_GB2312" w:hAnsi="仿宋_GB2312" w:eastAsia="仿宋_GB2312" w:cs="仿宋_GB2312"/>
                <w:color w:val="000000"/>
                <w:sz w:val="20"/>
                <w:szCs w:val="20"/>
                <w:highlight w:val="none"/>
              </w:rPr>
              <w:br w:type="textWrapping"/>
            </w:r>
            <w:r>
              <w:rPr>
                <w:rFonts w:hint="eastAsia" w:ascii="仿宋_GB2312" w:hAnsi="仿宋_GB2312" w:eastAsia="仿宋_GB2312" w:cs="仿宋_GB2312"/>
                <w:color w:val="000000"/>
                <w:sz w:val="20"/>
                <w:szCs w:val="20"/>
                <w:highlight w:val="none"/>
              </w:rPr>
              <w:t>目标3：保证饮用水Ⅱ类标准，地表水Ⅲ类标准，让人民群众喝上放心水　　</w:t>
            </w:r>
          </w:p>
        </w:tc>
        <w:tc>
          <w:tcPr>
            <w:tcW w:w="4156" w:type="dxa"/>
            <w:gridSpan w:val="4"/>
            <w:tcBorders>
              <w:top w:val="single" w:color="auto" w:sz="4" w:space="0"/>
              <w:left w:val="nil"/>
              <w:bottom w:val="single" w:color="auto" w:sz="4" w:space="0"/>
              <w:right w:val="single" w:color="auto" w:sz="4" w:space="0"/>
            </w:tcBorders>
            <w:noWrap w:val="0"/>
            <w:vAlign w:val="center"/>
          </w:tcPr>
          <w:p>
            <w:pPr>
              <w:widowControl/>
              <w:numPr>
                <w:ilvl w:val="0"/>
                <w:numId w:val="1"/>
              </w:numPr>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环境质量持续向好，全市城区有效监测364天，其中，优良天数为335天，优良率为92%，PM2.5平均浓度为32微克/立方米，PM10平均浓度为49微克/立方米。国控、省控、集中式饮用水水源地水质均满足Ⅱ（二）、Ⅲ（三）类水质标准，水质达标率100％。污染地块安全利用率达91％以上，重点建设用地安全利用率达100%。</w:t>
            </w:r>
          </w:p>
          <w:p>
            <w:pPr>
              <w:widowControl/>
              <w:numPr>
                <w:ilvl w:val="0"/>
                <w:numId w:val="1"/>
              </w:numPr>
              <w:spacing w:line="240" w:lineRule="exact"/>
              <w:jc w:val="left"/>
              <w:rPr>
                <w:rFonts w:hint="default" w:ascii="仿宋_GB2312" w:hAnsi="仿宋_GB2312" w:eastAsia="仿宋_GB2312" w:cs="仿宋_GB2312"/>
                <w:color w:val="000000"/>
                <w:sz w:val="20"/>
                <w:szCs w:val="20"/>
                <w:highlight w:val="none"/>
                <w:lang w:val="en-US" w:eastAsia="zh-CN"/>
              </w:rPr>
            </w:pPr>
            <w:r>
              <w:rPr>
                <w:rFonts w:hint="default" w:ascii="仿宋_GB2312" w:hAnsi="仿宋_GB2312" w:eastAsia="仿宋_GB2312" w:cs="仿宋_GB2312"/>
                <w:color w:val="000000"/>
                <w:sz w:val="20"/>
                <w:szCs w:val="20"/>
                <w:highlight w:val="none"/>
                <w:lang w:val="en-US" w:eastAsia="zh-CN"/>
              </w:rPr>
              <w:t>完成突出生态环境问题整改。第二轮中央环保督察反馈问题中2023年须完成的3个问题、生态环境部调研指出问题2个、2023年省生态环境警示片披露的1个问题、“夏季攻势” 29项任务等均已全面完成整改。2022年“5+1”环保专项督查交办1个问题、“洞庭清波”专项监督突出环境问题2023年须完成15个问题、岳阳市三个季度警示片交办我市3个问题等均已圆满完成。</w:t>
            </w:r>
          </w:p>
          <w:p>
            <w:pPr>
              <w:widowControl/>
              <w:numPr>
                <w:ilvl w:val="0"/>
                <w:numId w:val="1"/>
              </w:numPr>
              <w:spacing w:line="240" w:lineRule="exact"/>
              <w:jc w:val="left"/>
              <w:rPr>
                <w:rFonts w:hint="default" w:ascii="仿宋_GB2312" w:hAnsi="仿宋_GB2312" w:eastAsia="仿宋_GB2312" w:cs="仿宋_GB2312"/>
                <w:color w:val="000000"/>
                <w:sz w:val="20"/>
                <w:szCs w:val="20"/>
                <w:highlight w:val="none"/>
                <w:lang w:val="en-US" w:eastAsia="zh-CN"/>
              </w:rPr>
            </w:pPr>
            <w:r>
              <w:rPr>
                <w:rFonts w:hint="default" w:ascii="仿宋_GB2312" w:hAnsi="仿宋_GB2312" w:eastAsia="仿宋_GB2312" w:cs="仿宋_GB2312"/>
                <w:color w:val="000000"/>
                <w:sz w:val="20"/>
                <w:szCs w:val="20"/>
                <w:highlight w:val="none"/>
                <w:lang w:val="en-US" w:eastAsia="zh-CN"/>
              </w:rPr>
              <w:t>打好污染防治</w:t>
            </w:r>
            <w:r>
              <w:rPr>
                <w:rFonts w:hint="eastAsia" w:ascii="仿宋_GB2312" w:hAnsi="仿宋_GB2312" w:eastAsia="仿宋_GB2312" w:cs="仿宋_GB2312"/>
                <w:color w:val="000000"/>
                <w:sz w:val="20"/>
                <w:szCs w:val="20"/>
                <w:highlight w:val="none"/>
                <w:lang w:val="en-US" w:eastAsia="zh-CN"/>
              </w:rPr>
              <w:t>攻坚战。对涉气污染源开展巡查、对建筑工地及裸露地块扬尘污染防治督查、开展柴油货车尾气路检路查等，加强执法，督促整改。促相关部门完成立行立改的环境隐患问题8个，高标准完成8个村农村生活污水和14条黑臭水体综合治理任务。</w:t>
            </w:r>
          </w:p>
        </w:tc>
      </w:tr>
      <w:tr>
        <w:tblPrEx>
          <w:tblCellMar>
            <w:top w:w="0" w:type="dxa"/>
            <w:left w:w="108" w:type="dxa"/>
            <w:bottom w:w="0" w:type="dxa"/>
            <w:right w:w="108" w:type="dxa"/>
          </w:tblCellMar>
        </w:tblPrEx>
        <w:trPr>
          <w:trHeight w:val="476" w:hRule="atLeast"/>
          <w:jc w:val="center"/>
        </w:trPr>
        <w:tc>
          <w:tcPr>
            <w:tcW w:w="1080" w:type="dxa"/>
            <w:vMerge w:val="restart"/>
            <w:tcBorders>
              <w:top w:val="nil"/>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绩</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标</w:t>
            </w:r>
          </w:p>
          <w:p>
            <w:pPr>
              <w:widowControl/>
              <w:spacing w:line="240" w:lineRule="exact"/>
              <w:jc w:val="center"/>
              <w:rPr>
                <w:rFonts w:hint="eastAsia" w:ascii="仿宋_GB2312" w:hAnsi="仿宋_GB2312" w:eastAsia="仿宋_GB2312" w:cs="仿宋_GB2312"/>
                <w:color w:val="000000"/>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一级指标</w:t>
            </w:r>
          </w:p>
        </w:tc>
        <w:tc>
          <w:tcPr>
            <w:tcW w:w="10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二级指标</w:t>
            </w:r>
          </w:p>
        </w:tc>
        <w:tc>
          <w:tcPr>
            <w:tcW w:w="147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三级指标</w:t>
            </w:r>
          </w:p>
        </w:tc>
        <w:tc>
          <w:tcPr>
            <w:tcW w:w="1257"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年度指标值</w:t>
            </w:r>
          </w:p>
        </w:tc>
        <w:tc>
          <w:tcPr>
            <w:tcW w:w="112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实际完成值</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分值</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得分</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偏差原因分析及改进措施</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restart"/>
            <w:tcBorders>
              <w:top w:val="single" w:color="auto" w:sz="4" w:space="0"/>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产出指标</w:t>
            </w:r>
          </w:p>
          <w:p>
            <w:pPr>
              <w:widowControl/>
              <w:spacing w:line="240" w:lineRule="exact"/>
              <w:jc w:val="center"/>
              <w:rPr>
                <w:rFonts w:hint="eastAsia" w:ascii="仿宋_GB2312" w:hAnsi="仿宋_GB2312" w:eastAsia="仿宋_GB2312" w:cs="仿宋_GB2312"/>
                <w:color w:val="000000"/>
                <w:sz w:val="20"/>
                <w:szCs w:val="20"/>
                <w:highlight w:val="none"/>
              </w:rPr>
            </w:pP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(50分)</w:t>
            </w:r>
          </w:p>
        </w:tc>
        <w:tc>
          <w:tcPr>
            <w:tcW w:w="1034" w:type="dxa"/>
            <w:vMerge w:val="restart"/>
            <w:tcBorders>
              <w:top w:val="single" w:color="auto" w:sz="4" w:space="0"/>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数量指标</w:t>
            </w:r>
          </w:p>
        </w:tc>
        <w:tc>
          <w:tcPr>
            <w:tcW w:w="147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开展危险废物规范化管理评估</w:t>
            </w:r>
          </w:p>
        </w:tc>
        <w:tc>
          <w:tcPr>
            <w:tcW w:w="1257"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100%</w:t>
            </w:r>
          </w:p>
        </w:tc>
        <w:tc>
          <w:tcPr>
            <w:tcW w:w="112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eastAsia="zh-CN"/>
              </w:rPr>
              <w:t>已完成</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p>
        </w:tc>
        <w:tc>
          <w:tcPr>
            <w:tcW w:w="1034" w:type="dxa"/>
            <w:vMerge w:val="continue"/>
            <w:tcBorders>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p>
        </w:tc>
        <w:tc>
          <w:tcPr>
            <w:tcW w:w="147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整改污染防治攻坚战“夏季攻势”任务</w:t>
            </w:r>
          </w:p>
        </w:tc>
        <w:tc>
          <w:tcPr>
            <w:tcW w:w="1257"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29项</w:t>
            </w:r>
          </w:p>
        </w:tc>
        <w:tc>
          <w:tcPr>
            <w:tcW w:w="112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已完成</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p>
        </w:tc>
        <w:tc>
          <w:tcPr>
            <w:tcW w:w="1034" w:type="dxa"/>
            <w:vMerge w:val="continue"/>
            <w:tcBorders>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p>
        </w:tc>
        <w:tc>
          <w:tcPr>
            <w:tcW w:w="147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强力开展各项专项行动</w:t>
            </w:r>
          </w:p>
        </w:tc>
        <w:tc>
          <w:tcPr>
            <w:tcW w:w="1257"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10次</w:t>
            </w:r>
          </w:p>
        </w:tc>
        <w:tc>
          <w:tcPr>
            <w:tcW w:w="112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已完成</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left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color w:val="000000"/>
                <w:sz w:val="20"/>
                <w:szCs w:val="20"/>
                <w:highlight w:val="none"/>
              </w:rPr>
            </w:pPr>
          </w:p>
        </w:tc>
        <w:tc>
          <w:tcPr>
            <w:tcW w:w="1034" w:type="dxa"/>
            <w:vMerge w:val="restart"/>
            <w:tcBorders>
              <w:top w:val="single" w:color="auto" w:sz="4" w:space="0"/>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质量指标</w:t>
            </w:r>
          </w:p>
        </w:tc>
        <w:tc>
          <w:tcPr>
            <w:tcW w:w="147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环境质量达标</w:t>
            </w:r>
          </w:p>
        </w:tc>
        <w:tc>
          <w:tcPr>
            <w:tcW w:w="1257"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90%</w:t>
            </w:r>
          </w:p>
        </w:tc>
        <w:tc>
          <w:tcPr>
            <w:tcW w:w="112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已完成</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left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color w:val="000000"/>
                <w:sz w:val="20"/>
                <w:szCs w:val="20"/>
                <w:highlight w:val="none"/>
              </w:rPr>
            </w:pPr>
          </w:p>
        </w:tc>
        <w:tc>
          <w:tcPr>
            <w:tcW w:w="1034" w:type="dxa"/>
            <w:vMerge w:val="continue"/>
            <w:tcBorders>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p>
        </w:tc>
        <w:tc>
          <w:tcPr>
            <w:tcW w:w="147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问题整改</w:t>
            </w:r>
          </w:p>
        </w:tc>
        <w:tc>
          <w:tcPr>
            <w:tcW w:w="1257"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100%</w:t>
            </w:r>
          </w:p>
        </w:tc>
        <w:tc>
          <w:tcPr>
            <w:tcW w:w="112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已完成</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left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color w:val="000000"/>
                <w:sz w:val="20"/>
                <w:szCs w:val="20"/>
                <w:highlight w:val="none"/>
              </w:rPr>
            </w:pPr>
          </w:p>
        </w:tc>
        <w:tc>
          <w:tcPr>
            <w:tcW w:w="10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时效指标</w:t>
            </w:r>
          </w:p>
        </w:tc>
        <w:tc>
          <w:tcPr>
            <w:tcW w:w="147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按时完成各项指标任务</w:t>
            </w:r>
          </w:p>
        </w:tc>
        <w:tc>
          <w:tcPr>
            <w:tcW w:w="1257"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2023年全年</w:t>
            </w:r>
          </w:p>
        </w:tc>
        <w:tc>
          <w:tcPr>
            <w:tcW w:w="112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已完成</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10</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left w:val="single" w:color="auto" w:sz="4" w:space="0"/>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color w:val="000000"/>
                <w:sz w:val="20"/>
                <w:szCs w:val="20"/>
                <w:highlight w:val="none"/>
              </w:rPr>
            </w:pPr>
          </w:p>
        </w:tc>
        <w:tc>
          <w:tcPr>
            <w:tcW w:w="10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成本指标</w:t>
            </w:r>
          </w:p>
        </w:tc>
        <w:tc>
          <w:tcPr>
            <w:tcW w:w="147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支出控制在预算内</w:t>
            </w:r>
          </w:p>
        </w:tc>
        <w:tc>
          <w:tcPr>
            <w:tcW w:w="1257"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100%</w:t>
            </w:r>
          </w:p>
        </w:tc>
        <w:tc>
          <w:tcPr>
            <w:tcW w:w="112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100%</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效益指标</w:t>
            </w:r>
          </w:p>
          <w:p>
            <w:pPr>
              <w:widowControl/>
              <w:spacing w:line="240" w:lineRule="exact"/>
              <w:jc w:val="center"/>
              <w:rPr>
                <w:rFonts w:hint="eastAsia" w:ascii="仿宋_GB2312" w:hAnsi="仿宋_GB2312" w:eastAsia="仿宋_GB2312" w:cs="仿宋_GB2312"/>
                <w:color w:val="000000"/>
                <w:sz w:val="20"/>
                <w:szCs w:val="20"/>
                <w:highlight w:val="none"/>
              </w:rPr>
            </w:pP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（30分）</w:t>
            </w:r>
          </w:p>
          <w:p>
            <w:pPr>
              <w:widowControl/>
              <w:spacing w:line="240" w:lineRule="exact"/>
              <w:jc w:val="center"/>
              <w:rPr>
                <w:rFonts w:hint="eastAsia" w:ascii="仿宋_GB2312" w:hAnsi="仿宋_GB2312" w:eastAsia="仿宋_GB2312" w:cs="仿宋_GB2312"/>
                <w:color w:val="000000"/>
                <w:sz w:val="20"/>
                <w:szCs w:val="20"/>
                <w:highlight w:val="none"/>
              </w:rPr>
            </w:pPr>
          </w:p>
        </w:tc>
        <w:tc>
          <w:tcPr>
            <w:tcW w:w="1034" w:type="dxa"/>
            <w:tcBorders>
              <w:top w:val="single" w:color="auto" w:sz="4" w:space="0"/>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经济效</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47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实现节能减排，缓解财政对污染整治支出压力</w:t>
            </w:r>
          </w:p>
        </w:tc>
        <w:tc>
          <w:tcPr>
            <w:tcW w:w="1257"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较同期有所缓解</w:t>
            </w:r>
          </w:p>
        </w:tc>
        <w:tc>
          <w:tcPr>
            <w:tcW w:w="112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较同期有所缓解</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5</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color w:val="000000"/>
                <w:sz w:val="20"/>
                <w:szCs w:val="20"/>
                <w:highlight w:val="none"/>
              </w:rPr>
            </w:pPr>
          </w:p>
        </w:tc>
        <w:tc>
          <w:tcPr>
            <w:tcW w:w="1034" w:type="dxa"/>
            <w:vMerge w:val="restart"/>
            <w:tcBorders>
              <w:top w:val="single" w:color="auto" w:sz="4" w:space="0"/>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社会效</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47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改善居民生活环境质量</w:t>
            </w:r>
          </w:p>
        </w:tc>
        <w:tc>
          <w:tcPr>
            <w:tcW w:w="1257"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90%以上</w:t>
            </w:r>
          </w:p>
        </w:tc>
        <w:tc>
          <w:tcPr>
            <w:tcW w:w="112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96%</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sz w:val="20"/>
                <w:szCs w:val="20"/>
                <w:highlight w:val="none"/>
                <w:lang w:val="en-US"/>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5</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color w:val="000000"/>
                <w:sz w:val="20"/>
                <w:szCs w:val="20"/>
                <w:highlight w:val="none"/>
              </w:rPr>
            </w:pPr>
          </w:p>
        </w:tc>
        <w:tc>
          <w:tcPr>
            <w:tcW w:w="1034" w:type="dxa"/>
            <w:vMerge w:val="continue"/>
            <w:tcBorders>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p>
        </w:tc>
        <w:tc>
          <w:tcPr>
            <w:tcW w:w="147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公众爱护环境、企业自觉遵守环保法律法规依法排污</w:t>
            </w:r>
          </w:p>
        </w:tc>
        <w:tc>
          <w:tcPr>
            <w:tcW w:w="1257"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效益明显</w:t>
            </w:r>
          </w:p>
        </w:tc>
        <w:tc>
          <w:tcPr>
            <w:tcW w:w="112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效益明显</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5</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color w:val="000000"/>
                <w:sz w:val="20"/>
                <w:szCs w:val="20"/>
                <w:highlight w:val="none"/>
              </w:rPr>
            </w:pPr>
          </w:p>
        </w:tc>
        <w:tc>
          <w:tcPr>
            <w:tcW w:w="1034" w:type="dxa"/>
            <w:vMerge w:val="restart"/>
            <w:tcBorders>
              <w:top w:val="single" w:color="auto" w:sz="4" w:space="0"/>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生态效</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47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治理重点污染源</w:t>
            </w:r>
          </w:p>
        </w:tc>
        <w:tc>
          <w:tcPr>
            <w:tcW w:w="1257"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实施大气污染防治攻坚</w:t>
            </w:r>
          </w:p>
        </w:tc>
        <w:tc>
          <w:tcPr>
            <w:tcW w:w="112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已完成</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5</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color w:val="000000"/>
                <w:sz w:val="20"/>
                <w:szCs w:val="20"/>
                <w:highlight w:val="none"/>
              </w:rPr>
            </w:pPr>
          </w:p>
        </w:tc>
        <w:tc>
          <w:tcPr>
            <w:tcW w:w="1034" w:type="dxa"/>
            <w:vMerge w:val="continue"/>
            <w:tcBorders>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p>
        </w:tc>
        <w:tc>
          <w:tcPr>
            <w:tcW w:w="147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空气质量达标</w:t>
            </w:r>
          </w:p>
        </w:tc>
        <w:tc>
          <w:tcPr>
            <w:tcW w:w="1257"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达标</w:t>
            </w:r>
          </w:p>
        </w:tc>
        <w:tc>
          <w:tcPr>
            <w:tcW w:w="112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达标</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5</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trHeight w:val="290" w:hRule="atLeast"/>
          <w:jc w:val="center"/>
        </w:trPr>
        <w:tc>
          <w:tcPr>
            <w:tcW w:w="1080" w:type="dxa"/>
            <w:vMerge w:val="continue"/>
            <w:tcBorders>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p>
        </w:tc>
        <w:tc>
          <w:tcPr>
            <w:tcW w:w="10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可持续影响指标</w:t>
            </w:r>
          </w:p>
        </w:tc>
        <w:tc>
          <w:tcPr>
            <w:tcW w:w="147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节能减排推动污染治理环保产业发展</w:t>
            </w:r>
          </w:p>
        </w:tc>
        <w:tc>
          <w:tcPr>
            <w:tcW w:w="1257"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环境质量稳步提升</w:t>
            </w:r>
          </w:p>
        </w:tc>
        <w:tc>
          <w:tcPr>
            <w:tcW w:w="112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已完成</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5</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trHeight w:val="330" w:hRule="atLeast"/>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满意度</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（10分）</w:t>
            </w:r>
          </w:p>
        </w:tc>
        <w:tc>
          <w:tcPr>
            <w:tcW w:w="10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服务对象满意度指标</w:t>
            </w:r>
          </w:p>
        </w:tc>
        <w:tc>
          <w:tcPr>
            <w:tcW w:w="147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群众对环境质量改善的满意度</w:t>
            </w:r>
          </w:p>
        </w:tc>
        <w:tc>
          <w:tcPr>
            <w:tcW w:w="1257"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≥90%</w:t>
            </w:r>
          </w:p>
        </w:tc>
        <w:tc>
          <w:tcPr>
            <w:tcW w:w="112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98%</w:t>
            </w:r>
          </w:p>
        </w:tc>
        <w:tc>
          <w:tcPr>
            <w:tcW w:w="71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ind w:left="0" w:leftChars="0"/>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ind w:left="0" w:leftChars="0"/>
              <w:jc w:val="center"/>
              <w:textAlignment w:val="auto"/>
              <w:rPr>
                <w:rFonts w:hint="default"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10</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trHeight w:val="270" w:hRule="atLeast"/>
          <w:jc w:val="center"/>
        </w:trPr>
        <w:tc>
          <w:tcPr>
            <w:tcW w:w="7044" w:type="dxa"/>
            <w:gridSpan w:val="7"/>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总分</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100</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p>
        </w:tc>
      </w:tr>
    </w:tbl>
    <w:p>
      <w:pPr>
        <w:widowControl/>
        <w:spacing w:line="600" w:lineRule="exact"/>
        <w:jc w:val="left"/>
        <w:rPr>
          <w:rFonts w:hint="eastAsia" w:ascii="Times New Roman" w:hAnsi="Times New Roman" w:eastAsia="黑体" w:cs="Times New Roman"/>
          <w:sz w:val="32"/>
          <w:szCs w:val="32"/>
          <w:highlight w:val="none"/>
          <w:lang w:eastAsia="zh-CN"/>
        </w:rPr>
      </w:pPr>
      <w:r>
        <w:rPr>
          <w:rFonts w:hint="default" w:ascii="Times New Roman" w:hAnsi="Times New Roman" w:eastAsia="仿宋_GB2312" w:cs="Times New Roman"/>
          <w:sz w:val="22"/>
          <w:szCs w:val="22"/>
          <w:highlight w:val="none"/>
        </w:rPr>
        <w:t xml:space="preserve">填表人：      填报日期：         联系电话：     </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单位负责人签字：</w:t>
      </w:r>
      <w:r>
        <w:rPr>
          <w:rFonts w:hint="default" w:ascii="Times New Roman" w:hAnsi="Times New Roman" w:eastAsia="仿宋_GB2312" w:cs="Times New Roman"/>
          <w:sz w:val="22"/>
          <w:szCs w:val="22"/>
          <w:highlight w:val="none"/>
        </w:rPr>
        <w:br w:type="page"/>
      </w:r>
      <w:r>
        <w:rPr>
          <w:rFonts w:hint="eastAsia" w:ascii="黑体" w:hAnsi="黑体" w:eastAsia="黑体" w:cs="黑体"/>
          <w:sz w:val="32"/>
          <w:szCs w:val="32"/>
          <w:highlight w:val="none"/>
        </w:rPr>
        <w:t>附件</w:t>
      </w:r>
      <w:r>
        <w:rPr>
          <w:rFonts w:hint="eastAsia" w:ascii="黑体" w:hAnsi="黑体" w:eastAsia="黑体" w:cs="黑体"/>
          <w:sz w:val="32"/>
          <w:szCs w:val="32"/>
          <w:highlight w:val="none"/>
          <w:lang w:val="en-US" w:eastAsia="zh-CN"/>
        </w:rPr>
        <w:t>3</w:t>
      </w:r>
    </w:p>
    <w:p>
      <w:pPr>
        <w:widowControl/>
        <w:spacing w:line="600" w:lineRule="exact"/>
        <w:jc w:val="center"/>
        <w:rPr>
          <w:rFonts w:hint="eastAsia" w:ascii="方正小标宋简体" w:hAnsi="方正小标宋简体" w:eastAsia="方正小标宋简体" w:cs="方正小标宋简体"/>
          <w:color w:val="000000"/>
          <w:sz w:val="36"/>
          <w:szCs w:val="36"/>
          <w:highlight w:val="none"/>
        </w:rPr>
      </w:pPr>
      <w:r>
        <w:rPr>
          <w:rFonts w:hint="eastAsia" w:ascii="方正小标宋简体" w:hAnsi="方正小标宋简体" w:eastAsia="方正小标宋简体" w:cs="方正小标宋简体"/>
          <w:color w:val="000000"/>
          <w:sz w:val="36"/>
          <w:szCs w:val="36"/>
          <w:highlight w:val="none"/>
        </w:rPr>
        <w:t>202</w:t>
      </w:r>
      <w:r>
        <w:rPr>
          <w:rFonts w:hint="eastAsia" w:ascii="方正小标宋简体" w:hAnsi="方正小标宋简体" w:eastAsia="方正小标宋简体" w:cs="方正小标宋简体"/>
          <w:color w:val="000000"/>
          <w:sz w:val="36"/>
          <w:szCs w:val="36"/>
          <w:highlight w:val="none"/>
          <w:lang w:val="en-US" w:eastAsia="zh-CN"/>
        </w:rPr>
        <w:t>3</w:t>
      </w:r>
      <w:r>
        <w:rPr>
          <w:rFonts w:hint="eastAsia" w:ascii="方正小标宋简体" w:hAnsi="方正小标宋简体" w:eastAsia="方正小标宋简体" w:cs="方正小标宋简体"/>
          <w:color w:val="000000"/>
          <w:sz w:val="36"/>
          <w:szCs w:val="36"/>
          <w:highlight w:val="none"/>
        </w:rPr>
        <w:t>年度项目支出绩效自评表</w:t>
      </w:r>
    </w:p>
    <w:tbl>
      <w:tblPr>
        <w:tblStyle w:val="4"/>
        <w:tblW w:w="9851" w:type="dxa"/>
        <w:jc w:val="center"/>
        <w:tblLayout w:type="fixed"/>
        <w:tblCellMar>
          <w:top w:w="0" w:type="dxa"/>
          <w:left w:w="108" w:type="dxa"/>
          <w:bottom w:w="0" w:type="dxa"/>
          <w:right w:w="108" w:type="dxa"/>
        </w:tblCellMar>
      </w:tblPr>
      <w:tblGrid>
        <w:gridCol w:w="1080"/>
        <w:gridCol w:w="1080"/>
        <w:gridCol w:w="1080"/>
        <w:gridCol w:w="1524"/>
        <w:gridCol w:w="834"/>
        <w:gridCol w:w="1134"/>
        <w:gridCol w:w="828"/>
        <w:gridCol w:w="873"/>
        <w:gridCol w:w="1418"/>
      </w:tblGrid>
      <w:tr>
        <w:tblPrEx>
          <w:tblCellMar>
            <w:top w:w="0" w:type="dxa"/>
            <w:left w:w="108" w:type="dxa"/>
            <w:bottom w:w="0" w:type="dxa"/>
            <w:right w:w="108" w:type="dxa"/>
          </w:tblCellMar>
        </w:tblPrEx>
        <w:trPr>
          <w:jc w:val="center"/>
        </w:trPr>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项目支</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出名称</w:t>
            </w:r>
          </w:p>
        </w:tc>
        <w:tc>
          <w:tcPr>
            <w:tcW w:w="8771" w:type="dxa"/>
            <w:gridSpan w:val="8"/>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sz w:val="20"/>
                <w:szCs w:val="20"/>
                <w:highlight w:val="none"/>
              </w:rPr>
              <w:t>环境监测、监控及监察能力建设</w:t>
            </w:r>
          </w:p>
        </w:tc>
      </w:tr>
      <w:tr>
        <w:tblPrEx>
          <w:tblCellMar>
            <w:top w:w="0" w:type="dxa"/>
            <w:left w:w="108" w:type="dxa"/>
            <w:bottom w:w="0" w:type="dxa"/>
            <w:right w:w="108" w:type="dxa"/>
          </w:tblCellMar>
        </w:tblPrEx>
        <w:trPr>
          <w:jc w:val="center"/>
        </w:trPr>
        <w:tc>
          <w:tcPr>
            <w:tcW w:w="1080"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主管部门</w:t>
            </w:r>
          </w:p>
        </w:tc>
        <w:tc>
          <w:tcPr>
            <w:tcW w:w="4518"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lang w:val="en-US" w:eastAsia="zh-CN"/>
              </w:rPr>
              <w:t>岳阳市生态环境局</w:t>
            </w:r>
          </w:p>
        </w:tc>
        <w:tc>
          <w:tcPr>
            <w:tcW w:w="1134" w:type="dxa"/>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实施单位</w:t>
            </w:r>
          </w:p>
        </w:tc>
        <w:tc>
          <w:tcPr>
            <w:tcW w:w="3119"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　岳阳市生态环境局汨罗分局</w:t>
            </w:r>
          </w:p>
        </w:tc>
      </w:tr>
      <w:tr>
        <w:tblPrEx>
          <w:tblCellMar>
            <w:top w:w="0" w:type="dxa"/>
            <w:left w:w="108" w:type="dxa"/>
            <w:bottom w:w="0" w:type="dxa"/>
            <w:right w:w="108" w:type="dxa"/>
          </w:tblCellMar>
        </w:tblPrEx>
        <w:trPr>
          <w:jc w:val="center"/>
        </w:trPr>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项目资金</w:t>
            </w:r>
            <w:r>
              <w:rPr>
                <w:rFonts w:hint="eastAsia" w:ascii="仿宋_GB2312" w:hAnsi="仿宋_GB2312" w:eastAsia="仿宋_GB2312" w:cs="仿宋_GB2312"/>
                <w:color w:val="000000"/>
                <w:sz w:val="20"/>
                <w:szCs w:val="20"/>
                <w:highlight w:val="none"/>
              </w:rPr>
              <w:br w:type="textWrapping"/>
            </w:r>
            <w:r>
              <w:rPr>
                <w:rFonts w:hint="eastAsia" w:ascii="仿宋_GB2312" w:hAnsi="仿宋_GB2312" w:eastAsia="仿宋_GB2312" w:cs="仿宋_GB2312"/>
                <w:color w:val="000000"/>
                <w:sz w:val="20"/>
                <w:szCs w:val="20"/>
                <w:highlight w:val="none"/>
              </w:rPr>
              <w:t>（万元）</w:t>
            </w:r>
          </w:p>
        </w:tc>
        <w:tc>
          <w:tcPr>
            <w:tcW w:w="2160"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5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年初</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预算数</w:t>
            </w:r>
          </w:p>
        </w:tc>
        <w:tc>
          <w:tcPr>
            <w:tcW w:w="8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全年</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预算数</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全年</w:t>
            </w:r>
          </w:p>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执行数</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分值</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执行率</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得分</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年度资金总额　</w:t>
            </w:r>
          </w:p>
        </w:tc>
        <w:tc>
          <w:tcPr>
            <w:tcW w:w="1524"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kern w:val="0"/>
                <w:sz w:val="20"/>
                <w:szCs w:val="20"/>
                <w:highlight w:val="none"/>
                <w:lang w:val="en-US" w:eastAsia="zh-CN" w:bidi="ar-SA"/>
              </w:rPr>
              <w:t>117.50</w:t>
            </w:r>
          </w:p>
        </w:tc>
        <w:tc>
          <w:tcPr>
            <w:tcW w:w="834"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sz w:val="20"/>
                <w:szCs w:val="20"/>
                <w:highlight w:val="none"/>
                <w:lang w:val="en-US" w:eastAsia="zh-CN"/>
              </w:rPr>
              <w:t>72.00</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rPr>
            </w:pPr>
            <w:r>
              <w:rPr>
                <w:rFonts w:hint="eastAsia" w:ascii="仿宋_GB2312" w:hAnsi="仿宋_GB2312" w:eastAsia="仿宋_GB2312" w:cs="仿宋_GB2312"/>
                <w:color w:val="000000"/>
                <w:sz w:val="20"/>
                <w:szCs w:val="20"/>
                <w:highlight w:val="none"/>
                <w:lang w:val="en-US" w:eastAsia="zh-CN"/>
              </w:rPr>
              <w:t>72.00</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100%</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其中：当年财政拨款　</w:t>
            </w:r>
          </w:p>
        </w:tc>
        <w:tc>
          <w:tcPr>
            <w:tcW w:w="1524"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center"/>
              <w:rPr>
                <w:rFonts w:hint="default"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kern w:val="0"/>
                <w:sz w:val="20"/>
                <w:szCs w:val="20"/>
                <w:highlight w:val="none"/>
                <w:lang w:val="en-US" w:eastAsia="zh-CN" w:bidi="ar-SA"/>
              </w:rPr>
              <w:t>117.50</w:t>
            </w:r>
          </w:p>
        </w:tc>
        <w:tc>
          <w:tcPr>
            <w:tcW w:w="834"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sz w:val="20"/>
                <w:szCs w:val="20"/>
                <w:highlight w:val="none"/>
                <w:lang w:val="en-US" w:eastAsia="zh-CN"/>
              </w:rPr>
              <w:t>72.00</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72.00</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600" w:firstLineChars="30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上年结转资金　</w:t>
            </w:r>
          </w:p>
        </w:tc>
        <w:tc>
          <w:tcPr>
            <w:tcW w:w="15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p>
        </w:tc>
        <w:tc>
          <w:tcPr>
            <w:tcW w:w="8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600" w:firstLineChars="30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其他资金</w:t>
            </w:r>
          </w:p>
        </w:tc>
        <w:tc>
          <w:tcPr>
            <w:tcW w:w="15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年度总体目标</w:t>
            </w:r>
          </w:p>
        </w:tc>
        <w:tc>
          <w:tcPr>
            <w:tcW w:w="4518" w:type="dxa"/>
            <w:gridSpan w:val="4"/>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预期目标</w:t>
            </w:r>
          </w:p>
        </w:tc>
        <w:tc>
          <w:tcPr>
            <w:tcW w:w="4253" w:type="dxa"/>
            <w:gridSpan w:val="4"/>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实际完成情况　</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4518" w:type="dxa"/>
            <w:gridSpan w:val="4"/>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rPr>
              <w:t>1</w:t>
            </w:r>
            <w:r>
              <w:rPr>
                <w:rFonts w:hint="eastAsia" w:ascii="仿宋_GB2312" w:hAnsi="仿宋_GB2312" w:eastAsia="仿宋_GB2312" w:cs="仿宋_GB2312"/>
                <w:color w:val="000000"/>
                <w:sz w:val="20"/>
                <w:szCs w:val="20"/>
                <w:highlight w:val="none"/>
                <w:lang w:eastAsia="zh-CN"/>
              </w:rPr>
              <w:t>、</w:t>
            </w:r>
            <w:r>
              <w:rPr>
                <w:rFonts w:hint="eastAsia" w:ascii="仿宋_GB2312" w:hAnsi="仿宋_GB2312" w:eastAsia="仿宋_GB2312" w:cs="仿宋_GB2312"/>
                <w:color w:val="000000"/>
                <w:sz w:val="20"/>
                <w:szCs w:val="20"/>
                <w:highlight w:val="none"/>
              </w:rPr>
              <w:t>环境保护监控、监测及监察能力建设</w:t>
            </w: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rPr>
              <w:t>2</w:t>
            </w:r>
            <w:r>
              <w:rPr>
                <w:rFonts w:hint="eastAsia" w:ascii="仿宋_GB2312" w:hAnsi="仿宋_GB2312" w:eastAsia="仿宋_GB2312" w:cs="仿宋_GB2312"/>
                <w:color w:val="000000"/>
                <w:sz w:val="20"/>
                <w:szCs w:val="20"/>
                <w:highlight w:val="none"/>
                <w:lang w:eastAsia="zh-CN"/>
              </w:rPr>
              <w:t>、</w:t>
            </w:r>
            <w:r>
              <w:rPr>
                <w:rFonts w:hint="eastAsia" w:ascii="仿宋_GB2312" w:hAnsi="仿宋_GB2312" w:eastAsia="仿宋_GB2312" w:cs="仿宋_GB2312"/>
                <w:color w:val="000000"/>
                <w:sz w:val="20"/>
                <w:szCs w:val="20"/>
                <w:highlight w:val="none"/>
              </w:rPr>
              <w:t>监测站实验室购买监测设备、实验耗材、试剂</w:t>
            </w: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val="en-US" w:eastAsia="zh-CN"/>
              </w:rPr>
              <w:t>3、</w:t>
            </w:r>
            <w:r>
              <w:rPr>
                <w:rFonts w:hint="eastAsia" w:ascii="仿宋_GB2312" w:hAnsi="仿宋_GB2312" w:eastAsia="仿宋_GB2312" w:cs="仿宋_GB2312"/>
                <w:color w:val="000000"/>
                <w:sz w:val="20"/>
                <w:szCs w:val="20"/>
                <w:highlight w:val="none"/>
              </w:rPr>
              <w:t>对排污口进行排查监测</w:t>
            </w:r>
          </w:p>
        </w:tc>
        <w:tc>
          <w:tcPr>
            <w:tcW w:w="4253" w:type="dxa"/>
            <w:gridSpan w:val="4"/>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已完成</w:t>
            </w:r>
          </w:p>
        </w:tc>
      </w:tr>
      <w:tr>
        <w:tblPrEx>
          <w:tblCellMar>
            <w:top w:w="0" w:type="dxa"/>
            <w:left w:w="108" w:type="dxa"/>
            <w:bottom w:w="0" w:type="dxa"/>
            <w:right w:w="108" w:type="dxa"/>
          </w:tblCellMar>
        </w:tblPrEx>
        <w:trPr>
          <w:jc w:val="center"/>
        </w:trPr>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绩</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标</w:t>
            </w: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一级指标</w:t>
            </w: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二级指标</w:t>
            </w:r>
          </w:p>
        </w:tc>
        <w:tc>
          <w:tcPr>
            <w:tcW w:w="15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三级指标</w:t>
            </w:r>
          </w:p>
        </w:tc>
        <w:tc>
          <w:tcPr>
            <w:tcW w:w="8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指标值</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完成值</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分值</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得分</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偏差原因分析及改进措施</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产出指标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(50分)</w:t>
            </w: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数量指标</w:t>
            </w:r>
          </w:p>
        </w:tc>
        <w:tc>
          <w:tcPr>
            <w:tcW w:w="15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强力开展各项专项行动</w:t>
            </w:r>
          </w:p>
        </w:tc>
        <w:tc>
          <w:tcPr>
            <w:tcW w:w="8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≥10</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eastAsia="zh-CN"/>
              </w:rPr>
              <w:t>已完成</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5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出动执法人员</w:t>
            </w:r>
          </w:p>
        </w:tc>
        <w:tc>
          <w:tcPr>
            <w:tcW w:w="8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≥200人次</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eastAsia="zh-CN"/>
              </w:rPr>
              <w:t>已完成</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5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排查涉危险废物企事业单位</w:t>
            </w:r>
          </w:p>
        </w:tc>
        <w:tc>
          <w:tcPr>
            <w:tcW w:w="8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≥20家</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已完成</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质量指标</w:t>
            </w:r>
          </w:p>
        </w:tc>
        <w:tc>
          <w:tcPr>
            <w:tcW w:w="15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全市环境质量达标</w:t>
            </w:r>
          </w:p>
        </w:tc>
        <w:tc>
          <w:tcPr>
            <w:tcW w:w="8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≥90%</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已完成</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时效指标</w:t>
            </w:r>
          </w:p>
        </w:tc>
        <w:tc>
          <w:tcPr>
            <w:tcW w:w="15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按时完成各项指标任务</w:t>
            </w:r>
          </w:p>
        </w:tc>
        <w:tc>
          <w:tcPr>
            <w:tcW w:w="8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rPr>
            </w:pPr>
            <w:r>
              <w:rPr>
                <w:rFonts w:hint="eastAsia" w:ascii="仿宋_GB2312" w:hAnsi="仿宋_GB2312" w:eastAsia="仿宋_GB2312" w:cs="仿宋_GB2312"/>
                <w:color w:val="000000"/>
                <w:sz w:val="20"/>
                <w:szCs w:val="20"/>
                <w:highlight w:val="none"/>
                <w:lang w:val="en-US" w:eastAsia="zh-CN"/>
              </w:rPr>
              <w:t>2023年</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已完成</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成本指标</w:t>
            </w:r>
          </w:p>
        </w:tc>
        <w:tc>
          <w:tcPr>
            <w:tcW w:w="15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经济成本指标</w:t>
            </w:r>
          </w:p>
        </w:tc>
        <w:tc>
          <w:tcPr>
            <w:tcW w:w="8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监察、监测运行成本</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已完成</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效益指标</w:t>
            </w: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（30分）</w:t>
            </w: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经济效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5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促进经济发展</w:t>
            </w:r>
          </w:p>
        </w:tc>
        <w:tc>
          <w:tcPr>
            <w:tcW w:w="8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经济平稳发展</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已完成</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社会效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5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改善居民生产、生活环境，提升幸福生活指数</w:t>
            </w:r>
          </w:p>
        </w:tc>
        <w:tc>
          <w:tcPr>
            <w:tcW w:w="8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有所改善</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已完成</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restart"/>
            <w:tcBorders>
              <w:top w:val="single" w:color="auto" w:sz="4" w:space="0"/>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生态效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5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治理重点污染城市环境空气质量优良率达到85%以上</w:t>
            </w:r>
          </w:p>
        </w:tc>
        <w:tc>
          <w:tcPr>
            <w:tcW w:w="8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有所改善</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已完成</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5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大气主要污染物二氧化硫、氮氧化物排放总量较往年分别下降2%以上</w:t>
            </w:r>
          </w:p>
        </w:tc>
        <w:tc>
          <w:tcPr>
            <w:tcW w:w="8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有所改善</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eastAsia="zh-CN"/>
              </w:rPr>
              <w:t>已完成</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5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生产总值二氧化碳排放较往年下降3.37%以上</w:t>
            </w:r>
          </w:p>
        </w:tc>
        <w:tc>
          <w:tcPr>
            <w:tcW w:w="8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有所改善</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eastAsia="zh-CN"/>
              </w:rPr>
              <w:t>已完成</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可持续影响指标</w:t>
            </w:r>
          </w:p>
        </w:tc>
        <w:tc>
          <w:tcPr>
            <w:tcW w:w="152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社会可持续发展良好</w:t>
            </w:r>
          </w:p>
        </w:tc>
        <w:tc>
          <w:tcPr>
            <w:tcW w:w="8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lang w:val="en-US" w:eastAsia="zh-CN"/>
              </w:rPr>
              <w:t>效益明显</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已完成</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满意度</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（10分）</w:t>
            </w: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服务对象满意度指标</w:t>
            </w:r>
          </w:p>
        </w:tc>
        <w:tc>
          <w:tcPr>
            <w:tcW w:w="15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汨罗市全体群众</w:t>
            </w:r>
          </w:p>
        </w:tc>
        <w:tc>
          <w:tcPr>
            <w:tcW w:w="8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≥95%</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eastAsia="zh-CN"/>
              </w:rPr>
              <w:t>已完成</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6732" w:type="dxa"/>
            <w:gridSpan w:val="6"/>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总分</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100</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bl>
    <w:p>
      <w:pPr>
        <w:rPr>
          <w:rFonts w:hint="default" w:ascii="Times New Roman" w:hAnsi="Times New Roman" w:eastAsia="仿宋_GB2312" w:cs="Times New Roman"/>
          <w:sz w:val="18"/>
          <w:szCs w:val="18"/>
          <w:highlight w:val="none"/>
        </w:rPr>
      </w:pPr>
    </w:p>
    <w:p>
      <w:pPr>
        <w:rPr>
          <w:rFonts w:hint="default" w:ascii="Times New Roman" w:hAnsi="Times New Roman" w:eastAsia="仿宋_GB2312" w:cs="Times New Roman"/>
          <w:szCs w:val="21"/>
          <w:highlight w:val="none"/>
        </w:rPr>
      </w:pPr>
      <w:r>
        <w:rPr>
          <w:rFonts w:hint="default" w:ascii="Times New Roman" w:hAnsi="Times New Roman" w:eastAsia="仿宋_GB2312" w:cs="Times New Roman"/>
          <w:sz w:val="18"/>
          <w:szCs w:val="18"/>
          <w:highlight w:val="none"/>
        </w:rPr>
        <w:t>备注：一个一级项目支出一张表。</w:t>
      </w:r>
      <w:r>
        <w:rPr>
          <w:rFonts w:hint="eastAsia" w:ascii="Times New Roman" w:hAnsi="Times New Roman" w:eastAsia="仿宋_GB2312" w:cs="Times New Roman"/>
          <w:sz w:val="18"/>
          <w:szCs w:val="18"/>
          <w:highlight w:val="none"/>
          <w:lang w:eastAsia="zh-CN"/>
        </w:rPr>
        <w:t>如，</w:t>
      </w:r>
      <w:r>
        <w:rPr>
          <w:rFonts w:hint="default" w:ascii="Times New Roman" w:hAnsi="Times New Roman" w:eastAsia="仿宋_GB2312" w:cs="Times New Roman"/>
          <w:sz w:val="18"/>
          <w:szCs w:val="18"/>
          <w:highlight w:val="none"/>
        </w:rPr>
        <w:t>业务工作经费</w:t>
      </w:r>
      <w:r>
        <w:rPr>
          <w:rFonts w:hint="eastAsia" w:ascii="Times New Roman" w:hAnsi="Times New Roman" w:eastAsia="仿宋_GB2312" w:cs="Times New Roman"/>
          <w:sz w:val="18"/>
          <w:szCs w:val="18"/>
          <w:highlight w:val="none"/>
          <w:lang w:eastAsia="zh-CN"/>
        </w:rPr>
        <w:t>，</w:t>
      </w:r>
      <w:r>
        <w:rPr>
          <w:rFonts w:hint="default" w:ascii="Times New Roman" w:hAnsi="Times New Roman" w:eastAsia="仿宋_GB2312" w:cs="Times New Roman"/>
          <w:sz w:val="18"/>
          <w:szCs w:val="18"/>
          <w:highlight w:val="none"/>
        </w:rPr>
        <w:t>运行维护经费</w:t>
      </w:r>
      <w:r>
        <w:rPr>
          <w:rFonts w:hint="eastAsia" w:ascii="Times New Roman" w:hAnsi="Times New Roman" w:eastAsia="仿宋_GB2312" w:cs="Times New Roman"/>
          <w:sz w:val="18"/>
          <w:szCs w:val="18"/>
          <w:highlight w:val="none"/>
          <w:lang w:eastAsia="zh-CN"/>
        </w:rPr>
        <w:t>，其他事业发展类资金…各一张表。</w:t>
      </w:r>
    </w:p>
    <w:p>
      <w:pPr>
        <w:widowControl/>
        <w:spacing w:line="600" w:lineRule="exact"/>
        <w:jc w:val="left"/>
        <w:rPr>
          <w:rFonts w:hint="default" w:ascii="Times New Roman" w:hAnsi="Times New Roman" w:eastAsia="仿宋_GB2312" w:cs="Times New Roman"/>
          <w:sz w:val="22"/>
          <w:szCs w:val="22"/>
          <w:highlight w:val="none"/>
        </w:rPr>
      </w:pPr>
      <w:r>
        <w:rPr>
          <w:rFonts w:hint="default" w:ascii="Times New Roman" w:hAnsi="Times New Roman" w:eastAsia="仿宋_GB2312" w:cs="Times New Roman"/>
          <w:sz w:val="22"/>
          <w:szCs w:val="22"/>
          <w:highlight w:val="none"/>
        </w:rPr>
        <w:t xml:space="preserve">填表人：       </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 xml:space="preserve">填报日期：     </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 xml:space="preserve">联系电话：   </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 xml:space="preserve"> 单位负责人签字：</w:t>
      </w:r>
    </w:p>
    <w:p>
      <w:pPr>
        <w:rPr>
          <w:rFonts w:hint="default" w:ascii="Times New Roman" w:hAnsi="Times New Roman" w:eastAsia="仿宋_GB2312" w:cs="Times New Roman"/>
          <w:sz w:val="22"/>
          <w:szCs w:val="22"/>
          <w:highlight w:val="none"/>
        </w:rPr>
      </w:pPr>
      <w:r>
        <w:rPr>
          <w:rFonts w:hint="default" w:ascii="Times New Roman" w:hAnsi="Times New Roman" w:eastAsia="仿宋_GB2312" w:cs="Times New Roman"/>
          <w:sz w:val="22"/>
          <w:szCs w:val="22"/>
          <w:highlight w:val="none"/>
        </w:rPr>
        <w:br w:type="page"/>
      </w:r>
    </w:p>
    <w:p>
      <w:pPr>
        <w:widowControl/>
        <w:spacing w:line="600" w:lineRule="exact"/>
        <w:jc w:val="left"/>
        <w:rPr>
          <w:rFonts w:hint="eastAsia" w:ascii="Times New Roman" w:hAnsi="Times New Roman" w:eastAsia="黑体" w:cs="Times New Roman"/>
          <w:sz w:val="32"/>
          <w:szCs w:val="32"/>
          <w:highlight w:val="none"/>
          <w:lang w:eastAsia="zh-CN"/>
        </w:rPr>
      </w:pPr>
      <w:r>
        <w:rPr>
          <w:rFonts w:hint="eastAsia" w:ascii="黑体" w:hAnsi="黑体" w:eastAsia="黑体" w:cs="黑体"/>
          <w:sz w:val="32"/>
          <w:szCs w:val="32"/>
          <w:highlight w:val="none"/>
        </w:rPr>
        <w:t>附件</w:t>
      </w:r>
      <w:r>
        <w:rPr>
          <w:rFonts w:hint="eastAsia" w:ascii="黑体" w:hAnsi="黑体" w:eastAsia="黑体" w:cs="黑体"/>
          <w:sz w:val="32"/>
          <w:szCs w:val="32"/>
          <w:highlight w:val="none"/>
          <w:lang w:val="en-US" w:eastAsia="zh-CN"/>
        </w:rPr>
        <w:t>3</w:t>
      </w:r>
    </w:p>
    <w:p>
      <w:pPr>
        <w:widowControl/>
        <w:spacing w:line="600" w:lineRule="exact"/>
        <w:jc w:val="center"/>
        <w:rPr>
          <w:rFonts w:hint="eastAsia" w:ascii="方正小标宋简体" w:hAnsi="方正小标宋简体" w:eastAsia="方正小标宋简体" w:cs="方正小标宋简体"/>
          <w:color w:val="000000"/>
          <w:sz w:val="36"/>
          <w:szCs w:val="36"/>
          <w:highlight w:val="none"/>
        </w:rPr>
      </w:pPr>
      <w:r>
        <w:rPr>
          <w:rFonts w:hint="eastAsia" w:ascii="方正小标宋简体" w:hAnsi="方正小标宋简体" w:eastAsia="方正小标宋简体" w:cs="方正小标宋简体"/>
          <w:color w:val="000000"/>
          <w:sz w:val="36"/>
          <w:szCs w:val="36"/>
          <w:highlight w:val="none"/>
        </w:rPr>
        <w:t>202</w:t>
      </w:r>
      <w:r>
        <w:rPr>
          <w:rFonts w:hint="eastAsia" w:ascii="方正小标宋简体" w:hAnsi="方正小标宋简体" w:eastAsia="方正小标宋简体" w:cs="方正小标宋简体"/>
          <w:color w:val="000000"/>
          <w:sz w:val="36"/>
          <w:szCs w:val="36"/>
          <w:highlight w:val="none"/>
          <w:lang w:val="en-US" w:eastAsia="zh-CN"/>
        </w:rPr>
        <w:t>3</w:t>
      </w:r>
      <w:r>
        <w:rPr>
          <w:rFonts w:hint="eastAsia" w:ascii="方正小标宋简体" w:hAnsi="方正小标宋简体" w:eastAsia="方正小标宋简体" w:cs="方正小标宋简体"/>
          <w:color w:val="000000"/>
          <w:sz w:val="36"/>
          <w:szCs w:val="36"/>
          <w:highlight w:val="none"/>
        </w:rPr>
        <w:t>年度项目支出绩效自评表</w:t>
      </w:r>
    </w:p>
    <w:tbl>
      <w:tblPr>
        <w:tblStyle w:val="4"/>
        <w:tblW w:w="9851" w:type="dxa"/>
        <w:jc w:val="center"/>
        <w:tblLayout w:type="fixed"/>
        <w:tblCellMar>
          <w:top w:w="0" w:type="dxa"/>
          <w:left w:w="108" w:type="dxa"/>
          <w:bottom w:w="0" w:type="dxa"/>
          <w:right w:w="108" w:type="dxa"/>
        </w:tblCellMar>
      </w:tblPr>
      <w:tblGrid>
        <w:gridCol w:w="1080"/>
        <w:gridCol w:w="1080"/>
        <w:gridCol w:w="1080"/>
        <w:gridCol w:w="1524"/>
        <w:gridCol w:w="834"/>
        <w:gridCol w:w="1134"/>
        <w:gridCol w:w="828"/>
        <w:gridCol w:w="873"/>
        <w:gridCol w:w="1418"/>
      </w:tblGrid>
      <w:tr>
        <w:tblPrEx>
          <w:tblCellMar>
            <w:top w:w="0" w:type="dxa"/>
            <w:left w:w="108" w:type="dxa"/>
            <w:bottom w:w="0" w:type="dxa"/>
            <w:right w:w="108" w:type="dxa"/>
          </w:tblCellMar>
        </w:tblPrEx>
        <w:trPr>
          <w:jc w:val="center"/>
        </w:trPr>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项目支</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出名称</w:t>
            </w:r>
          </w:p>
        </w:tc>
        <w:tc>
          <w:tcPr>
            <w:tcW w:w="8771" w:type="dxa"/>
            <w:gridSpan w:val="8"/>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环境监察、监测等运行经费</w:t>
            </w:r>
          </w:p>
        </w:tc>
      </w:tr>
      <w:tr>
        <w:tblPrEx>
          <w:tblCellMar>
            <w:top w:w="0" w:type="dxa"/>
            <w:left w:w="108" w:type="dxa"/>
            <w:bottom w:w="0" w:type="dxa"/>
            <w:right w:w="108" w:type="dxa"/>
          </w:tblCellMar>
        </w:tblPrEx>
        <w:trPr>
          <w:jc w:val="center"/>
        </w:trPr>
        <w:tc>
          <w:tcPr>
            <w:tcW w:w="1080"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主管部门</w:t>
            </w:r>
          </w:p>
        </w:tc>
        <w:tc>
          <w:tcPr>
            <w:tcW w:w="4518"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lang w:val="en-US" w:eastAsia="zh-CN"/>
              </w:rPr>
              <w:t>岳阳市生态环境局</w:t>
            </w:r>
          </w:p>
        </w:tc>
        <w:tc>
          <w:tcPr>
            <w:tcW w:w="1134" w:type="dxa"/>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实施单位</w:t>
            </w:r>
          </w:p>
        </w:tc>
        <w:tc>
          <w:tcPr>
            <w:tcW w:w="3119"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　岳阳市生态环境局汨罗分局</w:t>
            </w:r>
          </w:p>
        </w:tc>
      </w:tr>
      <w:tr>
        <w:tblPrEx>
          <w:tblCellMar>
            <w:top w:w="0" w:type="dxa"/>
            <w:left w:w="108" w:type="dxa"/>
            <w:bottom w:w="0" w:type="dxa"/>
            <w:right w:w="108" w:type="dxa"/>
          </w:tblCellMar>
        </w:tblPrEx>
        <w:trPr>
          <w:jc w:val="center"/>
        </w:trPr>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项目资金</w:t>
            </w:r>
            <w:r>
              <w:rPr>
                <w:rFonts w:hint="eastAsia" w:ascii="仿宋_GB2312" w:hAnsi="仿宋_GB2312" w:eastAsia="仿宋_GB2312" w:cs="仿宋_GB2312"/>
                <w:color w:val="000000"/>
                <w:sz w:val="20"/>
                <w:szCs w:val="20"/>
                <w:highlight w:val="none"/>
              </w:rPr>
              <w:br w:type="textWrapping"/>
            </w:r>
            <w:r>
              <w:rPr>
                <w:rFonts w:hint="eastAsia" w:ascii="仿宋_GB2312" w:hAnsi="仿宋_GB2312" w:eastAsia="仿宋_GB2312" w:cs="仿宋_GB2312"/>
                <w:color w:val="000000"/>
                <w:sz w:val="20"/>
                <w:szCs w:val="20"/>
                <w:highlight w:val="none"/>
              </w:rPr>
              <w:t>（万元）</w:t>
            </w:r>
          </w:p>
        </w:tc>
        <w:tc>
          <w:tcPr>
            <w:tcW w:w="2160"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5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年初</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预算数</w:t>
            </w:r>
          </w:p>
        </w:tc>
        <w:tc>
          <w:tcPr>
            <w:tcW w:w="8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全年</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预算数</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全年</w:t>
            </w:r>
          </w:p>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执行数</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分值</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执行率</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得分</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年度资金总额　</w:t>
            </w:r>
          </w:p>
        </w:tc>
        <w:tc>
          <w:tcPr>
            <w:tcW w:w="15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208.62</w:t>
            </w:r>
          </w:p>
        </w:tc>
        <w:tc>
          <w:tcPr>
            <w:tcW w:w="8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135.89</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135.89</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100%</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其中：当年财政拨款　</w:t>
            </w:r>
          </w:p>
        </w:tc>
        <w:tc>
          <w:tcPr>
            <w:tcW w:w="15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208.62</w:t>
            </w:r>
          </w:p>
        </w:tc>
        <w:tc>
          <w:tcPr>
            <w:tcW w:w="8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135.89</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135.89</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600" w:firstLineChars="30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上年结转资金　</w:t>
            </w:r>
          </w:p>
        </w:tc>
        <w:tc>
          <w:tcPr>
            <w:tcW w:w="15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p>
        </w:tc>
        <w:tc>
          <w:tcPr>
            <w:tcW w:w="8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600" w:firstLineChars="30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其他资金</w:t>
            </w:r>
          </w:p>
        </w:tc>
        <w:tc>
          <w:tcPr>
            <w:tcW w:w="15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年度总体目标</w:t>
            </w:r>
          </w:p>
        </w:tc>
        <w:tc>
          <w:tcPr>
            <w:tcW w:w="4518" w:type="dxa"/>
            <w:gridSpan w:val="4"/>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预期目标</w:t>
            </w:r>
          </w:p>
        </w:tc>
        <w:tc>
          <w:tcPr>
            <w:tcW w:w="4253" w:type="dxa"/>
            <w:gridSpan w:val="4"/>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实际完成情况　</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4518" w:type="dxa"/>
            <w:gridSpan w:val="4"/>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1、日常环境监管、执法工作</w:t>
            </w:r>
            <w:r>
              <w:rPr>
                <w:rFonts w:hint="eastAsia" w:ascii="仿宋_GB2312" w:hAnsi="仿宋_GB2312" w:eastAsia="仿宋_GB2312" w:cs="仿宋_GB2312"/>
                <w:color w:val="000000"/>
                <w:sz w:val="20"/>
                <w:szCs w:val="20"/>
                <w:highlight w:val="none"/>
              </w:rPr>
              <w:br w:type="textWrapping"/>
            </w:r>
            <w:r>
              <w:rPr>
                <w:rFonts w:hint="eastAsia" w:ascii="仿宋_GB2312" w:hAnsi="仿宋_GB2312" w:eastAsia="仿宋_GB2312" w:cs="仿宋_GB2312"/>
                <w:color w:val="000000"/>
                <w:sz w:val="20"/>
                <w:szCs w:val="20"/>
                <w:highlight w:val="none"/>
              </w:rPr>
              <w:t>2、委托第三方进行执法性监督监测</w:t>
            </w:r>
            <w:r>
              <w:rPr>
                <w:rFonts w:hint="eastAsia" w:ascii="仿宋_GB2312" w:hAnsi="仿宋_GB2312" w:eastAsia="仿宋_GB2312" w:cs="仿宋_GB2312"/>
                <w:color w:val="000000"/>
                <w:sz w:val="20"/>
                <w:szCs w:val="20"/>
                <w:highlight w:val="none"/>
              </w:rPr>
              <w:br w:type="textWrapping"/>
            </w:r>
            <w:r>
              <w:rPr>
                <w:rFonts w:hint="eastAsia" w:ascii="仿宋_GB2312" w:hAnsi="仿宋_GB2312" w:eastAsia="仿宋_GB2312" w:cs="仿宋_GB2312"/>
                <w:color w:val="000000"/>
                <w:sz w:val="20"/>
                <w:szCs w:val="20"/>
                <w:highlight w:val="none"/>
              </w:rPr>
              <w:t xml:space="preserve">3、环保迎检、应急处置经费 </w:t>
            </w:r>
          </w:p>
        </w:tc>
        <w:tc>
          <w:tcPr>
            <w:tcW w:w="4253" w:type="dxa"/>
            <w:gridSpan w:val="4"/>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已完成</w:t>
            </w:r>
          </w:p>
        </w:tc>
      </w:tr>
      <w:tr>
        <w:tblPrEx>
          <w:tblCellMar>
            <w:top w:w="0" w:type="dxa"/>
            <w:left w:w="108" w:type="dxa"/>
            <w:bottom w:w="0" w:type="dxa"/>
            <w:right w:w="108" w:type="dxa"/>
          </w:tblCellMar>
        </w:tblPrEx>
        <w:trPr>
          <w:jc w:val="center"/>
        </w:trPr>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绩</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标</w:t>
            </w: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一级指标</w:t>
            </w: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二级指标</w:t>
            </w:r>
          </w:p>
        </w:tc>
        <w:tc>
          <w:tcPr>
            <w:tcW w:w="15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三级指标</w:t>
            </w:r>
          </w:p>
        </w:tc>
        <w:tc>
          <w:tcPr>
            <w:tcW w:w="8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指标值</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完成值</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分值</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得分</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偏差原因分析及改进措施</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产出指标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(50分)</w:t>
            </w: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数量指标</w:t>
            </w:r>
          </w:p>
        </w:tc>
        <w:tc>
          <w:tcPr>
            <w:tcW w:w="15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强力开展各项专项行动；委托第三方进行监督性监测</w:t>
            </w:r>
          </w:p>
        </w:tc>
        <w:tc>
          <w:tcPr>
            <w:tcW w:w="8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≥10</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eastAsia="zh-CN"/>
              </w:rPr>
              <w:t>已完成</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5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重点监测重点污染源企业</w:t>
            </w:r>
          </w:p>
        </w:tc>
        <w:tc>
          <w:tcPr>
            <w:tcW w:w="8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27家</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已完成</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质量指标</w:t>
            </w:r>
          </w:p>
        </w:tc>
        <w:tc>
          <w:tcPr>
            <w:tcW w:w="15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全市环境质量达标</w:t>
            </w:r>
          </w:p>
        </w:tc>
        <w:tc>
          <w:tcPr>
            <w:tcW w:w="8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≥90%</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已完成</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时效指标</w:t>
            </w:r>
          </w:p>
        </w:tc>
        <w:tc>
          <w:tcPr>
            <w:tcW w:w="15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按时完成各项指标任务</w:t>
            </w:r>
          </w:p>
        </w:tc>
        <w:tc>
          <w:tcPr>
            <w:tcW w:w="8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rPr>
            </w:pPr>
            <w:r>
              <w:rPr>
                <w:rFonts w:hint="eastAsia" w:ascii="仿宋_GB2312" w:hAnsi="仿宋_GB2312" w:eastAsia="仿宋_GB2312" w:cs="仿宋_GB2312"/>
                <w:color w:val="000000"/>
                <w:sz w:val="20"/>
                <w:szCs w:val="20"/>
                <w:highlight w:val="none"/>
                <w:lang w:val="en-US" w:eastAsia="zh-CN"/>
              </w:rPr>
              <w:t>2023年</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已完成</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成本指标</w:t>
            </w:r>
          </w:p>
        </w:tc>
        <w:tc>
          <w:tcPr>
            <w:tcW w:w="15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监察、监测运行成本控制在预算内</w:t>
            </w:r>
          </w:p>
        </w:tc>
        <w:tc>
          <w:tcPr>
            <w:tcW w:w="8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100%</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已完成</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效益指标</w:t>
            </w: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（30分）</w:t>
            </w: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经济效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5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促进经济发展</w:t>
            </w:r>
          </w:p>
        </w:tc>
        <w:tc>
          <w:tcPr>
            <w:tcW w:w="8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经济平稳发展</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已完成</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社会效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5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改善居民生产、生活环境，提升幸福生活指数</w:t>
            </w:r>
          </w:p>
        </w:tc>
        <w:tc>
          <w:tcPr>
            <w:tcW w:w="8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有所改善</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已完成</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生态效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5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治理重点污染城市环境空气质量优良率达到85%以上</w:t>
            </w:r>
          </w:p>
        </w:tc>
        <w:tc>
          <w:tcPr>
            <w:tcW w:w="8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有所改善</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已完成</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可持续影响指标</w:t>
            </w:r>
          </w:p>
        </w:tc>
        <w:tc>
          <w:tcPr>
            <w:tcW w:w="152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社会可持续发展良好</w:t>
            </w:r>
          </w:p>
        </w:tc>
        <w:tc>
          <w:tcPr>
            <w:tcW w:w="8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lang w:val="en-US" w:eastAsia="zh-CN"/>
              </w:rPr>
              <w:t>效益明显</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已完成</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满意度</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（10分）</w:t>
            </w: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服务对象满意度指标</w:t>
            </w:r>
          </w:p>
        </w:tc>
        <w:tc>
          <w:tcPr>
            <w:tcW w:w="15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汨罗市全体群众</w:t>
            </w:r>
          </w:p>
        </w:tc>
        <w:tc>
          <w:tcPr>
            <w:tcW w:w="8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≥95%</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eastAsia="zh-CN"/>
              </w:rPr>
              <w:t>已完成</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6732" w:type="dxa"/>
            <w:gridSpan w:val="6"/>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总分</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99</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bl>
    <w:p>
      <w:pPr>
        <w:rPr>
          <w:rFonts w:hint="default" w:ascii="Times New Roman" w:hAnsi="Times New Roman" w:eastAsia="仿宋_GB2312" w:cs="Times New Roman"/>
          <w:sz w:val="18"/>
          <w:szCs w:val="18"/>
          <w:highlight w:val="none"/>
        </w:rPr>
      </w:pPr>
    </w:p>
    <w:p>
      <w:pPr>
        <w:rPr>
          <w:rFonts w:hint="default" w:ascii="Times New Roman" w:hAnsi="Times New Roman" w:eastAsia="仿宋_GB2312" w:cs="Times New Roman"/>
          <w:szCs w:val="21"/>
          <w:highlight w:val="none"/>
        </w:rPr>
      </w:pPr>
      <w:r>
        <w:rPr>
          <w:rFonts w:hint="default" w:ascii="Times New Roman" w:hAnsi="Times New Roman" w:eastAsia="仿宋_GB2312" w:cs="Times New Roman"/>
          <w:sz w:val="18"/>
          <w:szCs w:val="18"/>
          <w:highlight w:val="none"/>
        </w:rPr>
        <w:t>备注：一个一级项目支出一张表。</w:t>
      </w:r>
      <w:r>
        <w:rPr>
          <w:rFonts w:hint="eastAsia" w:ascii="Times New Roman" w:hAnsi="Times New Roman" w:eastAsia="仿宋_GB2312" w:cs="Times New Roman"/>
          <w:sz w:val="18"/>
          <w:szCs w:val="18"/>
          <w:highlight w:val="none"/>
          <w:lang w:eastAsia="zh-CN"/>
        </w:rPr>
        <w:t>如，</w:t>
      </w:r>
      <w:r>
        <w:rPr>
          <w:rFonts w:hint="default" w:ascii="Times New Roman" w:hAnsi="Times New Roman" w:eastAsia="仿宋_GB2312" w:cs="Times New Roman"/>
          <w:sz w:val="18"/>
          <w:szCs w:val="18"/>
          <w:highlight w:val="none"/>
        </w:rPr>
        <w:t>业务工作经费</w:t>
      </w:r>
      <w:r>
        <w:rPr>
          <w:rFonts w:hint="eastAsia" w:ascii="Times New Roman" w:hAnsi="Times New Roman" w:eastAsia="仿宋_GB2312" w:cs="Times New Roman"/>
          <w:sz w:val="18"/>
          <w:szCs w:val="18"/>
          <w:highlight w:val="none"/>
          <w:lang w:eastAsia="zh-CN"/>
        </w:rPr>
        <w:t>，</w:t>
      </w:r>
      <w:r>
        <w:rPr>
          <w:rFonts w:hint="default" w:ascii="Times New Roman" w:hAnsi="Times New Roman" w:eastAsia="仿宋_GB2312" w:cs="Times New Roman"/>
          <w:sz w:val="18"/>
          <w:szCs w:val="18"/>
          <w:highlight w:val="none"/>
        </w:rPr>
        <w:t>运行维护经费</w:t>
      </w:r>
      <w:r>
        <w:rPr>
          <w:rFonts w:hint="eastAsia" w:ascii="Times New Roman" w:hAnsi="Times New Roman" w:eastAsia="仿宋_GB2312" w:cs="Times New Roman"/>
          <w:sz w:val="18"/>
          <w:szCs w:val="18"/>
          <w:highlight w:val="none"/>
          <w:lang w:eastAsia="zh-CN"/>
        </w:rPr>
        <w:t>，其他事业发展类资金…各一张表。</w:t>
      </w:r>
    </w:p>
    <w:p>
      <w:pPr>
        <w:rPr>
          <w:rFonts w:hint="default" w:ascii="Times New Roman" w:hAnsi="Times New Roman" w:eastAsia="仿宋_GB2312" w:cs="Times New Roman"/>
          <w:sz w:val="22"/>
          <w:szCs w:val="22"/>
          <w:highlight w:val="none"/>
        </w:rPr>
      </w:pPr>
      <w:r>
        <w:rPr>
          <w:rFonts w:hint="default" w:ascii="Times New Roman" w:hAnsi="Times New Roman" w:eastAsia="仿宋_GB2312" w:cs="Times New Roman"/>
          <w:sz w:val="22"/>
          <w:szCs w:val="22"/>
          <w:highlight w:val="none"/>
        </w:rPr>
        <w:t xml:space="preserve">填表人：       </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 xml:space="preserve">填报日期：     </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 xml:space="preserve">联系电话：   </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 xml:space="preserve"> 单位负责人签字：</w:t>
      </w:r>
    </w:p>
    <w:p>
      <w:pPr>
        <w:rPr>
          <w:rFonts w:hint="eastAsia" w:ascii="黑体" w:hAnsi="黑体" w:eastAsia="黑体" w:cs="黑体"/>
          <w:b w:val="0"/>
          <w:bCs w:val="0"/>
          <w:color w:val="000000" w:themeColor="text1"/>
          <w:spacing w:val="10"/>
          <w:kern w:val="2"/>
          <w:sz w:val="32"/>
          <w:szCs w:val="32"/>
          <w:lang w:val="en-US" w:eastAsia="zh-CN"/>
          <w14:textFill>
            <w14:solidFill>
              <w14:schemeClr w14:val="tx1"/>
            </w14:solidFill>
          </w14:textFill>
        </w:rPr>
      </w:pPr>
      <w:r>
        <w:rPr>
          <w:rFonts w:hint="eastAsia" w:ascii="黑体" w:hAnsi="黑体" w:eastAsia="黑体" w:cs="黑体"/>
          <w:b w:val="0"/>
          <w:bCs w:val="0"/>
          <w:color w:val="000000" w:themeColor="text1"/>
          <w:spacing w:val="10"/>
          <w:kern w:val="2"/>
          <w:sz w:val="32"/>
          <w:szCs w:val="32"/>
          <w:lang w:val="en-US" w:eastAsia="zh-CN"/>
          <w14:textFill>
            <w14:solidFill>
              <w14:schemeClr w14:val="tx1"/>
            </w14:solidFill>
          </w14:textFill>
        </w:rPr>
        <w:br w:type="page"/>
      </w:r>
    </w:p>
    <w:p>
      <w:pPr>
        <w:widowControl/>
        <w:spacing w:line="600" w:lineRule="exact"/>
        <w:jc w:val="left"/>
        <w:rPr>
          <w:rFonts w:hint="eastAsia" w:ascii="Times New Roman" w:hAnsi="Times New Roman" w:eastAsia="黑体" w:cs="Times New Roman"/>
          <w:sz w:val="32"/>
          <w:szCs w:val="32"/>
          <w:highlight w:val="none"/>
          <w:lang w:eastAsia="zh-CN"/>
        </w:rPr>
      </w:pPr>
      <w:r>
        <w:rPr>
          <w:rFonts w:hint="eastAsia" w:ascii="黑体" w:hAnsi="黑体" w:eastAsia="黑体" w:cs="黑体"/>
          <w:sz w:val="32"/>
          <w:szCs w:val="32"/>
          <w:highlight w:val="none"/>
        </w:rPr>
        <w:t>附件</w:t>
      </w:r>
      <w:r>
        <w:rPr>
          <w:rFonts w:hint="eastAsia" w:ascii="黑体" w:hAnsi="黑体" w:eastAsia="黑体" w:cs="黑体"/>
          <w:sz w:val="32"/>
          <w:szCs w:val="32"/>
          <w:highlight w:val="none"/>
          <w:lang w:val="en-US" w:eastAsia="zh-CN"/>
        </w:rPr>
        <w:t>3</w:t>
      </w:r>
    </w:p>
    <w:p>
      <w:pPr>
        <w:widowControl/>
        <w:spacing w:line="600" w:lineRule="exact"/>
        <w:jc w:val="center"/>
        <w:rPr>
          <w:rFonts w:hint="eastAsia" w:ascii="方正小标宋简体" w:hAnsi="方正小标宋简体" w:eastAsia="方正小标宋简体" w:cs="方正小标宋简体"/>
          <w:color w:val="000000"/>
          <w:sz w:val="36"/>
          <w:szCs w:val="36"/>
          <w:highlight w:val="none"/>
        </w:rPr>
      </w:pPr>
      <w:r>
        <w:rPr>
          <w:rFonts w:hint="eastAsia" w:ascii="方正小标宋简体" w:hAnsi="方正小标宋简体" w:eastAsia="方正小标宋简体" w:cs="方正小标宋简体"/>
          <w:color w:val="000000"/>
          <w:sz w:val="36"/>
          <w:szCs w:val="36"/>
          <w:highlight w:val="none"/>
        </w:rPr>
        <w:t>202</w:t>
      </w:r>
      <w:r>
        <w:rPr>
          <w:rFonts w:hint="eastAsia" w:ascii="方正小标宋简体" w:hAnsi="方正小标宋简体" w:eastAsia="方正小标宋简体" w:cs="方正小标宋简体"/>
          <w:color w:val="000000"/>
          <w:sz w:val="36"/>
          <w:szCs w:val="36"/>
          <w:highlight w:val="none"/>
          <w:lang w:val="en-US" w:eastAsia="zh-CN"/>
        </w:rPr>
        <w:t>3</w:t>
      </w:r>
      <w:r>
        <w:rPr>
          <w:rFonts w:hint="eastAsia" w:ascii="方正小标宋简体" w:hAnsi="方正小标宋简体" w:eastAsia="方正小标宋简体" w:cs="方正小标宋简体"/>
          <w:color w:val="000000"/>
          <w:sz w:val="36"/>
          <w:szCs w:val="36"/>
          <w:highlight w:val="none"/>
        </w:rPr>
        <w:t>年度项目支出绩效自评表</w:t>
      </w:r>
    </w:p>
    <w:tbl>
      <w:tblPr>
        <w:tblStyle w:val="4"/>
        <w:tblW w:w="9851" w:type="dxa"/>
        <w:jc w:val="center"/>
        <w:tblLayout w:type="fixed"/>
        <w:tblCellMar>
          <w:top w:w="0" w:type="dxa"/>
          <w:left w:w="108" w:type="dxa"/>
          <w:bottom w:w="0" w:type="dxa"/>
          <w:right w:w="108" w:type="dxa"/>
        </w:tblCellMar>
      </w:tblPr>
      <w:tblGrid>
        <w:gridCol w:w="1080"/>
        <w:gridCol w:w="1080"/>
        <w:gridCol w:w="1080"/>
        <w:gridCol w:w="1524"/>
        <w:gridCol w:w="834"/>
        <w:gridCol w:w="1134"/>
        <w:gridCol w:w="828"/>
        <w:gridCol w:w="873"/>
        <w:gridCol w:w="1418"/>
      </w:tblGrid>
      <w:tr>
        <w:tblPrEx>
          <w:tblCellMar>
            <w:top w:w="0" w:type="dxa"/>
            <w:left w:w="108" w:type="dxa"/>
            <w:bottom w:w="0" w:type="dxa"/>
            <w:right w:w="108" w:type="dxa"/>
          </w:tblCellMar>
        </w:tblPrEx>
        <w:trPr>
          <w:jc w:val="center"/>
        </w:trPr>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项目支</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出名称</w:t>
            </w:r>
          </w:p>
        </w:tc>
        <w:tc>
          <w:tcPr>
            <w:tcW w:w="8771" w:type="dxa"/>
            <w:gridSpan w:val="8"/>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污染防治攻坚治理专项经费</w:t>
            </w:r>
          </w:p>
        </w:tc>
      </w:tr>
      <w:tr>
        <w:tblPrEx>
          <w:tblCellMar>
            <w:top w:w="0" w:type="dxa"/>
            <w:left w:w="108" w:type="dxa"/>
            <w:bottom w:w="0" w:type="dxa"/>
            <w:right w:w="108" w:type="dxa"/>
          </w:tblCellMar>
        </w:tblPrEx>
        <w:trPr>
          <w:jc w:val="center"/>
        </w:trPr>
        <w:tc>
          <w:tcPr>
            <w:tcW w:w="1080"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主管部门</w:t>
            </w:r>
          </w:p>
        </w:tc>
        <w:tc>
          <w:tcPr>
            <w:tcW w:w="4518"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lang w:val="en-US" w:eastAsia="zh-CN"/>
              </w:rPr>
              <w:t>岳阳市生态环境局</w:t>
            </w:r>
          </w:p>
        </w:tc>
        <w:tc>
          <w:tcPr>
            <w:tcW w:w="1134" w:type="dxa"/>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实施单位</w:t>
            </w:r>
          </w:p>
        </w:tc>
        <w:tc>
          <w:tcPr>
            <w:tcW w:w="3119"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　岳阳市生态环境局汨罗分局</w:t>
            </w:r>
          </w:p>
        </w:tc>
      </w:tr>
      <w:tr>
        <w:tblPrEx>
          <w:tblCellMar>
            <w:top w:w="0" w:type="dxa"/>
            <w:left w:w="108" w:type="dxa"/>
            <w:bottom w:w="0" w:type="dxa"/>
            <w:right w:w="108" w:type="dxa"/>
          </w:tblCellMar>
        </w:tblPrEx>
        <w:trPr>
          <w:jc w:val="center"/>
        </w:trPr>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项目资金</w:t>
            </w:r>
            <w:r>
              <w:rPr>
                <w:rFonts w:hint="eastAsia" w:ascii="仿宋_GB2312" w:hAnsi="仿宋_GB2312" w:eastAsia="仿宋_GB2312" w:cs="仿宋_GB2312"/>
                <w:color w:val="000000"/>
                <w:sz w:val="20"/>
                <w:szCs w:val="20"/>
                <w:highlight w:val="none"/>
              </w:rPr>
              <w:br w:type="textWrapping"/>
            </w:r>
            <w:r>
              <w:rPr>
                <w:rFonts w:hint="eastAsia" w:ascii="仿宋_GB2312" w:hAnsi="仿宋_GB2312" w:eastAsia="仿宋_GB2312" w:cs="仿宋_GB2312"/>
                <w:color w:val="000000"/>
                <w:sz w:val="20"/>
                <w:szCs w:val="20"/>
                <w:highlight w:val="none"/>
              </w:rPr>
              <w:t>（万元）</w:t>
            </w:r>
          </w:p>
        </w:tc>
        <w:tc>
          <w:tcPr>
            <w:tcW w:w="2160"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5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年初</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预算数</w:t>
            </w:r>
          </w:p>
        </w:tc>
        <w:tc>
          <w:tcPr>
            <w:tcW w:w="8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全年</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预算数</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全年</w:t>
            </w:r>
          </w:p>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执行数</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分值</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执行率</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得分</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年度资金总额　</w:t>
            </w:r>
          </w:p>
        </w:tc>
        <w:tc>
          <w:tcPr>
            <w:tcW w:w="15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5.45</w:t>
            </w:r>
          </w:p>
        </w:tc>
        <w:tc>
          <w:tcPr>
            <w:tcW w:w="8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5.45</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5.45</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100%</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其中：当年财政拨款　</w:t>
            </w:r>
          </w:p>
        </w:tc>
        <w:tc>
          <w:tcPr>
            <w:tcW w:w="15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5.45</w:t>
            </w:r>
          </w:p>
        </w:tc>
        <w:tc>
          <w:tcPr>
            <w:tcW w:w="8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5.45</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5.45</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600" w:firstLineChars="30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上年结转资金　</w:t>
            </w:r>
          </w:p>
        </w:tc>
        <w:tc>
          <w:tcPr>
            <w:tcW w:w="15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p>
        </w:tc>
        <w:tc>
          <w:tcPr>
            <w:tcW w:w="8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600" w:firstLineChars="30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其他资金</w:t>
            </w:r>
          </w:p>
        </w:tc>
        <w:tc>
          <w:tcPr>
            <w:tcW w:w="15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年度总体目标</w:t>
            </w:r>
          </w:p>
        </w:tc>
        <w:tc>
          <w:tcPr>
            <w:tcW w:w="4518" w:type="dxa"/>
            <w:gridSpan w:val="4"/>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预期目标</w:t>
            </w:r>
          </w:p>
        </w:tc>
        <w:tc>
          <w:tcPr>
            <w:tcW w:w="4253" w:type="dxa"/>
            <w:gridSpan w:val="4"/>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实际完成情况　</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4518" w:type="dxa"/>
            <w:gridSpan w:val="4"/>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持续发力，扎实推进污染防治攻坚战。</w:t>
            </w:r>
          </w:p>
        </w:tc>
        <w:tc>
          <w:tcPr>
            <w:tcW w:w="4253" w:type="dxa"/>
            <w:gridSpan w:val="4"/>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已完成</w:t>
            </w:r>
          </w:p>
        </w:tc>
      </w:tr>
      <w:tr>
        <w:tblPrEx>
          <w:tblCellMar>
            <w:top w:w="0" w:type="dxa"/>
            <w:left w:w="108" w:type="dxa"/>
            <w:bottom w:w="0" w:type="dxa"/>
            <w:right w:w="108" w:type="dxa"/>
          </w:tblCellMar>
        </w:tblPrEx>
        <w:trPr>
          <w:jc w:val="center"/>
        </w:trPr>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绩</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标</w:t>
            </w: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一级指标</w:t>
            </w: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二级指标</w:t>
            </w:r>
          </w:p>
        </w:tc>
        <w:tc>
          <w:tcPr>
            <w:tcW w:w="15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三级指标</w:t>
            </w:r>
          </w:p>
        </w:tc>
        <w:tc>
          <w:tcPr>
            <w:tcW w:w="8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指标值</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完成值</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分值</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得分</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偏差原因分析及改进措施</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产出指标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(50分)</w:t>
            </w: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数量指标</w:t>
            </w:r>
          </w:p>
        </w:tc>
        <w:tc>
          <w:tcPr>
            <w:tcW w:w="15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指导排污许可重点管理单位降级为简化管理</w:t>
            </w:r>
          </w:p>
        </w:tc>
        <w:tc>
          <w:tcPr>
            <w:tcW w:w="8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5家</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val="en-US" w:eastAsia="zh-CN"/>
              </w:rPr>
              <w:t>5家</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5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帮扶督促砖瓦、医疗、畜禽养殖等行业</w:t>
            </w:r>
          </w:p>
        </w:tc>
        <w:tc>
          <w:tcPr>
            <w:tcW w:w="8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≥100次</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val="en-US" w:eastAsia="zh-CN"/>
              </w:rPr>
              <w:t>200次</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5</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5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落实“三线一单”管控要求</w:t>
            </w:r>
          </w:p>
        </w:tc>
        <w:tc>
          <w:tcPr>
            <w:tcW w:w="8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≥90%</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90%</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5</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质量指标</w:t>
            </w:r>
          </w:p>
        </w:tc>
        <w:tc>
          <w:tcPr>
            <w:tcW w:w="15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全市环境质量达标</w:t>
            </w:r>
          </w:p>
        </w:tc>
        <w:tc>
          <w:tcPr>
            <w:tcW w:w="8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≥90%</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98%</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宋体" w:hAnsi="宋体" w:eastAsia="宋体" w:cs="宋体"/>
                <w:color w:val="000000" w:themeColor="text1"/>
                <w:spacing w:val="0"/>
                <w:kern w:val="2"/>
                <w:sz w:val="21"/>
                <w:szCs w:val="21"/>
                <w:lang w:val="en-US" w:eastAsia="zh-CN" w:bidi="ar-SA"/>
                <w14:textFill>
                  <w14:solidFill>
                    <w14:schemeClr w14:val="tx1"/>
                  </w14:solidFill>
                </w14:textFill>
              </w:rPr>
            </w:pPr>
            <w:r>
              <w:rPr>
                <w:rFonts w:hint="eastAsia" w:ascii="仿宋_GB2312" w:hAnsi="仿宋_GB2312" w:eastAsia="仿宋_GB2312" w:cs="仿宋_GB2312"/>
                <w:color w:val="000000"/>
                <w:sz w:val="20"/>
                <w:szCs w:val="20"/>
                <w:highlight w:val="none"/>
                <w:lang w:val="en-US" w:eastAsia="zh-CN"/>
              </w:rPr>
              <w:t>10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宋体" w:hAnsi="宋体" w:eastAsia="宋体" w:cs="宋体"/>
                <w:color w:val="000000" w:themeColor="text1"/>
                <w:spacing w:val="0"/>
                <w:kern w:val="2"/>
                <w:sz w:val="21"/>
                <w:szCs w:val="21"/>
                <w:lang w:val="en-US" w:eastAsia="zh-CN" w:bidi="ar-SA"/>
                <w14:textFill>
                  <w14:solidFill>
                    <w14:schemeClr w14:val="tx1"/>
                  </w14:solidFill>
                </w14:textFill>
              </w:rPr>
            </w:pPr>
            <w:r>
              <w:rPr>
                <w:rFonts w:hint="eastAsia" w:ascii="仿宋_GB2312" w:hAnsi="仿宋_GB2312" w:eastAsia="仿宋_GB2312" w:cs="仿宋_GB2312"/>
                <w:color w:val="000000"/>
                <w:sz w:val="20"/>
                <w:szCs w:val="20"/>
                <w:highlight w:val="none"/>
                <w:lang w:val="en-US" w:eastAsia="zh-CN"/>
              </w:rPr>
              <w:t>10</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时效指标</w:t>
            </w:r>
          </w:p>
        </w:tc>
        <w:tc>
          <w:tcPr>
            <w:tcW w:w="15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按时完成各项指标任务</w:t>
            </w:r>
          </w:p>
        </w:tc>
        <w:tc>
          <w:tcPr>
            <w:tcW w:w="8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2023年度</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2023年度</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宋体" w:hAnsi="宋体" w:eastAsia="宋体" w:cs="宋体"/>
                <w:color w:val="000000" w:themeColor="text1"/>
                <w:spacing w:val="0"/>
                <w:kern w:val="2"/>
                <w:sz w:val="21"/>
                <w:szCs w:val="21"/>
                <w:lang w:val="en-US" w:eastAsia="zh-CN" w:bidi="ar-SA"/>
                <w14:textFill>
                  <w14:solidFill>
                    <w14:schemeClr w14:val="tx1"/>
                  </w14:solidFill>
                </w14:textFill>
              </w:rPr>
            </w:pPr>
            <w:r>
              <w:rPr>
                <w:rFonts w:hint="eastAsia" w:ascii="仿宋_GB2312" w:hAnsi="仿宋_GB2312" w:eastAsia="仿宋_GB2312" w:cs="仿宋_GB2312"/>
                <w:color w:val="000000"/>
                <w:sz w:val="20"/>
                <w:szCs w:val="20"/>
                <w:highlight w:val="none"/>
                <w:lang w:val="en-US" w:eastAsia="zh-CN"/>
              </w:rPr>
              <w:t>10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宋体" w:hAnsi="宋体" w:eastAsia="宋体" w:cs="宋体"/>
                <w:color w:val="000000" w:themeColor="text1"/>
                <w:spacing w:val="0"/>
                <w:kern w:val="2"/>
                <w:sz w:val="21"/>
                <w:szCs w:val="21"/>
                <w:lang w:val="en-US" w:eastAsia="zh-CN" w:bidi="ar-SA"/>
                <w14:textFill>
                  <w14:solidFill>
                    <w14:schemeClr w14:val="tx1"/>
                  </w14:solidFill>
                </w14:textFill>
              </w:rPr>
            </w:pPr>
            <w:r>
              <w:rPr>
                <w:rFonts w:hint="eastAsia" w:ascii="仿宋_GB2312" w:hAnsi="仿宋_GB2312" w:eastAsia="仿宋_GB2312" w:cs="仿宋_GB2312"/>
                <w:color w:val="000000"/>
                <w:sz w:val="20"/>
                <w:szCs w:val="20"/>
                <w:highlight w:val="none"/>
                <w:lang w:val="en-US" w:eastAsia="zh-CN"/>
              </w:rPr>
              <w:t>10</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成本指标</w:t>
            </w:r>
          </w:p>
        </w:tc>
        <w:tc>
          <w:tcPr>
            <w:tcW w:w="15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污染防治攻坚治理经费</w:t>
            </w:r>
          </w:p>
        </w:tc>
        <w:tc>
          <w:tcPr>
            <w:tcW w:w="8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5.45万元</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5.45万元</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仿宋_GB2312" w:hAnsi="仿宋_GB2312" w:eastAsia="仿宋_GB2312" w:cs="仿宋_GB2312"/>
                <w:color w:val="000000"/>
                <w:sz w:val="20"/>
                <w:szCs w:val="20"/>
                <w:highlight w:val="none"/>
                <w:lang w:val="en-US" w:eastAsia="zh-CN"/>
              </w:rPr>
              <w:t>10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heme="minorEastAsia" w:hAnsiTheme="minorEastAsia" w:eastAsiaTheme="minorEastAsia" w:cstheme="minorEastAsia"/>
                <w:color w:val="000000" w:themeColor="text1"/>
                <w:kern w:val="2"/>
                <w:sz w:val="20"/>
                <w:szCs w:val="20"/>
                <w:lang w:val="en-US" w:eastAsia="zh-CN" w:bidi="ar-SA"/>
                <w14:textFill>
                  <w14:solidFill>
                    <w14:schemeClr w14:val="tx1"/>
                  </w14:solidFill>
                </w14:textFill>
              </w:rPr>
            </w:pPr>
            <w:r>
              <w:rPr>
                <w:rFonts w:hint="eastAsia" w:ascii="仿宋_GB2312" w:hAnsi="仿宋_GB2312" w:eastAsia="仿宋_GB2312" w:cs="仿宋_GB2312"/>
                <w:color w:val="000000"/>
                <w:sz w:val="20"/>
                <w:szCs w:val="20"/>
                <w:highlight w:val="none"/>
                <w:lang w:val="en-US" w:eastAsia="zh-CN"/>
              </w:rPr>
              <w:t>10</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效益指标</w:t>
            </w: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（30分）</w:t>
            </w: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经济效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5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促进经济发展</w:t>
            </w:r>
          </w:p>
        </w:tc>
        <w:tc>
          <w:tcPr>
            <w:tcW w:w="8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经济平稳发展</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已完成</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5</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社会效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5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改善居民生产、生活环境，提升幸福生活指数</w:t>
            </w:r>
          </w:p>
        </w:tc>
        <w:tc>
          <w:tcPr>
            <w:tcW w:w="8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有所改善</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eastAsia="zh-CN"/>
              </w:rPr>
              <w:t>已完成</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宋体" w:hAnsi="宋体" w:eastAsia="宋体" w:cs="宋体"/>
                <w:color w:val="000000" w:themeColor="text1"/>
                <w:spacing w:val="0"/>
                <w:kern w:val="2"/>
                <w:sz w:val="21"/>
                <w:szCs w:val="21"/>
                <w:lang w:val="en-US" w:eastAsia="zh-CN" w:bidi="ar-SA"/>
                <w14:textFill>
                  <w14:solidFill>
                    <w14:schemeClr w14:val="tx1"/>
                  </w14:solidFill>
                </w14:textFill>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宋体" w:hAnsi="宋体" w:eastAsia="宋体" w:cs="宋体"/>
                <w:color w:val="000000" w:themeColor="text1"/>
                <w:spacing w:val="0"/>
                <w:kern w:val="2"/>
                <w:sz w:val="21"/>
                <w:szCs w:val="21"/>
                <w:lang w:val="en-US" w:eastAsia="zh-CN" w:bidi="ar-SA"/>
                <w14:textFill>
                  <w14:solidFill>
                    <w14:schemeClr w14:val="tx1"/>
                  </w14:solidFill>
                </w14:textFill>
              </w:rPr>
            </w:pPr>
            <w:r>
              <w:rPr>
                <w:rFonts w:hint="eastAsia" w:ascii="仿宋_GB2312" w:hAnsi="仿宋_GB2312" w:eastAsia="仿宋_GB2312" w:cs="仿宋_GB2312"/>
                <w:color w:val="000000"/>
                <w:sz w:val="20"/>
                <w:szCs w:val="20"/>
                <w:highlight w:val="none"/>
                <w:lang w:val="en-US" w:eastAsia="zh-CN"/>
              </w:rPr>
              <w:t>5</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restart"/>
            <w:tcBorders>
              <w:top w:val="single" w:color="auto" w:sz="4" w:space="0"/>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生态效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5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治理重点污染城市环境空气质量优良率达到85%以上</w:t>
            </w:r>
          </w:p>
        </w:tc>
        <w:tc>
          <w:tcPr>
            <w:tcW w:w="8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≧85%</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eastAsia="zh-CN"/>
              </w:rPr>
              <w:t>已完成</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宋体" w:hAnsi="宋体" w:eastAsia="宋体" w:cs="宋体"/>
                <w:color w:val="000000" w:themeColor="text1"/>
                <w:spacing w:val="0"/>
                <w:kern w:val="2"/>
                <w:sz w:val="21"/>
                <w:szCs w:val="21"/>
                <w:lang w:val="en-US" w:eastAsia="zh-CN" w:bidi="ar-SA"/>
                <w14:textFill>
                  <w14:solidFill>
                    <w14:schemeClr w14:val="tx1"/>
                  </w14:solidFill>
                </w14:textFill>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宋体" w:hAnsi="宋体" w:eastAsia="宋体" w:cs="宋体"/>
                <w:color w:val="000000" w:themeColor="text1"/>
                <w:spacing w:val="0"/>
                <w:kern w:val="2"/>
                <w:sz w:val="21"/>
                <w:szCs w:val="21"/>
                <w:lang w:val="en-US" w:eastAsia="zh-CN" w:bidi="ar-SA"/>
                <w14:textFill>
                  <w14:solidFill>
                    <w14:schemeClr w14:val="tx1"/>
                  </w14:solidFill>
                </w14:textFill>
              </w:rPr>
            </w:pPr>
            <w:r>
              <w:rPr>
                <w:rFonts w:hint="eastAsia" w:ascii="仿宋_GB2312" w:hAnsi="仿宋_GB2312" w:eastAsia="仿宋_GB2312" w:cs="仿宋_GB2312"/>
                <w:color w:val="000000"/>
                <w:sz w:val="20"/>
                <w:szCs w:val="20"/>
                <w:highlight w:val="none"/>
                <w:lang w:val="en-US" w:eastAsia="zh-CN"/>
              </w:rPr>
              <w:t>5</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5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大气主要污染物二氧化硫、氮氧化物排放总量较2021年分别下降2%以上</w:t>
            </w:r>
          </w:p>
        </w:tc>
        <w:tc>
          <w:tcPr>
            <w:tcW w:w="8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≦2%</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eastAsia="zh-CN"/>
              </w:rPr>
              <w:t>已完成</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宋体" w:hAnsi="宋体" w:eastAsia="宋体" w:cs="宋体"/>
                <w:color w:val="000000" w:themeColor="text1"/>
                <w:spacing w:val="0"/>
                <w:kern w:val="2"/>
                <w:sz w:val="21"/>
                <w:szCs w:val="21"/>
                <w:lang w:val="en-US" w:eastAsia="zh-CN" w:bidi="ar-SA"/>
                <w14:textFill>
                  <w14:solidFill>
                    <w14:schemeClr w14:val="tx1"/>
                  </w14:solidFill>
                </w14:textFill>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宋体" w:hAnsi="宋体" w:eastAsia="宋体" w:cs="宋体"/>
                <w:color w:val="000000" w:themeColor="text1"/>
                <w:spacing w:val="0"/>
                <w:kern w:val="2"/>
                <w:sz w:val="21"/>
                <w:szCs w:val="21"/>
                <w:lang w:val="en-US" w:eastAsia="zh-CN" w:bidi="ar-SA"/>
                <w14:textFill>
                  <w14:solidFill>
                    <w14:schemeClr w14:val="tx1"/>
                  </w14:solidFill>
                </w14:textFill>
              </w:rPr>
            </w:pPr>
            <w:r>
              <w:rPr>
                <w:rFonts w:hint="eastAsia" w:ascii="仿宋_GB2312" w:hAnsi="仿宋_GB2312" w:eastAsia="仿宋_GB2312" w:cs="仿宋_GB2312"/>
                <w:color w:val="000000"/>
                <w:sz w:val="20"/>
                <w:szCs w:val="20"/>
                <w:highlight w:val="none"/>
                <w:lang w:val="en-US" w:eastAsia="zh-CN"/>
              </w:rPr>
              <w:t>5</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5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生产总值二氧化碳排放较2021年下降3.37%以上源</w:t>
            </w:r>
          </w:p>
        </w:tc>
        <w:tc>
          <w:tcPr>
            <w:tcW w:w="8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≦3.37%</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eastAsia="zh-CN"/>
              </w:rPr>
              <w:t>已完成</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宋体" w:hAnsi="宋体" w:eastAsia="宋体" w:cs="宋体"/>
                <w:color w:val="000000" w:themeColor="text1"/>
                <w:spacing w:val="0"/>
                <w:kern w:val="2"/>
                <w:sz w:val="21"/>
                <w:szCs w:val="21"/>
                <w:lang w:val="en-US" w:eastAsia="zh-CN" w:bidi="ar-SA"/>
                <w14:textFill>
                  <w14:solidFill>
                    <w14:schemeClr w14:val="tx1"/>
                  </w14:solidFill>
                </w14:textFill>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宋体" w:hAnsi="宋体" w:eastAsia="宋体" w:cs="宋体"/>
                <w:color w:val="000000" w:themeColor="text1"/>
                <w:spacing w:val="0"/>
                <w:kern w:val="2"/>
                <w:sz w:val="21"/>
                <w:szCs w:val="21"/>
                <w:lang w:val="en-US" w:eastAsia="zh-CN" w:bidi="ar-SA"/>
                <w14:textFill>
                  <w14:solidFill>
                    <w14:schemeClr w14:val="tx1"/>
                  </w14:solidFill>
                </w14:textFill>
              </w:rPr>
            </w:pPr>
            <w:r>
              <w:rPr>
                <w:rFonts w:hint="eastAsia" w:ascii="仿宋_GB2312" w:hAnsi="仿宋_GB2312" w:eastAsia="仿宋_GB2312" w:cs="仿宋_GB2312"/>
                <w:color w:val="000000"/>
                <w:sz w:val="20"/>
                <w:szCs w:val="20"/>
                <w:highlight w:val="none"/>
                <w:lang w:val="en-US" w:eastAsia="zh-CN"/>
              </w:rPr>
              <w:t>5</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可持续影响指标</w:t>
            </w:r>
          </w:p>
        </w:tc>
        <w:tc>
          <w:tcPr>
            <w:tcW w:w="152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社会可持续发展良好</w:t>
            </w:r>
          </w:p>
        </w:tc>
        <w:tc>
          <w:tcPr>
            <w:tcW w:w="8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lang w:val="en-US" w:eastAsia="zh-CN"/>
              </w:rPr>
              <w:t>效益明显</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已完成</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5</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满意度</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（10分）</w:t>
            </w: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服务对象满意度指标</w:t>
            </w:r>
          </w:p>
        </w:tc>
        <w:tc>
          <w:tcPr>
            <w:tcW w:w="15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汨罗市全体群众</w:t>
            </w:r>
          </w:p>
        </w:tc>
        <w:tc>
          <w:tcPr>
            <w:tcW w:w="8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≥95%</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eastAsia="zh-CN"/>
              </w:rPr>
              <w:t>已完成</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6732" w:type="dxa"/>
            <w:gridSpan w:val="6"/>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总分</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100</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bl>
    <w:p>
      <w:pPr>
        <w:rPr>
          <w:rFonts w:hint="default" w:ascii="Times New Roman" w:hAnsi="Times New Roman" w:eastAsia="仿宋_GB2312" w:cs="Times New Roman"/>
          <w:sz w:val="18"/>
          <w:szCs w:val="18"/>
          <w:highlight w:val="none"/>
        </w:rPr>
      </w:pPr>
    </w:p>
    <w:p>
      <w:pPr>
        <w:rPr>
          <w:rFonts w:hint="default" w:ascii="Times New Roman" w:hAnsi="Times New Roman" w:eastAsia="仿宋_GB2312" w:cs="Times New Roman"/>
          <w:szCs w:val="21"/>
          <w:highlight w:val="none"/>
        </w:rPr>
      </w:pPr>
      <w:r>
        <w:rPr>
          <w:rFonts w:hint="default" w:ascii="Times New Roman" w:hAnsi="Times New Roman" w:eastAsia="仿宋_GB2312" w:cs="Times New Roman"/>
          <w:sz w:val="18"/>
          <w:szCs w:val="18"/>
          <w:highlight w:val="none"/>
        </w:rPr>
        <w:t>备注：一个一级项目支出一张表。</w:t>
      </w:r>
      <w:r>
        <w:rPr>
          <w:rFonts w:hint="eastAsia" w:ascii="Times New Roman" w:hAnsi="Times New Roman" w:eastAsia="仿宋_GB2312" w:cs="Times New Roman"/>
          <w:sz w:val="18"/>
          <w:szCs w:val="18"/>
          <w:highlight w:val="none"/>
          <w:lang w:eastAsia="zh-CN"/>
        </w:rPr>
        <w:t>如，</w:t>
      </w:r>
      <w:r>
        <w:rPr>
          <w:rFonts w:hint="default" w:ascii="Times New Roman" w:hAnsi="Times New Roman" w:eastAsia="仿宋_GB2312" w:cs="Times New Roman"/>
          <w:sz w:val="18"/>
          <w:szCs w:val="18"/>
          <w:highlight w:val="none"/>
        </w:rPr>
        <w:t>业务工作经费</w:t>
      </w:r>
      <w:r>
        <w:rPr>
          <w:rFonts w:hint="eastAsia" w:ascii="Times New Roman" w:hAnsi="Times New Roman" w:eastAsia="仿宋_GB2312" w:cs="Times New Roman"/>
          <w:sz w:val="18"/>
          <w:szCs w:val="18"/>
          <w:highlight w:val="none"/>
          <w:lang w:eastAsia="zh-CN"/>
        </w:rPr>
        <w:t>，</w:t>
      </w:r>
      <w:r>
        <w:rPr>
          <w:rFonts w:hint="default" w:ascii="Times New Roman" w:hAnsi="Times New Roman" w:eastAsia="仿宋_GB2312" w:cs="Times New Roman"/>
          <w:sz w:val="18"/>
          <w:szCs w:val="18"/>
          <w:highlight w:val="none"/>
        </w:rPr>
        <w:t>运行维护经费</w:t>
      </w:r>
      <w:r>
        <w:rPr>
          <w:rFonts w:hint="eastAsia" w:ascii="Times New Roman" w:hAnsi="Times New Roman" w:eastAsia="仿宋_GB2312" w:cs="Times New Roman"/>
          <w:sz w:val="18"/>
          <w:szCs w:val="18"/>
          <w:highlight w:val="none"/>
          <w:lang w:eastAsia="zh-CN"/>
        </w:rPr>
        <w:t>，其他事业发展类资金…各一张表。</w:t>
      </w:r>
    </w:p>
    <w:p>
      <w:pPr>
        <w:rPr>
          <w:rFonts w:hint="default" w:ascii="Times New Roman" w:hAnsi="Times New Roman" w:eastAsia="仿宋_GB2312" w:cs="Times New Roman"/>
          <w:sz w:val="22"/>
          <w:szCs w:val="22"/>
          <w:highlight w:val="none"/>
        </w:rPr>
      </w:pPr>
      <w:r>
        <w:rPr>
          <w:rFonts w:hint="default" w:ascii="Times New Roman" w:hAnsi="Times New Roman" w:eastAsia="仿宋_GB2312" w:cs="Times New Roman"/>
          <w:sz w:val="22"/>
          <w:szCs w:val="22"/>
          <w:highlight w:val="none"/>
        </w:rPr>
        <w:t xml:space="preserve">填表人：       </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 xml:space="preserve">填报日期：     </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 xml:space="preserve">联系电话：   </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 xml:space="preserve"> 单位负责人签字：</w:t>
      </w:r>
    </w:p>
    <w:p>
      <w:pPr>
        <w:spacing w:before="75" w:line="230" w:lineRule="auto"/>
        <w:rPr>
          <w:rFonts w:hint="default" w:ascii="仿宋_GB2312" w:hAnsi="仿宋_GB2312" w:eastAsia="仿宋_GB2312" w:cs="仿宋_GB2312"/>
          <w:color w:val="000000" w:themeColor="text1"/>
          <w:spacing w:val="0"/>
          <w:position w:val="0"/>
          <w:sz w:val="32"/>
          <w:szCs w:val="32"/>
          <w:lang w:val="en-US" w:eastAsia="zh-CN"/>
          <w14:textFill>
            <w14:solidFill>
              <w14:schemeClr w14:val="tx1"/>
            </w14:solidFill>
          </w14:textFill>
        </w:rPr>
        <w:sectPr>
          <w:pgSz w:w="11906" w:h="16838"/>
          <w:pgMar w:top="1417" w:right="1417" w:bottom="1417" w:left="1417" w:header="851" w:footer="992" w:gutter="0"/>
          <w:pgNumType w:fmt="decimal"/>
          <w:cols w:space="0" w:num="1"/>
          <w:rtlGutter w:val="0"/>
          <w:docGrid w:type="lines" w:linePitch="312" w:charSpace="0"/>
        </w:sectPr>
      </w:pPr>
    </w:p>
    <w:p>
      <w:pPr>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rPr>
        <w:t>附件</w:t>
      </w:r>
      <w:r>
        <w:rPr>
          <w:rFonts w:hint="eastAsia" w:ascii="黑体" w:hAnsi="黑体" w:eastAsia="黑体" w:cs="黑体"/>
          <w:sz w:val="32"/>
          <w:szCs w:val="32"/>
          <w:highlight w:val="none"/>
          <w:lang w:val="en-US" w:eastAsia="zh-CN"/>
        </w:rPr>
        <w:t>4</w:t>
      </w:r>
    </w:p>
    <w:p>
      <w:pPr>
        <w:jc w:val="center"/>
        <w:rPr>
          <w:rFonts w:hint="default" w:ascii="Times New Roman" w:hAnsi="Times New Roman" w:eastAsia="方正小标宋_GBK" w:cs="Times New Roman"/>
          <w:sz w:val="52"/>
          <w:szCs w:val="52"/>
          <w:highlight w:val="none"/>
        </w:rPr>
      </w:pPr>
    </w:p>
    <w:p>
      <w:pPr>
        <w:jc w:val="center"/>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202</w:t>
      </w:r>
      <w:r>
        <w:rPr>
          <w:rFonts w:hint="eastAsia" w:ascii="方正小标宋简体" w:hAnsi="方正小标宋简体" w:eastAsia="方正小标宋简体" w:cs="方正小标宋简体"/>
          <w:sz w:val="44"/>
          <w:szCs w:val="44"/>
          <w:highlight w:val="none"/>
          <w:lang w:val="en-US" w:eastAsia="zh-CN"/>
        </w:rPr>
        <w:t>3</w:t>
      </w:r>
      <w:r>
        <w:rPr>
          <w:rFonts w:hint="eastAsia" w:ascii="方正小标宋简体" w:hAnsi="方正小标宋简体" w:eastAsia="方正小标宋简体" w:cs="方正小标宋简体"/>
          <w:sz w:val="44"/>
          <w:szCs w:val="44"/>
          <w:highlight w:val="none"/>
        </w:rPr>
        <w:t>年度岳阳市生态环境局汨罗分局</w:t>
      </w:r>
    </w:p>
    <w:p>
      <w:pPr>
        <w:jc w:val="center"/>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整体支出绩效自评报告</w:t>
      </w:r>
    </w:p>
    <w:p>
      <w:pPr>
        <w:jc w:val="center"/>
        <w:rPr>
          <w:rFonts w:hint="default" w:ascii="Times New Roman" w:hAnsi="Times New Roman" w:eastAsia="方正小标宋_GBK" w:cs="Times New Roman"/>
          <w:b/>
          <w:sz w:val="52"/>
          <w:szCs w:val="52"/>
          <w:highlight w:val="none"/>
        </w:rPr>
      </w:pPr>
      <w:bookmarkStart w:id="0" w:name="_GoBack"/>
      <w:bookmarkEnd w:id="0"/>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黑体" w:cs="Times New Roman"/>
          <w:sz w:val="32"/>
          <w:szCs w:val="32"/>
          <w:highlight w:val="none"/>
        </w:rPr>
      </w:pPr>
    </w:p>
    <w:p>
      <w:pPr>
        <w:jc w:val="center"/>
        <w:rPr>
          <w:rFonts w:hint="default" w:ascii="Times New Roman" w:hAnsi="Times New Roman" w:eastAsia="黑体" w:cs="Times New Roman"/>
          <w:sz w:val="32"/>
          <w:szCs w:val="32"/>
          <w:highlight w:val="none"/>
        </w:rPr>
      </w:pPr>
    </w:p>
    <w:p>
      <w:pPr>
        <w:jc w:val="center"/>
        <w:rPr>
          <w:rFonts w:hint="default" w:ascii="Times New Roman" w:hAnsi="Times New Roman" w:eastAsia="黑体" w:cs="Times New Roman"/>
          <w:sz w:val="32"/>
          <w:szCs w:val="32"/>
          <w:highlight w:val="none"/>
        </w:rPr>
      </w:pPr>
    </w:p>
    <w:p>
      <w:pPr>
        <w:jc w:val="both"/>
        <w:rPr>
          <w:rFonts w:hint="default" w:ascii="Times New Roman" w:hAnsi="Times New Roman" w:eastAsia="黑体" w:cs="Times New Roman"/>
          <w:sz w:val="32"/>
          <w:szCs w:val="32"/>
          <w:highlight w:val="none"/>
        </w:rPr>
      </w:pPr>
    </w:p>
    <w:p>
      <w:pPr>
        <w:jc w:val="center"/>
        <w:rPr>
          <w:rFonts w:hint="default" w:ascii="Times New Roman" w:hAnsi="Times New Roman" w:eastAsia="黑体" w:cs="Times New Roman"/>
          <w:sz w:val="32"/>
          <w:szCs w:val="32"/>
          <w:highlight w:val="none"/>
        </w:rPr>
      </w:pPr>
    </w:p>
    <w:p>
      <w:pPr>
        <w:jc w:val="both"/>
        <w:rPr>
          <w:rFonts w:hint="default" w:ascii="Times New Roman" w:hAnsi="Times New Roman" w:eastAsia="黑体" w:cs="Times New Roman"/>
          <w:sz w:val="32"/>
          <w:szCs w:val="32"/>
          <w:highlight w:val="none"/>
        </w:rPr>
      </w:pPr>
    </w:p>
    <w:p>
      <w:pPr>
        <w:spacing w:line="600" w:lineRule="exact"/>
        <w:jc w:val="center"/>
        <w:rPr>
          <w:rFonts w:hint="default" w:ascii="Times New Roman" w:hAnsi="Times New Roman" w:eastAsia="仿宋_GB2312" w:cs="Times New Roman"/>
          <w:sz w:val="32"/>
          <w:szCs w:val="32"/>
          <w:highlight w:val="none"/>
          <w:u w:val="single"/>
        </w:rPr>
      </w:pPr>
      <w:r>
        <w:rPr>
          <w:rFonts w:hint="default" w:ascii="Times New Roman" w:hAnsi="Times New Roman" w:eastAsia="仿宋_GB2312" w:cs="Times New Roman"/>
          <w:sz w:val="32"/>
          <w:szCs w:val="32"/>
          <w:highlight w:val="none"/>
        </w:rPr>
        <w:t>部门（单位）名称：岳阳市生态环境局汨罗分局</w:t>
      </w:r>
      <w:r>
        <w:rPr>
          <w:rFonts w:hint="default" w:ascii="Times New Roman" w:hAnsi="Times New Roman" w:eastAsia="仿宋_GB2312" w:cs="Times New Roman"/>
          <w:sz w:val="32"/>
          <w:szCs w:val="32"/>
          <w:highlight w:val="none"/>
          <w:u w:val="none"/>
        </w:rPr>
        <w:t>（盖章）</w:t>
      </w:r>
    </w:p>
    <w:p>
      <w:pPr>
        <w:spacing w:line="600" w:lineRule="exact"/>
        <w:jc w:val="center"/>
        <w:rPr>
          <w:rFonts w:hint="default" w:ascii="Times New Roman" w:hAnsi="Times New Roman" w:eastAsia="楷体_GB2312" w:cs="Times New Roman"/>
          <w:sz w:val="32"/>
          <w:szCs w:val="32"/>
          <w:highlight w:val="none"/>
        </w:rPr>
      </w:pPr>
      <w:r>
        <w:rPr>
          <w:rFonts w:hint="default" w:ascii="Times New Roman" w:hAnsi="Times New Roman" w:eastAsia="楷体_GB2312" w:cs="Times New Roman"/>
          <w:sz w:val="32"/>
          <w:szCs w:val="32"/>
          <w:highlight w:val="none"/>
        </w:rPr>
        <w:t>年  月  日</w:t>
      </w:r>
    </w:p>
    <w:p>
      <w:pPr>
        <w:jc w:val="center"/>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（此页为封面）</w:t>
      </w:r>
    </w:p>
    <w:p>
      <w:pPr>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br w:type="page"/>
      </w:r>
    </w:p>
    <w:p>
      <w:pPr>
        <w:ind w:firstLine="440" w:firstLineChars="100"/>
        <w:jc w:val="center"/>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202</w:t>
      </w:r>
      <w:r>
        <w:rPr>
          <w:rFonts w:hint="eastAsia" w:ascii="方正小标宋简体" w:hAnsi="方正小标宋简体" w:eastAsia="方正小标宋简体" w:cs="方正小标宋简体"/>
          <w:sz w:val="44"/>
          <w:szCs w:val="44"/>
          <w:highlight w:val="none"/>
          <w:lang w:val="en-US" w:eastAsia="zh-CN"/>
        </w:rPr>
        <w:t>3</w:t>
      </w:r>
      <w:r>
        <w:rPr>
          <w:rFonts w:hint="eastAsia" w:ascii="方正小标宋简体" w:hAnsi="方正小标宋简体" w:eastAsia="方正小标宋简体" w:cs="方正小标宋简体"/>
          <w:sz w:val="44"/>
          <w:szCs w:val="44"/>
          <w:highlight w:val="none"/>
        </w:rPr>
        <w:t>年度岳阳市生态环境局汨罗分局</w:t>
      </w:r>
    </w:p>
    <w:p>
      <w:pPr>
        <w:ind w:firstLine="440" w:firstLineChars="100"/>
        <w:jc w:val="center"/>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整体支出绩效自评报告</w:t>
      </w:r>
    </w:p>
    <w:p>
      <w:pPr>
        <w:keepNext w:val="0"/>
        <w:keepLines w:val="0"/>
        <w:pageBreakBefore w:val="0"/>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sz w:val="32"/>
          <w:szCs w:val="32"/>
          <w:highlight w:val="none"/>
        </w:rPr>
      </w:pPr>
    </w:p>
    <w:p>
      <w:pPr>
        <w:keepNext w:val="0"/>
        <w:keepLines w:val="0"/>
        <w:pageBreakBefore w:val="0"/>
        <w:numPr>
          <w:ilvl w:val="0"/>
          <w:numId w:val="2"/>
        </w:numPr>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部门（单位）基本情况</w:t>
      </w:r>
    </w:p>
    <w:p>
      <w:pPr>
        <w:ind w:firstLine="643" w:firstLineChars="200"/>
        <w:jc w:val="left"/>
        <w:rPr>
          <w:rFonts w:hint="eastAsia" w:ascii="仿宋_GB2312" w:hAnsi="仿宋_GB2312" w:eastAsia="仿宋_GB2312" w:cs="仿宋_GB2312"/>
          <w:b/>
          <w:bCs w:val="0"/>
          <w:kern w:val="2"/>
          <w:sz w:val="32"/>
          <w:szCs w:val="32"/>
          <w:lang w:val="en-US" w:eastAsia="zh-CN"/>
        </w:rPr>
      </w:pPr>
      <w:r>
        <w:rPr>
          <w:rFonts w:hint="eastAsia" w:ascii="仿宋_GB2312" w:hAnsi="仿宋_GB2312" w:eastAsia="仿宋_GB2312" w:cs="仿宋_GB2312"/>
          <w:b/>
          <w:bCs w:val="0"/>
          <w:kern w:val="2"/>
          <w:sz w:val="32"/>
          <w:szCs w:val="32"/>
          <w:lang w:val="en-US" w:eastAsia="zh-CN"/>
        </w:rPr>
        <w:t>1.职能职责</w:t>
      </w:r>
    </w:p>
    <w:p>
      <w:pPr>
        <w:numPr>
          <w:ilvl w:val="2"/>
          <w:numId w:val="3"/>
        </w:numPr>
        <w:ind w:left="630" w:leftChars="0" w:firstLine="0" w:firstLineChars="0"/>
        <w:jc w:val="left"/>
        <w:rPr>
          <w:rFonts w:hint="eastAsia" w:ascii="仿宋_GB2312" w:hAnsi="仿宋_GB2312" w:eastAsia="仿宋_GB2312" w:cs="仿宋_GB2312"/>
          <w:b w:val="0"/>
          <w:bCs/>
          <w:kern w:val="2"/>
          <w:sz w:val="32"/>
          <w:szCs w:val="32"/>
          <w:lang w:val="en-US" w:eastAsia="zh-CN"/>
        </w:rPr>
      </w:pPr>
      <w:r>
        <w:rPr>
          <w:rFonts w:hint="eastAsia" w:ascii="仿宋_GB2312" w:hAnsi="仿宋_GB2312" w:eastAsia="仿宋_GB2312" w:cs="仿宋_GB2312"/>
          <w:b w:val="0"/>
          <w:bCs/>
          <w:kern w:val="2"/>
          <w:sz w:val="32"/>
          <w:szCs w:val="32"/>
          <w:lang w:val="en-US" w:eastAsia="zh-CN"/>
        </w:rPr>
        <w:t>贯彻执行国家、省、岳阳市关于环境保护的方针、政策和法律法规；</w:t>
      </w:r>
    </w:p>
    <w:p>
      <w:pPr>
        <w:numPr>
          <w:ilvl w:val="2"/>
          <w:numId w:val="3"/>
        </w:numPr>
        <w:ind w:left="630" w:leftChars="0" w:firstLine="0" w:firstLineChars="0"/>
        <w:jc w:val="left"/>
        <w:rPr>
          <w:rFonts w:hint="eastAsia" w:ascii="仿宋_GB2312" w:hAnsi="仿宋_GB2312" w:eastAsia="仿宋_GB2312" w:cs="仿宋_GB2312"/>
          <w:b w:val="0"/>
          <w:bCs/>
          <w:kern w:val="2"/>
          <w:sz w:val="32"/>
          <w:szCs w:val="32"/>
          <w:lang w:val="en-US" w:eastAsia="zh-CN"/>
        </w:rPr>
      </w:pPr>
      <w:r>
        <w:rPr>
          <w:rFonts w:hint="eastAsia" w:ascii="仿宋_GB2312" w:hAnsi="仿宋_GB2312" w:eastAsia="仿宋_GB2312" w:cs="仿宋_GB2312"/>
          <w:b w:val="0"/>
          <w:bCs/>
          <w:kern w:val="2"/>
          <w:sz w:val="32"/>
          <w:szCs w:val="32"/>
          <w:lang w:val="en-US" w:eastAsia="zh-CN"/>
        </w:rPr>
        <w:t>负责全市重大环境问题的统筹协调和监督管理，负责污染纠纷和事故调处；</w:t>
      </w:r>
    </w:p>
    <w:p>
      <w:pPr>
        <w:numPr>
          <w:ilvl w:val="2"/>
          <w:numId w:val="3"/>
        </w:numPr>
        <w:ind w:left="630" w:leftChars="0" w:firstLine="0" w:firstLineChars="0"/>
        <w:jc w:val="left"/>
        <w:rPr>
          <w:rFonts w:hint="eastAsia" w:ascii="仿宋_GB2312" w:hAnsi="仿宋_GB2312" w:eastAsia="仿宋_GB2312" w:cs="仿宋_GB2312"/>
          <w:b w:val="0"/>
          <w:bCs/>
          <w:kern w:val="2"/>
          <w:sz w:val="32"/>
          <w:szCs w:val="32"/>
          <w:lang w:val="en-US" w:eastAsia="zh-CN"/>
        </w:rPr>
      </w:pPr>
      <w:r>
        <w:rPr>
          <w:rFonts w:hint="eastAsia" w:ascii="仿宋_GB2312" w:hAnsi="仿宋_GB2312" w:eastAsia="仿宋_GB2312" w:cs="仿宋_GB2312"/>
          <w:b w:val="0"/>
          <w:bCs/>
          <w:kern w:val="2"/>
          <w:sz w:val="32"/>
          <w:szCs w:val="32"/>
          <w:lang w:val="en-US" w:eastAsia="zh-CN"/>
        </w:rPr>
        <w:t>依法负责排污权有偿使用费的征收、稽查；</w:t>
      </w:r>
    </w:p>
    <w:p>
      <w:pPr>
        <w:numPr>
          <w:ilvl w:val="2"/>
          <w:numId w:val="3"/>
        </w:numPr>
        <w:ind w:left="630" w:leftChars="0" w:firstLine="0" w:firstLineChars="0"/>
        <w:jc w:val="left"/>
        <w:rPr>
          <w:rFonts w:hint="eastAsia" w:ascii="仿宋_GB2312" w:hAnsi="仿宋_GB2312" w:eastAsia="仿宋_GB2312" w:cs="仿宋_GB2312"/>
          <w:b w:val="0"/>
          <w:bCs/>
          <w:kern w:val="2"/>
          <w:sz w:val="32"/>
          <w:szCs w:val="32"/>
          <w:lang w:val="en-US" w:eastAsia="zh-CN"/>
        </w:rPr>
      </w:pPr>
      <w:r>
        <w:rPr>
          <w:rFonts w:hint="eastAsia" w:ascii="仿宋_GB2312" w:hAnsi="仿宋_GB2312" w:eastAsia="仿宋_GB2312" w:cs="仿宋_GB2312"/>
          <w:b w:val="0"/>
          <w:bCs/>
          <w:kern w:val="2"/>
          <w:sz w:val="32"/>
          <w:szCs w:val="32"/>
          <w:lang w:val="en-US" w:eastAsia="zh-CN"/>
        </w:rPr>
        <w:t>负责环境监察和环境保护行政巡察和执法检查；</w:t>
      </w:r>
    </w:p>
    <w:p>
      <w:pPr>
        <w:numPr>
          <w:ilvl w:val="2"/>
          <w:numId w:val="3"/>
        </w:numPr>
        <w:ind w:left="630" w:leftChars="0" w:firstLine="0" w:firstLineChars="0"/>
        <w:jc w:val="left"/>
        <w:rPr>
          <w:rFonts w:hint="eastAsia" w:ascii="仿宋_GB2312" w:hAnsi="仿宋_GB2312" w:eastAsia="仿宋_GB2312" w:cs="仿宋_GB2312"/>
          <w:b w:val="0"/>
          <w:bCs/>
          <w:kern w:val="2"/>
          <w:sz w:val="32"/>
          <w:szCs w:val="32"/>
          <w:lang w:val="en-US" w:eastAsia="zh-CN"/>
        </w:rPr>
      </w:pPr>
      <w:r>
        <w:rPr>
          <w:rFonts w:hint="eastAsia" w:ascii="仿宋_GB2312" w:hAnsi="仿宋_GB2312" w:eastAsia="仿宋_GB2312" w:cs="仿宋_GB2312"/>
          <w:b w:val="0"/>
          <w:bCs/>
          <w:kern w:val="2"/>
          <w:sz w:val="32"/>
          <w:szCs w:val="32"/>
          <w:lang w:val="en-US" w:eastAsia="zh-CN"/>
        </w:rPr>
        <w:t>负责环境监测、统计、信息工作；</w:t>
      </w:r>
    </w:p>
    <w:p>
      <w:pPr>
        <w:numPr>
          <w:ilvl w:val="2"/>
          <w:numId w:val="3"/>
        </w:numPr>
        <w:ind w:left="630" w:leftChars="0" w:firstLine="0" w:firstLineChars="0"/>
        <w:jc w:val="left"/>
        <w:rPr>
          <w:rFonts w:hint="eastAsia" w:ascii="仿宋_GB2312" w:hAnsi="仿宋_GB2312" w:eastAsia="仿宋_GB2312" w:cs="仿宋_GB2312"/>
          <w:b w:val="0"/>
          <w:bCs/>
          <w:kern w:val="2"/>
          <w:sz w:val="32"/>
          <w:szCs w:val="32"/>
          <w:lang w:val="en-US" w:eastAsia="zh-CN"/>
        </w:rPr>
      </w:pPr>
      <w:r>
        <w:rPr>
          <w:rFonts w:hint="eastAsia" w:ascii="仿宋_GB2312" w:hAnsi="仿宋_GB2312" w:eastAsia="仿宋_GB2312" w:cs="仿宋_GB2312"/>
          <w:b w:val="0"/>
          <w:bCs/>
          <w:kern w:val="2"/>
          <w:sz w:val="32"/>
          <w:szCs w:val="32"/>
          <w:lang w:val="en-US" w:eastAsia="zh-CN"/>
        </w:rPr>
        <w:t>负责全市辐射环境、放射性废物、电磁辐射、核污染等污染防治工作；</w:t>
      </w:r>
    </w:p>
    <w:p>
      <w:pPr>
        <w:numPr>
          <w:ilvl w:val="2"/>
          <w:numId w:val="3"/>
        </w:numPr>
        <w:ind w:left="630" w:leftChars="0" w:firstLine="0" w:firstLineChars="0"/>
        <w:jc w:val="left"/>
        <w:rPr>
          <w:rFonts w:hint="eastAsia" w:ascii="仿宋_GB2312" w:hAnsi="仿宋_GB2312" w:eastAsia="仿宋_GB2312" w:cs="仿宋_GB2312"/>
          <w:b w:val="0"/>
          <w:bCs/>
          <w:kern w:val="2"/>
          <w:sz w:val="32"/>
          <w:szCs w:val="32"/>
          <w:lang w:val="en-US" w:eastAsia="zh-CN"/>
        </w:rPr>
      </w:pPr>
      <w:r>
        <w:rPr>
          <w:rFonts w:hint="eastAsia" w:ascii="仿宋_GB2312" w:hAnsi="仿宋_GB2312" w:eastAsia="仿宋_GB2312" w:cs="仿宋_GB2312"/>
          <w:b w:val="0"/>
          <w:bCs/>
          <w:kern w:val="2"/>
          <w:sz w:val="32"/>
          <w:szCs w:val="32"/>
          <w:lang w:val="en-US" w:eastAsia="zh-CN"/>
        </w:rPr>
        <w:t>组织、指导和协调全市环境保护宣传教育工作，推动公众和非政府组织参与环境保护。</w:t>
      </w:r>
    </w:p>
    <w:p>
      <w:pPr>
        <w:ind w:firstLine="643" w:firstLineChars="200"/>
        <w:jc w:val="left"/>
        <w:rPr>
          <w:rFonts w:hint="eastAsia" w:ascii="仿宋_GB2312" w:hAnsi="仿宋_GB2312" w:eastAsia="仿宋_GB2312" w:cs="仿宋_GB2312"/>
          <w:b/>
          <w:bCs w:val="0"/>
          <w:kern w:val="2"/>
          <w:sz w:val="32"/>
          <w:szCs w:val="32"/>
          <w:lang w:val="en-US" w:eastAsia="zh-CN"/>
        </w:rPr>
      </w:pPr>
      <w:r>
        <w:rPr>
          <w:rFonts w:hint="eastAsia" w:ascii="仿宋_GB2312" w:hAnsi="仿宋_GB2312" w:eastAsia="仿宋_GB2312" w:cs="仿宋_GB2312"/>
          <w:b/>
          <w:bCs w:val="0"/>
          <w:kern w:val="2"/>
          <w:sz w:val="32"/>
          <w:szCs w:val="32"/>
          <w:lang w:val="en-US" w:eastAsia="zh-CN"/>
        </w:rPr>
        <w:t>2.机构设置</w:t>
      </w:r>
    </w:p>
    <w:p>
      <w:pPr>
        <w:ind w:firstLine="640" w:firstLineChars="200"/>
        <w:jc w:val="left"/>
        <w:rPr>
          <w:rFonts w:hint="default" w:ascii="仿宋_GB2312" w:hAnsi="仿宋_GB2312" w:eastAsia="仿宋_GB2312" w:cs="仿宋_GB2312"/>
          <w:bCs/>
          <w:kern w:val="2"/>
          <w:sz w:val="32"/>
          <w:szCs w:val="32"/>
          <w:lang w:val="en-US" w:eastAsia="zh-CN"/>
        </w:rPr>
      </w:pPr>
      <w:r>
        <w:rPr>
          <w:rFonts w:hint="eastAsia" w:ascii="仿宋_GB2312" w:hAnsi="仿宋_GB2312" w:eastAsia="仿宋_GB2312" w:cs="仿宋_GB2312"/>
          <w:bCs/>
          <w:kern w:val="2"/>
          <w:sz w:val="32"/>
          <w:szCs w:val="32"/>
          <w:lang w:val="en-US" w:eastAsia="zh-CN"/>
        </w:rPr>
        <w:t>岳阳市生态环境局</w:t>
      </w:r>
      <w:r>
        <w:rPr>
          <w:rFonts w:hint="default" w:ascii="仿宋_GB2312" w:hAnsi="仿宋_GB2312" w:eastAsia="仿宋_GB2312" w:cs="仿宋_GB2312"/>
          <w:bCs/>
          <w:kern w:val="2"/>
          <w:sz w:val="32"/>
          <w:szCs w:val="32"/>
          <w:lang w:val="en-US" w:eastAsia="zh-CN"/>
        </w:rPr>
        <w:t>汨罗分局</w:t>
      </w:r>
      <w:r>
        <w:rPr>
          <w:rFonts w:hint="eastAsia" w:ascii="仿宋_GB2312" w:hAnsi="仿宋_GB2312" w:eastAsia="仿宋_GB2312" w:cs="仿宋_GB2312"/>
          <w:bCs/>
          <w:kern w:val="2"/>
          <w:sz w:val="32"/>
          <w:szCs w:val="32"/>
          <w:lang w:val="en-US" w:eastAsia="zh-CN"/>
        </w:rPr>
        <w:t>属岳阳市生态环境局派出机构，为财政全额预算单位，</w:t>
      </w:r>
      <w:r>
        <w:rPr>
          <w:rFonts w:hint="default" w:ascii="仿宋_GB2312" w:hAnsi="仿宋_GB2312" w:eastAsia="仿宋_GB2312" w:cs="仿宋_GB2312"/>
          <w:bCs/>
          <w:kern w:val="2"/>
          <w:sz w:val="32"/>
          <w:szCs w:val="32"/>
          <w:lang w:val="en-US" w:eastAsia="zh-CN"/>
        </w:rPr>
        <w:t>下设17个股室：办公室、信息中心、生态环境督察股、法规与标准股、自然生态保护与土壤环境股、水生态环境股、大气环境与应对气候变化股、固体废物与化学品及核与辐射管理股、环评和污染排放股（行政审批办公室）、宣教与监测股、科技与财务股、人事股、机关党建室、纪检联络室、综合行政执法大队、监测站、机关工会、驻工业园执法大队。</w:t>
      </w:r>
    </w:p>
    <w:p>
      <w:pPr>
        <w:numPr>
          <w:ilvl w:val="0"/>
          <w:numId w:val="4"/>
        </w:numPr>
        <w:ind w:firstLine="643" w:firstLineChars="200"/>
        <w:jc w:val="left"/>
        <w:rPr>
          <w:rFonts w:hint="eastAsia" w:ascii="仿宋_GB2312" w:hAnsi="仿宋_GB2312" w:eastAsia="仿宋_GB2312" w:cs="仿宋_GB2312"/>
          <w:b/>
          <w:bCs w:val="0"/>
          <w:kern w:val="2"/>
          <w:sz w:val="32"/>
          <w:szCs w:val="32"/>
          <w:lang w:val="en-US" w:eastAsia="zh-CN"/>
        </w:rPr>
      </w:pPr>
      <w:r>
        <w:rPr>
          <w:rFonts w:hint="eastAsia" w:ascii="仿宋_GB2312" w:hAnsi="仿宋_GB2312" w:eastAsia="仿宋_GB2312" w:cs="仿宋_GB2312"/>
          <w:b/>
          <w:bCs w:val="0"/>
          <w:kern w:val="2"/>
          <w:sz w:val="32"/>
          <w:szCs w:val="32"/>
          <w:lang w:val="en-US" w:eastAsia="zh-CN"/>
        </w:rPr>
        <w:t>人员编制情况</w:t>
      </w:r>
    </w:p>
    <w:p>
      <w:pPr>
        <w:ind w:firstLine="640" w:firstLineChars="200"/>
        <w:jc w:val="left"/>
        <w:rPr>
          <w:rFonts w:hint="default" w:ascii="Times New Roman" w:hAnsi="Times New Roman" w:eastAsia="黑体" w:cs="Times New Roman"/>
          <w:sz w:val="32"/>
          <w:szCs w:val="32"/>
          <w:highlight w:val="none"/>
        </w:rPr>
      </w:pPr>
      <w:r>
        <w:rPr>
          <w:rFonts w:hint="eastAsia" w:ascii="仿宋_GB2312" w:hAnsi="仿宋_GB2312" w:eastAsia="仿宋_GB2312" w:cs="仿宋_GB2312"/>
          <w:bCs/>
          <w:kern w:val="2"/>
          <w:sz w:val="32"/>
          <w:szCs w:val="32"/>
          <w:lang w:val="en-US" w:eastAsia="zh-CN"/>
        </w:rPr>
        <w:t>汨罗分局现有编制数92个，其中公务员和参公编制39名，全额事业编制53名。</w:t>
      </w:r>
    </w:p>
    <w:p>
      <w:pPr>
        <w:pStyle w:val="7"/>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二、一般公共预算支出情况</w:t>
      </w:r>
    </w:p>
    <w:p>
      <w:pPr>
        <w:pStyle w:val="7"/>
        <w:keepNext w:val="0"/>
        <w:keepLines w:val="0"/>
        <w:pageBreakBefore w:val="0"/>
        <w:widowControl/>
        <w:kinsoku/>
        <w:wordWrap/>
        <w:overflowPunct/>
        <w:topLinePunct w:val="0"/>
        <w:autoSpaceDE/>
        <w:autoSpaceDN/>
        <w:bidi w:val="0"/>
        <w:adjustRightInd/>
        <w:snapToGrid/>
        <w:spacing w:line="640" w:lineRule="exact"/>
        <w:ind w:firstLine="643" w:firstLineChars="200"/>
        <w:jc w:val="both"/>
        <w:textAlignment w:val="auto"/>
        <w:rPr>
          <w:rFonts w:hint="default" w:ascii="Times New Roman" w:hAnsi="Times New Roman" w:eastAsia="楷体_GB2312" w:cs="Times New Roman"/>
          <w:b/>
          <w:sz w:val="32"/>
          <w:szCs w:val="32"/>
          <w:highlight w:val="none"/>
        </w:rPr>
      </w:pPr>
      <w:r>
        <w:rPr>
          <w:rFonts w:hint="default" w:ascii="Times New Roman" w:hAnsi="Times New Roman" w:eastAsia="楷体_GB2312" w:cs="Times New Roman"/>
          <w:b/>
          <w:sz w:val="32"/>
          <w:szCs w:val="32"/>
          <w:highlight w:val="none"/>
        </w:rPr>
        <w:t>（一）基本支出情况</w:t>
      </w:r>
    </w:p>
    <w:p>
      <w:pPr>
        <w:ind w:firstLine="640" w:firstLineChars="200"/>
        <w:jc w:val="left"/>
        <w:rPr>
          <w:rFonts w:hint="default" w:ascii="Times New Roman" w:hAnsi="Times New Roman" w:eastAsia="楷体_GB2312" w:cs="Times New Roman"/>
          <w:b/>
          <w:sz w:val="32"/>
          <w:szCs w:val="32"/>
          <w:highlight w:val="none"/>
        </w:rPr>
      </w:pPr>
      <w:r>
        <w:rPr>
          <w:rFonts w:hint="eastAsia" w:ascii="仿宋_GB2312" w:hAnsi="仿宋_GB2312" w:eastAsia="仿宋_GB2312" w:cs="仿宋_GB2312"/>
          <w:bCs/>
          <w:kern w:val="2"/>
          <w:sz w:val="32"/>
          <w:szCs w:val="32"/>
          <w:lang w:val="en-US" w:eastAsia="zh-CN"/>
        </w:rPr>
        <w:t>2023年基本支出1,630.25万元，其中：人员经费1,400.12万元，主要用于基本工资、津补贴、社会保障缴费等；公用经费230.13万元，主要用于日常办公开支。</w:t>
      </w:r>
    </w:p>
    <w:p>
      <w:pPr>
        <w:pStyle w:val="7"/>
        <w:keepNext w:val="0"/>
        <w:keepLines w:val="0"/>
        <w:pageBreakBefore w:val="0"/>
        <w:widowControl/>
        <w:numPr>
          <w:ilvl w:val="0"/>
          <w:numId w:val="5"/>
        </w:numPr>
        <w:kinsoku/>
        <w:wordWrap/>
        <w:overflowPunct/>
        <w:topLinePunct w:val="0"/>
        <w:autoSpaceDE/>
        <w:autoSpaceDN/>
        <w:bidi w:val="0"/>
        <w:adjustRightInd/>
        <w:snapToGrid/>
        <w:spacing w:line="640" w:lineRule="exact"/>
        <w:ind w:firstLine="643" w:firstLineChars="200"/>
        <w:jc w:val="both"/>
        <w:textAlignment w:val="auto"/>
        <w:rPr>
          <w:rFonts w:hint="default" w:ascii="Times New Roman" w:hAnsi="Times New Roman" w:eastAsia="楷体_GB2312" w:cs="Times New Roman"/>
          <w:b/>
          <w:sz w:val="32"/>
          <w:szCs w:val="32"/>
          <w:highlight w:val="none"/>
        </w:rPr>
      </w:pPr>
      <w:r>
        <w:rPr>
          <w:rFonts w:hint="default" w:ascii="Times New Roman" w:hAnsi="Times New Roman" w:eastAsia="楷体_GB2312" w:cs="Times New Roman"/>
          <w:b/>
          <w:sz w:val="32"/>
          <w:szCs w:val="32"/>
          <w:highlight w:val="none"/>
        </w:rPr>
        <w:t>项目支出情况</w:t>
      </w:r>
    </w:p>
    <w:p>
      <w:pPr>
        <w:ind w:firstLine="640" w:firstLineChars="200"/>
        <w:jc w:val="left"/>
        <w:rPr>
          <w:rFonts w:hint="default" w:ascii="Times New Roman" w:hAnsi="Times New Roman" w:eastAsia="楷体_GB2312" w:cs="Times New Roman"/>
          <w:b/>
          <w:sz w:val="32"/>
          <w:szCs w:val="32"/>
          <w:highlight w:val="none"/>
        </w:rPr>
      </w:pPr>
      <w:r>
        <w:rPr>
          <w:rFonts w:hint="eastAsia" w:ascii="仿宋_GB2312" w:hAnsi="仿宋_GB2312" w:eastAsia="仿宋_GB2312" w:cs="仿宋_GB2312"/>
          <w:bCs/>
          <w:kern w:val="2"/>
          <w:sz w:val="32"/>
          <w:szCs w:val="32"/>
          <w:lang w:val="en-US" w:eastAsia="zh-CN"/>
        </w:rPr>
        <w:t>2023年专项资金共投入419.65万元，年初预算安排342.57万元，主要用于完成特定行政工作任务或事业发展目标而发生的支出，包括环境监察、监测等运行经费，环境监测、监控及监察能力建设，大气、水、土壤污染防治，生态保护，环保宣传教育，环保督察、环境执法与监察，降低污染物排放及生态保护，重金属污染治理等方面。</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lang w:eastAsia="zh-CN"/>
        </w:rPr>
      </w:pPr>
      <w:r>
        <w:rPr>
          <w:rFonts w:hint="eastAsia" w:ascii="Times New Roman" w:hAnsi="Times New Roman" w:eastAsia="黑体" w:cs="Times New Roman"/>
          <w:sz w:val="32"/>
          <w:szCs w:val="32"/>
          <w:highlight w:val="none"/>
          <w:lang w:eastAsia="zh-CN"/>
        </w:rPr>
        <w:t>三、</w:t>
      </w:r>
      <w:r>
        <w:rPr>
          <w:rFonts w:hint="default" w:ascii="Times New Roman" w:hAnsi="Times New Roman" w:eastAsia="黑体" w:cs="Times New Roman"/>
          <w:sz w:val="32"/>
          <w:szCs w:val="32"/>
          <w:highlight w:val="none"/>
          <w:lang w:eastAsia="zh-CN"/>
        </w:rPr>
        <w:t>政府性基金预算支出情况</w:t>
      </w:r>
    </w:p>
    <w:p>
      <w:pPr>
        <w:ind w:firstLine="640" w:firstLineChars="200"/>
        <w:jc w:val="left"/>
        <w:rPr>
          <w:rFonts w:hint="default" w:ascii="Times New Roman" w:hAnsi="Times New Roman" w:eastAsia="黑体" w:cs="Times New Roman"/>
          <w:sz w:val="32"/>
          <w:szCs w:val="32"/>
          <w:highlight w:val="none"/>
        </w:rPr>
      </w:pPr>
      <w:r>
        <w:rPr>
          <w:rFonts w:hint="eastAsia" w:ascii="仿宋_GB2312" w:hAnsi="仿宋_GB2312" w:eastAsia="仿宋_GB2312" w:cs="仿宋_GB2312"/>
          <w:bCs/>
          <w:kern w:val="2"/>
          <w:sz w:val="32"/>
          <w:szCs w:val="32"/>
          <w:lang w:val="en-US" w:eastAsia="zh-CN"/>
        </w:rPr>
        <w:t>2023年度本单位无政府性基金预算支出。</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lang w:eastAsia="zh-CN"/>
        </w:rPr>
      </w:pPr>
      <w:r>
        <w:rPr>
          <w:rFonts w:hint="eastAsia" w:ascii="Times New Roman" w:hAnsi="Times New Roman" w:eastAsia="黑体" w:cs="Times New Roman"/>
          <w:sz w:val="32"/>
          <w:szCs w:val="32"/>
          <w:highlight w:val="none"/>
          <w:lang w:eastAsia="zh-CN"/>
        </w:rPr>
        <w:t>四、</w:t>
      </w:r>
      <w:r>
        <w:rPr>
          <w:rFonts w:hint="default" w:ascii="Times New Roman" w:hAnsi="Times New Roman" w:eastAsia="黑体" w:cs="Times New Roman"/>
          <w:sz w:val="32"/>
          <w:szCs w:val="32"/>
          <w:highlight w:val="none"/>
          <w:lang w:eastAsia="zh-CN"/>
        </w:rPr>
        <w:t>国有资本经营预算支出情况</w:t>
      </w:r>
    </w:p>
    <w:p>
      <w:pPr>
        <w:pStyle w:val="7"/>
        <w:keepNext w:val="0"/>
        <w:keepLines w:val="0"/>
        <w:pageBreakBefore w:val="0"/>
        <w:widowControl/>
        <w:numPr>
          <w:ilvl w:val="0"/>
          <w:numId w:val="0"/>
        </w:numPr>
        <w:kinsoku/>
        <w:wordWrap/>
        <w:overflowPunct/>
        <w:topLinePunct w:val="0"/>
        <w:autoSpaceDE/>
        <w:autoSpaceDN/>
        <w:bidi w:val="0"/>
        <w:adjustRightInd/>
        <w:snapToGrid/>
        <w:spacing w:line="640" w:lineRule="exact"/>
        <w:ind w:leftChars="0" w:firstLine="640" w:firstLineChars="200"/>
        <w:jc w:val="both"/>
        <w:textAlignment w:val="auto"/>
        <w:rPr>
          <w:rFonts w:hint="default" w:ascii="Times New Roman" w:hAnsi="Times New Roman" w:eastAsia="黑体" w:cs="Times New Roman"/>
          <w:sz w:val="32"/>
          <w:szCs w:val="32"/>
          <w:highlight w:val="none"/>
        </w:rPr>
      </w:pPr>
      <w:r>
        <w:rPr>
          <w:rFonts w:hint="eastAsia" w:ascii="仿宋_GB2312" w:hAnsi="仿宋_GB2312" w:eastAsia="仿宋_GB2312" w:cs="仿宋_GB2312"/>
          <w:bCs/>
          <w:sz w:val="32"/>
          <w:szCs w:val="32"/>
          <w:lang w:val="en-US" w:eastAsia="zh-CN"/>
        </w:rPr>
        <w:t>2023年度本单位无国有资本经营预算支出。</w:t>
      </w:r>
    </w:p>
    <w:p>
      <w:pPr>
        <w:pStyle w:val="7"/>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eastAsia" w:ascii="Times New Roman" w:hAnsi="Times New Roman" w:eastAsia="黑体" w:cs="Times New Roman"/>
          <w:sz w:val="32"/>
          <w:szCs w:val="32"/>
          <w:highlight w:val="none"/>
          <w:lang w:eastAsia="zh-CN"/>
        </w:rPr>
        <w:t>五、</w:t>
      </w:r>
      <w:r>
        <w:rPr>
          <w:rFonts w:hint="default" w:ascii="Times New Roman" w:hAnsi="Times New Roman" w:eastAsia="黑体" w:cs="Times New Roman"/>
          <w:sz w:val="32"/>
          <w:szCs w:val="32"/>
          <w:highlight w:val="none"/>
        </w:rPr>
        <w:t>社会保险基金预算支出情况</w:t>
      </w:r>
    </w:p>
    <w:p>
      <w:pPr>
        <w:ind w:firstLine="640" w:firstLineChars="200"/>
        <w:jc w:val="left"/>
        <w:rPr>
          <w:rFonts w:hint="eastAsia" w:ascii="黑体" w:hAnsi="黑体" w:eastAsia="黑体" w:cs="黑体"/>
          <w:color w:val="000000" w:themeColor="text1"/>
          <w:spacing w:val="0"/>
          <w:kern w:val="2"/>
          <w:position w:val="0"/>
          <w:sz w:val="32"/>
          <w:szCs w:val="32"/>
          <w:lang w:val="en-US" w:eastAsia="zh-CN"/>
          <w14:textFill>
            <w14:solidFill>
              <w14:schemeClr w14:val="tx1"/>
            </w14:solidFill>
          </w14:textFill>
        </w:rPr>
      </w:pPr>
      <w:r>
        <w:rPr>
          <w:rFonts w:hint="eastAsia" w:ascii="仿宋_GB2312" w:hAnsi="仿宋_GB2312" w:eastAsia="仿宋_GB2312" w:cs="仿宋_GB2312"/>
          <w:bCs/>
          <w:kern w:val="2"/>
          <w:sz w:val="32"/>
          <w:szCs w:val="32"/>
          <w:lang w:val="en-US" w:eastAsia="zh-CN"/>
        </w:rPr>
        <w:t>2023年度本单位无社会保险基金预算支出。</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eastAsia" w:ascii="Times New Roman" w:hAnsi="Times New Roman" w:eastAsia="黑体" w:cs="Times New Roman"/>
          <w:sz w:val="32"/>
          <w:szCs w:val="32"/>
          <w:highlight w:val="none"/>
          <w:lang w:eastAsia="zh-CN"/>
        </w:rPr>
        <w:t>六、</w:t>
      </w:r>
      <w:r>
        <w:rPr>
          <w:rFonts w:hint="default" w:ascii="Times New Roman" w:hAnsi="Times New Roman" w:eastAsia="黑体" w:cs="Times New Roman"/>
          <w:sz w:val="32"/>
          <w:szCs w:val="32"/>
          <w:highlight w:val="none"/>
        </w:rPr>
        <w:t>部门整体支出绩效情况</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color w:val="000000"/>
          <w:sz w:val="32"/>
          <w:szCs w:val="32"/>
          <w:highlight w:val="none"/>
        </w:rPr>
      </w:pPr>
      <w:r>
        <w:rPr>
          <w:rFonts w:hint="eastAsia" w:ascii="Times New Roman" w:hAnsi="Times New Roman" w:eastAsia="仿宋_GB2312" w:cs="Times New Roman"/>
          <w:color w:val="000000"/>
          <w:sz w:val="32"/>
          <w:szCs w:val="32"/>
          <w:highlight w:val="none"/>
          <w:lang w:eastAsia="zh-CN"/>
        </w:rPr>
        <w:t>（</w:t>
      </w:r>
      <w:r>
        <w:rPr>
          <w:rFonts w:hint="default" w:ascii="Times New Roman" w:hAnsi="Times New Roman" w:eastAsia="仿宋_GB2312" w:cs="Times New Roman"/>
          <w:color w:val="000000"/>
          <w:sz w:val="32"/>
          <w:szCs w:val="32"/>
          <w:highlight w:val="none"/>
        </w:rPr>
        <w:t xml:space="preserve">一）部门资金情况分析 </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color w:val="000000"/>
          <w:sz w:val="32"/>
          <w:szCs w:val="32"/>
          <w:highlight w:val="none"/>
        </w:rPr>
        <w:t>我局2023年预算资金总额</w:t>
      </w:r>
      <w:r>
        <w:rPr>
          <w:rFonts w:hint="eastAsia" w:ascii="Times New Roman" w:hAnsi="Times New Roman" w:eastAsia="仿宋_GB2312" w:cs="Times New Roman"/>
          <w:color w:val="000000"/>
          <w:sz w:val="32"/>
          <w:szCs w:val="32"/>
          <w:highlight w:val="none"/>
          <w:lang w:val="en-US" w:eastAsia="zh-CN"/>
        </w:rPr>
        <w:t>5453.25</w:t>
      </w:r>
      <w:r>
        <w:rPr>
          <w:rFonts w:hint="default" w:ascii="Times New Roman" w:hAnsi="Times New Roman" w:eastAsia="仿宋_GB2312" w:cs="Times New Roman"/>
          <w:color w:val="000000"/>
          <w:sz w:val="32"/>
          <w:szCs w:val="32"/>
          <w:highlight w:val="none"/>
        </w:rPr>
        <w:t>万元，专项经费实行专款专用，严格按照相关规定支付，资金支付合规合法，资金使用率100%。</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color w:val="000000"/>
          <w:sz w:val="32"/>
          <w:szCs w:val="32"/>
          <w:highlight w:val="none"/>
        </w:rPr>
        <w:t>（二）项目绩效指标完成情况分析</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color w:val="000000"/>
          <w:sz w:val="32"/>
          <w:szCs w:val="32"/>
          <w:highlight w:val="none"/>
        </w:rPr>
        <w:t xml:space="preserve">1.履职效能情况分析 </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仿宋_GB2312" w:hAnsi="Calibri" w:eastAsia="仿宋_GB2312" w:cs="Times New Roman"/>
          <w:color w:val="333333"/>
          <w:kern w:val="2"/>
          <w:sz w:val="32"/>
          <w:szCs w:val="32"/>
          <w:lang w:val="en-US" w:eastAsia="zh-CN" w:bidi="ar"/>
        </w:rPr>
      </w:pPr>
      <w:r>
        <w:rPr>
          <w:rFonts w:hint="eastAsia" w:ascii="仿宋_GB2312" w:hAnsi="Calibri" w:eastAsia="仿宋_GB2312" w:cs="Times New Roman"/>
          <w:color w:val="333333"/>
          <w:kern w:val="2"/>
          <w:sz w:val="32"/>
          <w:szCs w:val="32"/>
          <w:lang w:val="en-US" w:eastAsia="zh-CN" w:bidi="ar"/>
        </w:rPr>
        <w:t>2023年，全市城区环境空气质量持续向好，综合指数为3.11，排名岳阳六县（市）第2。国控、省控、集中式饮用水水源地水质均满足Ⅱ（二）、Ⅲ（三）类水质标准，水质达标率100％，水环境质量稳步提高。污染地块安全利用率达91％以上，重点建设用地安全利用率达100%，土壤环境质量持续稳定。</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color w:val="000000"/>
          <w:sz w:val="32"/>
          <w:szCs w:val="32"/>
          <w:highlight w:val="none"/>
        </w:rPr>
        <w:t>2.管理效率情况分析</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仿宋_GB2312" w:hAnsi="Calibri" w:eastAsia="仿宋_GB2312" w:cs="Times New Roman"/>
          <w:color w:val="333333"/>
          <w:kern w:val="2"/>
          <w:sz w:val="32"/>
          <w:szCs w:val="32"/>
          <w:lang w:val="en-US" w:eastAsia="zh-CN" w:bidi="ar"/>
        </w:rPr>
      </w:pPr>
      <w:r>
        <w:rPr>
          <w:rFonts w:hint="default" w:ascii="仿宋_GB2312" w:hAnsi="Calibri" w:eastAsia="仿宋_GB2312" w:cs="Times New Roman"/>
          <w:color w:val="333333"/>
          <w:kern w:val="2"/>
          <w:sz w:val="32"/>
          <w:szCs w:val="32"/>
          <w:lang w:val="en-US" w:eastAsia="zh-CN" w:bidi="ar"/>
        </w:rPr>
        <w:t xml:space="preserve">预算编制完整，专项资金细化率、预算执行率达到标准，预算调整率偏高，主要原因是追加项目增加导致预算调整金额增加。收入支出管理规范，内控制度有效，资产管理规范，部门固定资产利用率符合目标，信息化建设和管理制度建设有效。 </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color w:val="000000"/>
          <w:sz w:val="32"/>
          <w:szCs w:val="32"/>
          <w:highlight w:val="none"/>
        </w:rPr>
        <w:t xml:space="preserve">3.运行成本控制情况分析 </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仿宋_GB2312" w:hAnsi="Calibri" w:eastAsia="仿宋_GB2312" w:cs="Times New Roman"/>
          <w:color w:val="333333"/>
          <w:kern w:val="2"/>
          <w:sz w:val="32"/>
          <w:szCs w:val="32"/>
          <w:lang w:val="en-US" w:eastAsia="zh-CN" w:bidi="ar"/>
        </w:rPr>
      </w:pPr>
      <w:r>
        <w:rPr>
          <w:rFonts w:hint="default" w:ascii="仿宋_GB2312" w:hAnsi="Calibri" w:eastAsia="仿宋_GB2312" w:cs="Times New Roman"/>
          <w:color w:val="333333"/>
          <w:kern w:val="2"/>
          <w:sz w:val="32"/>
          <w:szCs w:val="32"/>
          <w:lang w:val="en-US" w:eastAsia="zh-CN" w:bidi="ar"/>
        </w:rPr>
        <w:t>“三公经费”、公用经费均控制在预算范围内，项目支出有所超出预算，原因在于本年度市财政局拨付的专项资金。</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color w:val="000000"/>
          <w:sz w:val="32"/>
          <w:szCs w:val="32"/>
          <w:highlight w:val="none"/>
        </w:rPr>
        <w:t>4.服务满意度指标完成情况分析</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Calibri" w:eastAsia="仿宋_GB2312" w:cs="Times New Roman"/>
          <w:color w:val="333333"/>
          <w:kern w:val="2"/>
          <w:sz w:val="32"/>
          <w:szCs w:val="32"/>
          <w:lang w:val="en-US" w:eastAsia="zh-CN" w:bidi="ar"/>
        </w:rPr>
      </w:pPr>
      <w:r>
        <w:rPr>
          <w:rFonts w:hint="default" w:ascii="仿宋_GB2312" w:hAnsi="Calibri" w:eastAsia="仿宋_GB2312" w:cs="Times New Roman"/>
          <w:color w:val="333333"/>
          <w:kern w:val="2"/>
          <w:sz w:val="32"/>
          <w:szCs w:val="32"/>
          <w:lang w:val="en-US" w:eastAsia="zh-CN" w:bidi="ar"/>
        </w:rPr>
        <w:t>岳阳市生态环境局汨罗分局积极开展生产环境保护宣传，广泛发动人民群众，强化信访渠道畅通，及时回应群众关切，受到了普遍好评。全市全民参与生态环境保护的良好氛围逐步形成。</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color w:val="000000"/>
          <w:sz w:val="32"/>
          <w:szCs w:val="32"/>
          <w:highlight w:val="none"/>
        </w:rPr>
        <w:t>5.可持续性影响情况分析</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Calibri" w:eastAsia="仿宋_GB2312" w:cs="Times New Roman"/>
          <w:color w:val="333333"/>
          <w:kern w:val="2"/>
          <w:sz w:val="32"/>
          <w:szCs w:val="32"/>
          <w:lang w:val="en-US" w:eastAsia="zh-CN" w:bidi="ar"/>
        </w:rPr>
      </w:pPr>
      <w:r>
        <w:rPr>
          <w:rFonts w:hint="default" w:ascii="仿宋_GB2312" w:hAnsi="Calibri" w:eastAsia="仿宋_GB2312" w:cs="Times New Roman"/>
          <w:color w:val="333333"/>
          <w:kern w:val="2"/>
          <w:sz w:val="32"/>
          <w:szCs w:val="32"/>
          <w:lang w:val="en-US" w:eastAsia="zh-CN" w:bidi="ar"/>
        </w:rPr>
        <w:t>岳阳市生态环境局汨罗分局始终坚持以习近平生态文明思想为指引，坚决扛起生态文明建设和生态环境保护政治责任，强化“守护好一江碧水”政治担当</w:t>
      </w:r>
      <w:r>
        <w:rPr>
          <w:rFonts w:hint="eastAsia" w:ascii="仿宋_GB2312" w:hAnsi="Calibri" w:eastAsia="仿宋_GB2312" w:cs="Times New Roman"/>
          <w:color w:val="333333"/>
          <w:kern w:val="2"/>
          <w:sz w:val="32"/>
          <w:szCs w:val="32"/>
          <w:lang w:val="en-US" w:eastAsia="zh-CN" w:bidi="ar"/>
        </w:rPr>
        <w:t>。严格落实“双随机、一公开”制度，加强企业污染防治设施、自动在线监控设施执法监管。开展环保“体检”，引导企业更新环保设施，督促企业稳步推进环保升级。深化放管服改革，实行执法正面清单管理，当好罗城“店小二”，大力优化营商环境，推进经济高质量发展。</w:t>
      </w:r>
    </w:p>
    <w:p>
      <w:pPr>
        <w:pStyle w:val="7"/>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七、存在的问题及原因分析</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Calibri" w:eastAsia="仿宋_GB2312" w:cs="Times New Roman"/>
          <w:color w:val="333333"/>
          <w:kern w:val="2"/>
          <w:sz w:val="32"/>
          <w:szCs w:val="32"/>
          <w:lang w:val="en-US" w:eastAsia="zh-CN" w:bidi="ar"/>
        </w:rPr>
      </w:pPr>
      <w:r>
        <w:rPr>
          <w:rFonts w:hint="eastAsia" w:ascii="仿宋_GB2312" w:hAnsi="Calibri" w:eastAsia="仿宋_GB2312" w:cs="Times New Roman"/>
          <w:color w:val="333333"/>
          <w:kern w:val="2"/>
          <w:sz w:val="32"/>
          <w:szCs w:val="32"/>
          <w:lang w:val="en-US" w:eastAsia="zh-CN" w:bidi="ar"/>
        </w:rPr>
        <w:t>1、根据我分局工作职能的履行情况，节能减排、环境保护监控、监测和监察能力建设等专项资金的使用与我单位财政拨入行政运行经费等资金集合使用，未严格区分资金使用范围。</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Calibri" w:eastAsia="仿宋_GB2312" w:cs="Times New Roman"/>
          <w:color w:val="333333"/>
          <w:kern w:val="2"/>
          <w:sz w:val="32"/>
          <w:szCs w:val="32"/>
          <w:lang w:val="en-US" w:eastAsia="zh-CN" w:bidi="ar"/>
        </w:rPr>
      </w:pPr>
      <w:r>
        <w:rPr>
          <w:rFonts w:hint="eastAsia" w:ascii="仿宋_GB2312" w:hAnsi="Calibri" w:eastAsia="仿宋_GB2312" w:cs="Times New Roman"/>
          <w:color w:val="333333"/>
          <w:kern w:val="2"/>
          <w:sz w:val="32"/>
          <w:szCs w:val="32"/>
          <w:lang w:val="en-US" w:eastAsia="zh-CN" w:bidi="ar"/>
        </w:rPr>
        <w:t>2、资金预算上基本实行的是“人员经费按标准、公用经费按定额、专项经费按实际”的分配模式，但在执行过程中，部分实际支出超出预算标准。</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Calibri" w:eastAsia="仿宋_GB2312" w:cs="Times New Roman"/>
          <w:color w:val="333333"/>
          <w:kern w:val="2"/>
          <w:sz w:val="32"/>
          <w:szCs w:val="32"/>
          <w:lang w:val="en-US" w:eastAsia="zh-CN" w:bidi="ar"/>
        </w:rPr>
      </w:pPr>
      <w:r>
        <w:rPr>
          <w:rFonts w:hint="eastAsia" w:ascii="仿宋_GB2312" w:hAnsi="Calibri" w:eastAsia="仿宋_GB2312" w:cs="Times New Roman"/>
          <w:color w:val="333333"/>
          <w:kern w:val="2"/>
          <w:sz w:val="32"/>
          <w:szCs w:val="32"/>
          <w:lang w:val="en-US" w:eastAsia="zh-CN" w:bidi="ar"/>
        </w:rPr>
        <w:t>3、预算执行进度有待进一步提高。针对这些不足，我局将积极采取改进措施，持续改进，不断规范和强化管理。</w:t>
      </w:r>
    </w:p>
    <w:p>
      <w:pPr>
        <w:keepNext w:val="0"/>
        <w:keepLines w:val="0"/>
        <w:pageBreakBefore w:val="0"/>
        <w:widowControl/>
        <w:numPr>
          <w:ilvl w:val="0"/>
          <w:numId w:val="6"/>
        </w:numPr>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下一步改进措施</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Calibri" w:eastAsia="仿宋_GB2312" w:cs="Times New Roman"/>
          <w:color w:val="333333"/>
          <w:kern w:val="2"/>
          <w:sz w:val="32"/>
          <w:szCs w:val="32"/>
          <w:lang w:val="en-US" w:eastAsia="zh-CN" w:bidi="ar"/>
        </w:rPr>
      </w:pPr>
      <w:r>
        <w:rPr>
          <w:rFonts w:hint="eastAsia" w:ascii="仿宋_GB2312" w:hAnsi="Calibri" w:eastAsia="仿宋_GB2312" w:cs="Times New Roman"/>
          <w:color w:val="333333"/>
          <w:kern w:val="2"/>
          <w:sz w:val="32"/>
          <w:szCs w:val="32"/>
          <w:lang w:val="en-US" w:eastAsia="zh-CN" w:bidi="ar"/>
        </w:rPr>
        <w:t>1、细化预算编制工作，认真做好预算的编制。</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Calibri" w:eastAsia="仿宋_GB2312" w:cs="Times New Roman"/>
          <w:color w:val="333333"/>
          <w:kern w:val="2"/>
          <w:sz w:val="32"/>
          <w:szCs w:val="32"/>
          <w:lang w:val="en-US" w:eastAsia="zh-CN" w:bidi="ar"/>
        </w:rPr>
      </w:pPr>
      <w:r>
        <w:rPr>
          <w:rFonts w:hint="eastAsia" w:ascii="仿宋_GB2312" w:hAnsi="Calibri" w:eastAsia="仿宋_GB2312" w:cs="Times New Roman"/>
          <w:color w:val="333333"/>
          <w:kern w:val="2"/>
          <w:sz w:val="32"/>
          <w:szCs w:val="32"/>
          <w:lang w:val="en-US" w:eastAsia="zh-CN" w:bidi="ar"/>
        </w:rPr>
        <w:t>进一步加强局内部机构各科室的预算管理意识，严格按照预算编制的相关制度和要求，公用经费根据单位的年度工作重点和项目专项工作规划，本着“勤俭节约、保障运转”的原则进行预算的编制；编制范围尽可能地全面，不漏项；在预算编制时首先需满足固定性的、相对刚性的费用支出项目，尽量压缩变动性的、有控制空间的费用项目；杜绝预算编制粗放、拍脑袋现象的发生，进一步提高预算编制的科学性、合理性、严谨性和可控性。</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Calibri" w:eastAsia="仿宋_GB2312" w:cs="Times New Roman"/>
          <w:color w:val="333333"/>
          <w:kern w:val="2"/>
          <w:sz w:val="32"/>
          <w:szCs w:val="32"/>
          <w:lang w:val="en-US" w:eastAsia="zh-CN" w:bidi="ar"/>
        </w:rPr>
      </w:pPr>
      <w:r>
        <w:rPr>
          <w:rFonts w:hint="eastAsia" w:ascii="仿宋_GB2312" w:hAnsi="Calibri" w:eastAsia="仿宋_GB2312" w:cs="Times New Roman"/>
          <w:color w:val="333333"/>
          <w:kern w:val="2"/>
          <w:sz w:val="32"/>
          <w:szCs w:val="32"/>
          <w:lang w:val="en-US" w:eastAsia="zh-CN" w:bidi="ar"/>
        </w:rPr>
        <w:t>2、加强财务管理，严格财务审批。在费用报账支付时，按照预算规定的费用项目和用途进行资金使用、审核，列报支付，财务核算杜绝超支现象的发生。</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Calibri" w:eastAsia="仿宋_GB2312" w:cs="Times New Roman"/>
          <w:color w:val="333333"/>
          <w:kern w:val="2"/>
          <w:sz w:val="32"/>
          <w:szCs w:val="32"/>
          <w:lang w:val="en-US" w:eastAsia="zh-CN" w:bidi="ar"/>
        </w:rPr>
      </w:pPr>
      <w:r>
        <w:rPr>
          <w:rFonts w:hint="eastAsia" w:ascii="仿宋_GB2312" w:hAnsi="Calibri" w:eastAsia="仿宋_GB2312" w:cs="Times New Roman"/>
          <w:color w:val="333333"/>
          <w:kern w:val="2"/>
          <w:sz w:val="32"/>
          <w:szCs w:val="32"/>
          <w:lang w:val="en-US" w:eastAsia="zh-CN" w:bidi="ar"/>
        </w:rPr>
        <w:t>3、不可预计的专项资金需求未能安排预算。在上年编制预算之前不能充分预计，因而没有列入预算，当环保专项工作开展需使用资金时，因没有纳入预算难以获得专项拨款，致使项目实施受阻。</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Calibri" w:eastAsia="仿宋_GB2312" w:cs="Times New Roman"/>
          <w:color w:val="333333"/>
          <w:kern w:val="2"/>
          <w:sz w:val="32"/>
          <w:szCs w:val="32"/>
          <w:lang w:val="en-US" w:eastAsia="zh-CN" w:bidi="ar"/>
        </w:rPr>
      </w:pPr>
      <w:r>
        <w:rPr>
          <w:rFonts w:hint="eastAsia" w:ascii="仿宋_GB2312" w:hAnsi="Calibri" w:eastAsia="仿宋_GB2312" w:cs="Times New Roman"/>
          <w:color w:val="333333"/>
          <w:kern w:val="2"/>
          <w:sz w:val="32"/>
          <w:szCs w:val="32"/>
          <w:lang w:val="en-US" w:eastAsia="zh-CN" w:bidi="ar"/>
        </w:rPr>
        <w:t>4、加强培训。建议多开展部门整体绩效评价工作的业务工作培训，组织开展部门之间、单位之间的经验交流，特别是要组织非财务部门的人员参与评价工作，切实推进绩效评价工作的开展。</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仿宋_GB2312" w:hAnsi="Calibri" w:eastAsia="仿宋_GB2312" w:cs="Times New Roman"/>
          <w:color w:val="333333"/>
          <w:kern w:val="2"/>
          <w:sz w:val="32"/>
          <w:szCs w:val="32"/>
          <w:lang w:val="en-US" w:eastAsia="zh-CN" w:bidi="ar"/>
        </w:rPr>
      </w:pPr>
      <w:r>
        <w:rPr>
          <w:rFonts w:hint="eastAsia" w:ascii="仿宋_GB2312" w:hAnsi="Calibri" w:eastAsia="仿宋_GB2312" w:cs="Times New Roman"/>
          <w:color w:val="333333"/>
          <w:kern w:val="2"/>
          <w:sz w:val="32"/>
          <w:szCs w:val="32"/>
          <w:lang w:val="en-US" w:eastAsia="zh-CN" w:bidi="ar"/>
        </w:rPr>
        <w:t>5、建议市财政进一步加大环境保护资金力度，保障水、气、土攻坚“三大战役”持续推进，促进本辖区环境总体质量稳步提升。</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九、部门整体支出绩效自评结果拟应用和公开情况</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仿宋_GB2312" w:hAnsi="Calibri" w:eastAsia="仿宋_GB2312" w:cs="Times New Roman"/>
          <w:color w:val="333333"/>
          <w:kern w:val="2"/>
          <w:sz w:val="32"/>
          <w:szCs w:val="32"/>
          <w:lang w:val="en-US" w:eastAsia="zh-CN" w:bidi="ar"/>
        </w:rPr>
      </w:pPr>
      <w:r>
        <w:rPr>
          <w:rFonts w:hint="eastAsia" w:ascii="仿宋_GB2312" w:hAnsi="Calibri" w:eastAsia="仿宋_GB2312" w:cs="Times New Roman"/>
          <w:color w:val="333333"/>
          <w:kern w:val="2"/>
          <w:sz w:val="32"/>
          <w:szCs w:val="32"/>
          <w:lang w:val="en-US" w:eastAsia="zh-CN" w:bidi="ar"/>
        </w:rPr>
        <w:t>本单位高度重视预算支出绩效自评工作，积极落实主体责任，成立预算绩效管理领导小组，加强组织领导，按照绩效管理工作方案和绩效评价相关制度规定，认真开展自评，确保绩效自评工作顺利实施，并按照要求进行信息公开，对存在的问题积极整改。</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eastAsia" w:ascii="Times New Roman" w:hAnsi="Times New Roman" w:eastAsia="黑体" w:cs="Times New Roman"/>
          <w:sz w:val="32"/>
          <w:szCs w:val="32"/>
          <w:highlight w:val="none"/>
          <w:lang w:eastAsia="zh-CN"/>
        </w:rPr>
        <w:t>十、</w:t>
      </w:r>
      <w:r>
        <w:rPr>
          <w:rFonts w:hint="default" w:ascii="Times New Roman" w:hAnsi="Times New Roman" w:eastAsia="黑体" w:cs="Times New Roman"/>
          <w:sz w:val="32"/>
          <w:szCs w:val="32"/>
          <w:highlight w:val="none"/>
        </w:rPr>
        <w:t>其他需要说明的情况</w:t>
      </w:r>
    </w:p>
    <w:p>
      <w:pPr>
        <w:spacing w:line="560" w:lineRule="exact"/>
        <w:ind w:firstLine="640" w:firstLineChars="200"/>
        <w:jc w:val="left"/>
        <w:rPr>
          <w:rFonts w:hint="eastAsia" w:ascii="仿宋_GB2312" w:hAnsi="仿宋_GB2312" w:eastAsia="仿宋_GB2312" w:cs="仿宋_GB2312"/>
          <w:color w:val="000000"/>
          <w:kern w:val="0"/>
          <w:sz w:val="32"/>
          <w:szCs w:val="32"/>
          <w:lang w:eastAsia="zh-CN"/>
        </w:rPr>
      </w:pPr>
      <w:r>
        <w:rPr>
          <w:rFonts w:hint="eastAsia" w:ascii="仿宋_GB2312" w:hAnsi="仿宋_GB2312" w:eastAsia="仿宋_GB2312" w:cs="仿宋_GB2312"/>
          <w:color w:val="000000"/>
          <w:kern w:val="0"/>
          <w:sz w:val="32"/>
          <w:szCs w:val="32"/>
          <w:lang w:eastAsia="zh-CN"/>
        </w:rPr>
        <w:t>无。</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sz w:val="32"/>
          <w:szCs w:val="32"/>
          <w:highlight w:val="none"/>
        </w:rPr>
      </w:pP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报告需要以下附件：</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部门整体支出绩效评价基础数据表</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部门整体支出绩效自评表</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项目支出绩效自评表（一个一级项目支出一张表）</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4</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政府性基金预算支出情况表</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5</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国有资本经营预算支出情况表</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6</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社会保险基金预算支出情况表</w:t>
      </w:r>
    </w:p>
    <w:p>
      <w:pPr>
        <w:keepNext w:val="0"/>
        <w:keepLines w:val="0"/>
        <w:pageBreakBefore w:val="0"/>
        <w:widowControl w:val="0"/>
        <w:kinsoku/>
        <w:wordWrap/>
        <w:overflowPunct/>
        <w:topLinePunct w:val="0"/>
        <w:autoSpaceDE/>
        <w:autoSpaceDN/>
        <w:bidi w:val="0"/>
        <w:adjustRightInd/>
        <w:snapToGrid/>
        <w:spacing w:afterLines="0" w:line="360" w:lineRule="auto"/>
        <w:ind w:right="0" w:rightChars="0"/>
        <w:jc w:val="both"/>
        <w:textAlignment w:val="auto"/>
        <w:rPr>
          <w:rFonts w:hint="eastAsia" w:ascii="仿宋_GB2312" w:hAnsi="仿宋_GB2312" w:eastAsia="仿宋_GB2312" w:cs="仿宋_GB2312"/>
          <w:sz w:val="32"/>
          <w:szCs w:val="32"/>
          <w:highlight w:val="none"/>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_GBK">
    <w:altName w:val="微软雅黑"/>
    <w:panose1 w:val="02000000000000000000"/>
    <w:charset w:val="86"/>
    <w:family w:val="script"/>
    <w:pitch w:val="default"/>
    <w:sig w:usb0="00000000" w:usb1="00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F85781"/>
    <w:multiLevelType w:val="multilevel"/>
    <w:tmpl w:val="8EF85781"/>
    <w:lvl w:ilvl="0" w:tentative="0">
      <w:start w:val="1"/>
      <w:numFmt w:val="chineseCounting"/>
      <w:suff w:val="nothing"/>
      <w:lvlText w:val="%1、"/>
      <w:lvlJc w:val="left"/>
      <w:rPr>
        <w:rFonts w:hint="eastAsia"/>
      </w:rPr>
    </w:lvl>
    <w:lvl w:ilvl="1" w:tentative="0">
      <w:start w:val="1"/>
      <w:numFmt w:val="decimal"/>
      <w:suff w:val="nothing"/>
      <w:lvlText w:val="%2．"/>
      <w:lvlJc w:val="left"/>
      <w:rPr>
        <w:rFonts w:hint="eastAsia"/>
      </w:rPr>
    </w:lvl>
    <w:lvl w:ilvl="2" w:tentative="0">
      <w:start w:val="1"/>
      <w:numFmt w:val="decimal"/>
      <w:suff w:val="nothing"/>
      <w:lvlText w:val="（%3）"/>
      <w:lvlJc w:val="left"/>
      <w:pPr>
        <w:ind w:left="630"/>
      </w:pPr>
      <w:rPr>
        <w:rFonts w:hint="eastAsia"/>
      </w:rPr>
    </w:lvl>
    <w:lvl w:ilvl="3" w:tentative="0">
      <w:start w:val="1"/>
      <w:numFmt w:val="decimalEnclosedCircleChinese"/>
      <w:suff w:val="nothing"/>
      <w:lvlText w:val="%4"/>
      <w:lvlJc w:val="left"/>
      <w:rPr>
        <w:rFonts w:hint="eastAsia"/>
      </w:rPr>
    </w:lvl>
    <w:lvl w:ilvl="4" w:tentative="0">
      <w:start w:val="1"/>
      <w:numFmt w:val="decimal"/>
      <w:suff w:val="nothing"/>
      <w:lvlText w:val="%5）"/>
      <w:lvlJc w:val="left"/>
      <w:rPr>
        <w:rFonts w:hint="eastAsia"/>
      </w:rPr>
    </w:lvl>
    <w:lvl w:ilvl="5" w:tentative="0">
      <w:start w:val="1"/>
      <w:numFmt w:val="lowerLetter"/>
      <w:suff w:val="nothing"/>
      <w:lvlText w:val="%6．"/>
      <w:lvlJc w:val="left"/>
      <w:rPr>
        <w:rFonts w:hint="eastAsia"/>
      </w:rPr>
    </w:lvl>
    <w:lvl w:ilvl="6" w:tentative="0">
      <w:start w:val="1"/>
      <w:numFmt w:val="lowerLetter"/>
      <w:suff w:val="nothing"/>
      <w:lvlText w:val="%7）"/>
      <w:lvlJc w:val="left"/>
      <w:rPr>
        <w:rFonts w:hint="eastAsia"/>
      </w:rPr>
    </w:lvl>
    <w:lvl w:ilvl="7" w:tentative="0">
      <w:start w:val="1"/>
      <w:numFmt w:val="lowerRoman"/>
      <w:suff w:val="nothing"/>
      <w:lvlText w:val="%8．"/>
      <w:lvlJc w:val="left"/>
      <w:rPr>
        <w:rFonts w:hint="eastAsia"/>
      </w:rPr>
    </w:lvl>
    <w:lvl w:ilvl="8" w:tentative="0">
      <w:start w:val="1"/>
      <w:numFmt w:val="lowerRoman"/>
      <w:suff w:val="nothing"/>
      <w:lvlText w:val="%9）"/>
      <w:lvlJc w:val="left"/>
      <w:rPr>
        <w:rFonts w:hint="eastAsia"/>
      </w:rPr>
    </w:lvl>
  </w:abstractNum>
  <w:abstractNum w:abstractNumId="1">
    <w:nsid w:val="9FE177D9"/>
    <w:multiLevelType w:val="singleLevel"/>
    <w:tmpl w:val="9FE177D9"/>
    <w:lvl w:ilvl="0" w:tentative="0">
      <w:start w:val="3"/>
      <w:numFmt w:val="decimal"/>
      <w:lvlText w:val="%1."/>
      <w:lvlJc w:val="left"/>
      <w:pPr>
        <w:tabs>
          <w:tab w:val="left" w:pos="312"/>
        </w:tabs>
      </w:pPr>
    </w:lvl>
  </w:abstractNum>
  <w:abstractNum w:abstractNumId="2">
    <w:nsid w:val="D6D45CF6"/>
    <w:multiLevelType w:val="singleLevel"/>
    <w:tmpl w:val="D6D45CF6"/>
    <w:lvl w:ilvl="0" w:tentative="0">
      <w:start w:val="2"/>
      <w:numFmt w:val="chineseCounting"/>
      <w:suff w:val="nothing"/>
      <w:lvlText w:val="（%1）"/>
      <w:lvlJc w:val="left"/>
      <w:rPr>
        <w:rFonts w:hint="eastAsia"/>
      </w:rPr>
    </w:lvl>
  </w:abstractNum>
  <w:abstractNum w:abstractNumId="3">
    <w:nsid w:val="F5FC8E62"/>
    <w:multiLevelType w:val="singleLevel"/>
    <w:tmpl w:val="F5FC8E62"/>
    <w:lvl w:ilvl="0" w:tentative="0">
      <w:start w:val="8"/>
      <w:numFmt w:val="chineseCounting"/>
      <w:suff w:val="nothing"/>
      <w:lvlText w:val="%1、"/>
      <w:lvlJc w:val="left"/>
      <w:rPr>
        <w:rFonts w:hint="eastAsia"/>
      </w:rPr>
    </w:lvl>
  </w:abstractNum>
  <w:abstractNum w:abstractNumId="4">
    <w:nsid w:val="19FAE68A"/>
    <w:multiLevelType w:val="singleLevel"/>
    <w:tmpl w:val="19FAE68A"/>
    <w:lvl w:ilvl="0" w:tentative="0">
      <w:start w:val="1"/>
      <w:numFmt w:val="chineseCounting"/>
      <w:suff w:val="nothing"/>
      <w:lvlText w:val="%1、"/>
      <w:lvlJc w:val="left"/>
      <w:rPr>
        <w:rFonts w:hint="eastAsia"/>
      </w:rPr>
    </w:lvl>
  </w:abstractNum>
  <w:abstractNum w:abstractNumId="5">
    <w:nsid w:val="3C3A382A"/>
    <w:multiLevelType w:val="singleLevel"/>
    <w:tmpl w:val="3C3A382A"/>
    <w:lvl w:ilvl="0" w:tentative="0">
      <w:start w:val="1"/>
      <w:numFmt w:val="decimal"/>
      <w:suff w:val="nothing"/>
      <w:lvlText w:val="%1、"/>
      <w:lvlJc w:val="left"/>
    </w:lvl>
  </w:abstractNum>
  <w:num w:numId="1">
    <w:abstractNumId w:val="5"/>
  </w:num>
  <w:num w:numId="2">
    <w:abstractNumId w:val="4"/>
  </w:num>
  <w:num w:numId="3">
    <w:abstractNumId w:val="0"/>
  </w:num>
  <w:num w:numId="4">
    <w:abstractNumId w:val="1"/>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VhM2RiODNhYzYwODk5ZTg2MTVmODIyMGIzNjA1OGYifQ=="/>
  </w:docVars>
  <w:rsids>
    <w:rsidRoot w:val="59886344"/>
    <w:rsid w:val="02CE3403"/>
    <w:rsid w:val="070B4DB8"/>
    <w:rsid w:val="08144141"/>
    <w:rsid w:val="0B3056C1"/>
    <w:rsid w:val="0B9E444D"/>
    <w:rsid w:val="0C3B6140"/>
    <w:rsid w:val="0CEE78D1"/>
    <w:rsid w:val="0E9F1CD8"/>
    <w:rsid w:val="11632CAB"/>
    <w:rsid w:val="11BA3ADF"/>
    <w:rsid w:val="12755C92"/>
    <w:rsid w:val="12E806A4"/>
    <w:rsid w:val="14603804"/>
    <w:rsid w:val="14D573BF"/>
    <w:rsid w:val="151C63E2"/>
    <w:rsid w:val="173503D8"/>
    <w:rsid w:val="1880313C"/>
    <w:rsid w:val="19565048"/>
    <w:rsid w:val="19EF2318"/>
    <w:rsid w:val="19F3005A"/>
    <w:rsid w:val="1A296E10"/>
    <w:rsid w:val="1B8B6C1C"/>
    <w:rsid w:val="1CC47DA2"/>
    <w:rsid w:val="1D1F1D81"/>
    <w:rsid w:val="1DB775F0"/>
    <w:rsid w:val="20FF5536"/>
    <w:rsid w:val="21E85FCA"/>
    <w:rsid w:val="21FC7CC7"/>
    <w:rsid w:val="22D34474"/>
    <w:rsid w:val="24EF3B8A"/>
    <w:rsid w:val="25AE2C37"/>
    <w:rsid w:val="26323CB8"/>
    <w:rsid w:val="28003E99"/>
    <w:rsid w:val="28445183"/>
    <w:rsid w:val="2944518B"/>
    <w:rsid w:val="2A4D23FE"/>
    <w:rsid w:val="2CA8745B"/>
    <w:rsid w:val="2D3A16A4"/>
    <w:rsid w:val="2D7B6D36"/>
    <w:rsid w:val="2EED4C20"/>
    <w:rsid w:val="30BE7E57"/>
    <w:rsid w:val="3227651B"/>
    <w:rsid w:val="324A0061"/>
    <w:rsid w:val="334D2131"/>
    <w:rsid w:val="37F232A7"/>
    <w:rsid w:val="38087C6F"/>
    <w:rsid w:val="395B4E7C"/>
    <w:rsid w:val="3A9D4B64"/>
    <w:rsid w:val="3D6E1622"/>
    <w:rsid w:val="40FD06D5"/>
    <w:rsid w:val="423B2F26"/>
    <w:rsid w:val="428840CE"/>
    <w:rsid w:val="453E5D7D"/>
    <w:rsid w:val="46182FF9"/>
    <w:rsid w:val="46BC0A08"/>
    <w:rsid w:val="483D4D9E"/>
    <w:rsid w:val="48E02F6F"/>
    <w:rsid w:val="4A446121"/>
    <w:rsid w:val="4A9D3546"/>
    <w:rsid w:val="4C5D2DE6"/>
    <w:rsid w:val="4CE216E4"/>
    <w:rsid w:val="4DAE15C6"/>
    <w:rsid w:val="4FCC37AE"/>
    <w:rsid w:val="506F328F"/>
    <w:rsid w:val="50B924A0"/>
    <w:rsid w:val="513779B8"/>
    <w:rsid w:val="52746DE2"/>
    <w:rsid w:val="553B4087"/>
    <w:rsid w:val="5540169E"/>
    <w:rsid w:val="57544F8D"/>
    <w:rsid w:val="5902026F"/>
    <w:rsid w:val="59886344"/>
    <w:rsid w:val="59F91D02"/>
    <w:rsid w:val="5A047DDA"/>
    <w:rsid w:val="5AA601F5"/>
    <w:rsid w:val="5B0F13AB"/>
    <w:rsid w:val="5FB41813"/>
    <w:rsid w:val="6017124D"/>
    <w:rsid w:val="616B40D0"/>
    <w:rsid w:val="6243457B"/>
    <w:rsid w:val="62BE2ED2"/>
    <w:rsid w:val="644B0728"/>
    <w:rsid w:val="65197815"/>
    <w:rsid w:val="690439DC"/>
    <w:rsid w:val="691F4FA3"/>
    <w:rsid w:val="6AC27EAE"/>
    <w:rsid w:val="6B680BAF"/>
    <w:rsid w:val="6BCC55E2"/>
    <w:rsid w:val="6CED5D03"/>
    <w:rsid w:val="705E72EC"/>
    <w:rsid w:val="724C7C4B"/>
    <w:rsid w:val="7349576A"/>
    <w:rsid w:val="75CD79D6"/>
    <w:rsid w:val="770301B6"/>
    <w:rsid w:val="775B741B"/>
    <w:rsid w:val="77EB104B"/>
    <w:rsid w:val="79ED66A9"/>
    <w:rsid w:val="7ABE58A9"/>
    <w:rsid w:val="7C127041"/>
    <w:rsid w:val="7E123328"/>
    <w:rsid w:val="7E161C15"/>
    <w:rsid w:val="7F2C0419"/>
    <w:rsid w:val="DFEF88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仿宋" w:hAnsi="仿宋" w:eastAsia="宋体" w:cs="Times New Roman"/>
      <w:kern w:val="0"/>
      <w:sz w:val="28"/>
      <w:szCs w:val="24"/>
      <w:lang w:val="en-US" w:eastAsia="zh-CN" w:bidi="ar-SA"/>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Body Text"/>
    <w:basedOn w:val="1"/>
    <w:autoRedefine/>
    <w:semiHidden/>
    <w:qFormat/>
    <w:uiPriority w:val="0"/>
    <w:rPr>
      <w:rFonts w:ascii="仿宋" w:hAnsi="仿宋" w:eastAsia="仿宋" w:cs="仿宋"/>
      <w:sz w:val="31"/>
      <w:szCs w:val="31"/>
      <w:lang w:val="en-US" w:eastAsia="en-US" w:bidi="ar-SA"/>
    </w:rPr>
  </w:style>
  <w:style w:type="paragraph" w:styleId="3">
    <w:name w:val="toc 5"/>
    <w:basedOn w:val="1"/>
    <w:next w:val="1"/>
    <w:qFormat/>
    <w:uiPriority w:val="0"/>
    <w:pPr>
      <w:widowControl w:val="0"/>
      <w:ind w:left="1680" w:leftChars="800"/>
      <w:jc w:val="both"/>
    </w:pPr>
    <w:rPr>
      <w:rFonts w:hint="eastAsia" w:ascii="Times New Roman" w:hAnsi="Times New Roman" w:eastAsia="宋体" w:cs="Times New Roman"/>
      <w:kern w:val="0"/>
      <w:sz w:val="21"/>
      <w:szCs w:val="24"/>
      <w:lang w:val="en-US" w:eastAsia="zh-CN" w:bidi="ar-SA"/>
    </w:rPr>
  </w:style>
  <w:style w:type="paragraph" w:customStyle="1" w:styleId="6">
    <w:name w:val="列出段落1"/>
    <w:basedOn w:val="1"/>
    <w:autoRedefine/>
    <w:qFormat/>
    <w:uiPriority w:val="34"/>
    <w:pPr>
      <w:ind w:firstLine="420" w:firstLineChars="200"/>
    </w:pPr>
  </w:style>
  <w:style w:type="paragraph" w:styleId="7">
    <w:name w:val="List Paragraph"/>
    <w:basedOn w:val="1"/>
    <w:autoRedefine/>
    <w:qFormat/>
    <w:uiPriority w:val="99"/>
    <w:pPr>
      <w:ind w:firstLine="420" w:firstLineChars="200"/>
    </w:pPr>
    <w:rPr>
      <w:rFonts w:ascii="Calibri" w:hAnsi="Calibri"/>
      <w:szCs w:val="22"/>
    </w:rPr>
  </w:style>
  <w:style w:type="table" w:customStyle="1" w:styleId="8">
    <w:name w:val="Table Normal"/>
    <w:autoRedefine/>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6945</Words>
  <Characters>7666</Characters>
  <Lines>0</Lines>
  <Paragraphs>0</Paragraphs>
  <TotalTime>6</TotalTime>
  <ScaleCrop>false</ScaleCrop>
  <LinksUpToDate>false</LinksUpToDate>
  <CharactersWithSpaces>8036</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2024-03-18T08:36:00Z</dcterms:created>
  <dc:creator>Administrator</dc:creator>
  <cp:lastModifiedBy>Gat</cp:lastModifiedBy>
  <dcterms:modified xsi:type="dcterms:W3CDTF">2024-06-27T04:21:46Z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6182D3A10D564617983F46DEE354AEAF</vt:lpwstr>
  </property>
</Properties>
</file>