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5"/>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业务用房运转</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岳阳市卫健委</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岳阳市疾病预防控制中心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180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180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117.95</w:t>
            </w: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65.53%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6.55</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180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180</w:t>
            </w: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117.95</w:t>
            </w: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65.53%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6.55</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确保业务用房正常运转，重点传染病监测、</w:t>
            </w:r>
            <w:r>
              <w:rPr>
                <w:rFonts w:hint="eastAsia" w:ascii="仿宋_GB2312" w:hAnsi="仿宋_GB2312" w:eastAsia="仿宋_GB2312" w:cs="仿宋_GB2312"/>
                <w:color w:val="000000"/>
                <w:sz w:val="20"/>
                <w:szCs w:val="20"/>
                <w:highlight w:val="none"/>
              </w:rPr>
              <w:t>食品安全</w:t>
            </w:r>
            <w:r>
              <w:rPr>
                <w:rFonts w:hint="eastAsia" w:ascii="仿宋_GB2312" w:hAnsi="仿宋_GB2312" w:eastAsia="仿宋_GB2312" w:cs="仿宋_GB2312"/>
                <w:color w:val="000000"/>
                <w:sz w:val="20"/>
                <w:szCs w:val="20"/>
                <w:highlight w:val="none"/>
                <w:lang w:val="en-US" w:eastAsia="zh-CN"/>
              </w:rPr>
              <w:t>风险监测、职业卫生监测</w:t>
            </w:r>
            <w:r>
              <w:rPr>
                <w:rFonts w:hint="eastAsia" w:ascii="仿宋_GB2312" w:hAnsi="仿宋_GB2312" w:eastAsia="仿宋_GB2312" w:cs="仿宋_GB2312"/>
                <w:color w:val="000000"/>
                <w:sz w:val="20"/>
                <w:szCs w:val="20"/>
                <w:highlight w:val="none"/>
              </w:rPr>
              <w:t>等</w:t>
            </w:r>
            <w:r>
              <w:rPr>
                <w:rFonts w:hint="eastAsia" w:ascii="仿宋_GB2312" w:hAnsi="仿宋_GB2312" w:eastAsia="仿宋_GB2312" w:cs="仿宋_GB2312"/>
                <w:color w:val="000000"/>
                <w:sz w:val="20"/>
                <w:szCs w:val="20"/>
                <w:highlight w:val="none"/>
                <w:lang w:val="en-US" w:eastAsia="zh-CN"/>
              </w:rPr>
              <w:t>依托实验室</w:t>
            </w:r>
            <w:r>
              <w:rPr>
                <w:rFonts w:hint="eastAsia" w:ascii="仿宋_GB2312" w:hAnsi="仿宋_GB2312" w:eastAsia="仿宋_GB2312" w:cs="仿宋_GB2312"/>
                <w:color w:val="000000"/>
                <w:sz w:val="20"/>
                <w:szCs w:val="20"/>
                <w:highlight w:val="none"/>
              </w:rPr>
              <w:t>按计划开展　</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ascii="仿宋_GB2312" w:hAnsi="仿宋_GB2312" w:eastAsia="仿宋_GB2312" w:cs="仿宋_GB2312"/>
                <w:color w:val="000000"/>
                <w:sz w:val="20"/>
                <w:szCs w:val="20"/>
              </w:rPr>
              <w:t>已完成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91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国家级流感监测哨点实验室检测样本</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1040份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1161份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rPr>
              <w:t>人感染禽流感的监测点</w:t>
            </w:r>
            <w:r>
              <w:rPr>
                <w:rFonts w:hint="eastAsia" w:ascii="仿宋_GB2312" w:hAnsi="仿宋_GB2312" w:eastAsia="仿宋_GB2312" w:cs="仿宋_GB2312"/>
                <w:color w:val="000000"/>
                <w:sz w:val="20"/>
                <w:szCs w:val="20"/>
                <w:highlight w:val="none"/>
                <w:lang w:val="en-US" w:eastAsia="zh-CN"/>
              </w:rPr>
              <w:t>样本</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40个</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40个</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rPr>
              <w:t>重点保卫部位巡逻率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微生物实验室国家、省级考核评价</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全年共9次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通过考核</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理化实验室国家、省级考核评价</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全年共8次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通过考核</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rPr>
              <w:t>国家流感实验室正常运转，每周监测样本按时完成上报</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highlight w:val="none"/>
                <w:lang w:val="en-US"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艾滋确证标本</w:t>
            </w:r>
            <w:r>
              <w:rPr>
                <w:rFonts w:hint="eastAsia" w:ascii="仿宋_GB2312" w:hAnsi="仿宋_GB2312" w:eastAsia="仿宋_GB2312" w:cs="仿宋_GB2312"/>
                <w:color w:val="000000"/>
                <w:sz w:val="20"/>
                <w:szCs w:val="20"/>
                <w:highlight w:val="none"/>
                <w:lang w:val="en-US" w:eastAsia="zh-CN"/>
              </w:rPr>
              <w:t>结果反馈按时数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共359份检测数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按时反馈359份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项目资金规模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180</w:t>
            </w:r>
            <w:r>
              <w:rPr>
                <w:rFonts w:hint="eastAsia" w:ascii="仿宋_GB2312" w:hAnsi="仿宋_GB2312" w:eastAsia="仿宋_GB2312" w:cs="仿宋_GB2312"/>
                <w:color w:val="000000"/>
                <w:sz w:val="20"/>
                <w:szCs w:val="20"/>
              </w:rPr>
              <w:t>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117.95</w:t>
            </w:r>
            <w:r>
              <w:rPr>
                <w:rFonts w:hint="eastAsia" w:ascii="仿宋_GB2312" w:hAnsi="仿宋_GB2312" w:eastAsia="仿宋_GB2312" w:cs="仿宋_GB2312"/>
                <w:color w:val="000000"/>
                <w:sz w:val="20"/>
                <w:szCs w:val="20"/>
              </w:rPr>
              <w:t>万元</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切实做好传染病信息报告管理工作，提高监测预警能力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微生物和理化实验室高效运转，急性传染病监测</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艾滋病确证、</w:t>
            </w:r>
            <w:r>
              <w:rPr>
                <w:rFonts w:hint="eastAsia" w:ascii="仿宋_GB2312" w:hAnsi="仿宋_GB2312" w:eastAsia="仿宋_GB2312" w:cs="仿宋_GB2312"/>
                <w:color w:val="000000"/>
                <w:sz w:val="20"/>
                <w:szCs w:val="20"/>
                <w:highlight w:val="none"/>
              </w:rPr>
              <w:t>食品安全等按计划开展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无医疗废弃物无有毒有害化学品泄漏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新风滤网滤膜系统更换，实验室生物安全得到进一步保障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受益人群满意度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≥95%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96.55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Times New Roman" w:hAnsi="Times New Roman" w:eastAsia="仿宋_GB2312" w:cs="Times New Roman"/>
          <w:sz w:val="22"/>
          <w:szCs w:val="22"/>
          <w:highlight w:val="none"/>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刘洋</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2024.6.27</w:t>
      </w:r>
      <w:bookmarkStart w:id="0" w:name="_GoBack"/>
      <w:bookmarkEnd w:id="0"/>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 xml:space="preserve">8887661 </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eastAsia" w:ascii="Times New Roman" w:hAnsi="Times New Roman" w:eastAsia="仿宋_GB2312" w:cs="Times New Roman"/>
          <w:sz w:val="22"/>
          <w:szCs w:val="22"/>
          <w:highlight w:val="none"/>
          <w:lang w:val="en-US" w:eastAsia="zh-CN"/>
        </w:rPr>
        <w:t>徐博</w:t>
      </w: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pStyle w:val="2"/>
        <w:rPr>
          <w:rFonts w:hint="default" w:ascii="Times New Roman" w:hAnsi="Times New Roman" w:eastAsia="仿宋_GB2312" w:cs="Times New Roman"/>
          <w:sz w:val="22"/>
          <w:szCs w:val="22"/>
          <w:highlight w:val="none"/>
        </w:rPr>
      </w:pPr>
    </w:p>
    <w:p>
      <w:pPr>
        <w:jc w:val="center"/>
        <w:rPr>
          <w:rFonts w:hint="eastAsia" w:ascii="黑体" w:hAnsi="黑体" w:eastAsia="黑体" w:cs="黑体"/>
          <w:b/>
          <w:bCs/>
          <w:sz w:val="44"/>
          <w:szCs w:val="44"/>
          <w:highlight w:val="none"/>
          <w:lang w:val="en-US" w:eastAsia="zh-CN"/>
        </w:rPr>
      </w:pPr>
      <w:r>
        <w:rPr>
          <w:rFonts w:hint="eastAsia" w:ascii="黑体" w:hAnsi="黑体" w:eastAsia="黑体" w:cs="黑体"/>
          <w:b/>
          <w:bCs/>
          <w:sz w:val="44"/>
          <w:szCs w:val="44"/>
          <w:highlight w:val="none"/>
        </w:rPr>
        <w:t>202</w:t>
      </w:r>
      <w:r>
        <w:rPr>
          <w:rFonts w:hint="eastAsia" w:ascii="黑体" w:hAnsi="黑体" w:eastAsia="黑体" w:cs="黑体"/>
          <w:b/>
          <w:bCs/>
          <w:sz w:val="44"/>
          <w:szCs w:val="44"/>
          <w:highlight w:val="none"/>
          <w:lang w:val="en-US" w:eastAsia="zh-CN"/>
        </w:rPr>
        <w:t>3</w:t>
      </w:r>
      <w:r>
        <w:rPr>
          <w:rFonts w:hint="eastAsia" w:ascii="黑体" w:hAnsi="黑体" w:eastAsia="黑体" w:cs="黑体"/>
          <w:b/>
          <w:bCs/>
          <w:sz w:val="44"/>
          <w:szCs w:val="44"/>
          <w:highlight w:val="none"/>
        </w:rPr>
        <w:t>年度</w:t>
      </w:r>
      <w:r>
        <w:rPr>
          <w:rFonts w:hint="eastAsia" w:ascii="黑体" w:hAnsi="黑体" w:eastAsia="黑体" w:cs="黑体"/>
          <w:b/>
          <w:bCs/>
          <w:sz w:val="44"/>
          <w:szCs w:val="44"/>
          <w:highlight w:val="none"/>
          <w:lang w:val="en-US" w:eastAsia="zh-CN"/>
        </w:rPr>
        <w:t>岳阳市疾控中心</w:t>
      </w:r>
    </w:p>
    <w:p>
      <w:pPr>
        <w:jc w:val="center"/>
        <w:rPr>
          <w:rFonts w:hint="eastAsia" w:ascii="方正小标宋简体" w:hAnsi="方正小标宋简体" w:eastAsia="方正小标宋简体" w:cs="方正小标宋简体"/>
          <w:sz w:val="44"/>
          <w:szCs w:val="44"/>
          <w:highlight w:val="none"/>
        </w:rPr>
      </w:pPr>
      <w:r>
        <w:rPr>
          <w:rFonts w:hint="eastAsia" w:ascii="黑体" w:hAnsi="黑体" w:eastAsia="黑体" w:cs="黑体"/>
          <w:b/>
          <w:bCs/>
          <w:sz w:val="44"/>
          <w:szCs w:val="44"/>
          <w:highlight w:val="none"/>
          <w:lang w:val="en-US" w:eastAsia="zh-CN"/>
        </w:rPr>
        <w:t>业务用房运转专项经费</w:t>
      </w:r>
      <w:r>
        <w:rPr>
          <w:rFonts w:hint="eastAsia" w:ascii="黑体" w:hAnsi="黑体" w:eastAsia="黑体" w:cs="黑体"/>
          <w:b/>
          <w:bCs/>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单位基本情况</w:t>
      </w:r>
    </w:p>
    <w:p>
      <w:pPr>
        <w:widowControl/>
        <w:ind w:firstLine="640" w:firstLineChars="200"/>
        <w:jc w:val="left"/>
        <w:rPr>
          <w:rFonts w:hint="default" w:ascii="Times New Roman" w:hAnsi="Times New Roman" w:eastAsia="黑体" w:cs="Times New Roman"/>
          <w:sz w:val="32"/>
          <w:szCs w:val="32"/>
          <w:highlight w:val="none"/>
        </w:rPr>
      </w:pP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08</w:t>
      </w:r>
      <w:r>
        <w:rPr>
          <w:rFonts w:hint="eastAsia" w:ascii="仿宋" w:hAnsi="仿宋" w:eastAsia="仿宋" w:cs="仿宋"/>
          <w:sz w:val="32"/>
          <w:szCs w:val="32"/>
        </w:rPr>
        <w:t>名,现有在职在编人员10</w:t>
      </w:r>
      <w:r>
        <w:rPr>
          <w:rFonts w:hint="eastAsia" w:ascii="仿宋" w:hAnsi="仿宋" w:eastAsia="仿宋" w:cs="仿宋"/>
          <w:sz w:val="32"/>
          <w:szCs w:val="32"/>
          <w:lang w:val="en-US" w:eastAsia="zh-CN"/>
        </w:rPr>
        <w:t>2</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widowControl/>
        <w:numPr>
          <w:ilvl w:val="0"/>
          <w:numId w:val="0"/>
        </w:numPr>
        <w:ind w:left="627" w:leftChars="0"/>
        <w:jc w:val="left"/>
        <w:rPr>
          <w:rFonts w:ascii="黑体" w:hAnsi="黑体" w:eastAsia="黑体" w:cs="黑体"/>
          <w:sz w:val="32"/>
          <w:szCs w:val="32"/>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kern w:val="0"/>
          <w:sz w:val="32"/>
          <w:szCs w:val="32"/>
          <w:highlight w:val="none"/>
          <w:lang w:val="en-US" w:eastAsia="zh-CN" w:bidi="ar-SA"/>
        </w:rPr>
      </w:pPr>
      <w:r>
        <w:rPr>
          <w:rFonts w:hint="default" w:ascii="仿宋" w:hAnsi="仿宋" w:eastAsia="仿宋" w:cs="仿宋"/>
          <w:sz w:val="32"/>
          <w:szCs w:val="32"/>
        </w:rPr>
        <w:t>202</w:t>
      </w:r>
      <w:r>
        <w:rPr>
          <w:rFonts w:hint="default" w:ascii="仿宋" w:hAnsi="仿宋" w:eastAsia="仿宋" w:cs="仿宋"/>
          <w:sz w:val="32"/>
          <w:szCs w:val="32"/>
          <w:lang w:val="en-US" w:eastAsia="zh-CN"/>
        </w:rPr>
        <w:t>3</w:t>
      </w:r>
      <w:r>
        <w:rPr>
          <w:rFonts w:hint="default" w:ascii="仿宋" w:hAnsi="仿宋" w:eastAsia="仿宋" w:cs="仿宋"/>
          <w:sz w:val="32"/>
          <w:szCs w:val="32"/>
        </w:rPr>
        <w:t>年，在市委市政府的正确领导下，在市卫健委和上级部门大力支持下，我们坚持以习近平新时代中国特色社会主义思想为指导，围绕省市疾病预防控制工作会议要求，以防控疾病、保障民生为己任，全力预防控制重大疾病，着力完善疾病监测工作，大力倡导健康文明的生活方式，各项工作取得了全面的发展与进步。</w:t>
      </w:r>
    </w:p>
    <w:p>
      <w:pPr>
        <w:keepNext w:val="0"/>
        <w:keepLines w:val="0"/>
        <w:pageBreakBefore w:val="0"/>
        <w:kinsoku/>
        <w:overflowPunct/>
        <w:topLinePunct w:val="0"/>
        <w:autoSpaceDN/>
        <w:bidi w:val="0"/>
        <w:spacing w:line="560" w:lineRule="exact"/>
        <w:ind w:right="0" w:rightChars="0" w:firstLine="640" w:firstLineChars="200"/>
        <w:textAlignment w:val="auto"/>
        <w:rPr>
          <w:rFonts w:hint="default" w:ascii="Times New Roman" w:hAnsi="Times New Roman" w:eastAsia="黑体" w:cs="Times New Roman"/>
          <w:b w:val="0"/>
          <w:bCs w:val="0"/>
          <w:color w:val="auto"/>
          <w:kern w:val="2"/>
          <w:sz w:val="32"/>
          <w:szCs w:val="32"/>
          <w:lang w:val="en-US" w:eastAsia="zh-CN" w:bidi="ar-SA"/>
        </w:rPr>
      </w:pPr>
      <w:r>
        <w:rPr>
          <w:rFonts w:hint="eastAsia" w:ascii="Times New Roman" w:hAnsi="Times New Roman" w:eastAsia="黑体" w:cs="Times New Roman"/>
          <w:b w:val="0"/>
          <w:bCs w:val="0"/>
          <w:color w:val="auto"/>
          <w:kern w:val="2"/>
          <w:sz w:val="32"/>
          <w:szCs w:val="32"/>
          <w:lang w:val="en-US" w:eastAsia="zh-CN" w:bidi="ar-SA"/>
        </w:rPr>
        <w:t>（一）</w:t>
      </w:r>
      <w:r>
        <w:rPr>
          <w:rFonts w:hint="default" w:ascii="Times New Roman" w:hAnsi="Times New Roman" w:eastAsia="黑体" w:cs="Times New Roman"/>
          <w:b w:val="0"/>
          <w:bCs w:val="0"/>
          <w:color w:val="auto"/>
          <w:kern w:val="2"/>
          <w:sz w:val="32"/>
          <w:szCs w:val="32"/>
          <w:lang w:val="en-US" w:eastAsia="zh-CN" w:bidi="ar-SA"/>
        </w:rPr>
        <w:t>微生物检验工作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 w:cs="Times New Roman"/>
          <w:color w:val="auto"/>
          <w:sz w:val="32"/>
          <w:szCs w:val="32"/>
        </w:rPr>
      </w:pPr>
      <w:r>
        <w:rPr>
          <w:rFonts w:hint="eastAsia" w:ascii="Times New Roman" w:hAnsi="Times New Roman" w:eastAsia="楷体" w:cs="Times New Roman"/>
          <w:b/>
          <w:bCs/>
          <w:color w:val="auto"/>
          <w:sz w:val="32"/>
          <w:szCs w:val="32"/>
          <w:lang w:val="en-US" w:eastAsia="zh-CN"/>
        </w:rPr>
        <w:t>1、</w:t>
      </w:r>
      <w:r>
        <w:rPr>
          <w:rFonts w:hint="default" w:ascii="Times New Roman" w:hAnsi="Times New Roman" w:eastAsia="楷体" w:cs="Times New Roman"/>
          <w:b/>
          <w:bCs/>
          <w:color w:val="auto"/>
          <w:sz w:val="32"/>
          <w:szCs w:val="32"/>
        </w:rPr>
        <w:t>基因扩增实验室：</w:t>
      </w:r>
      <w:r>
        <w:rPr>
          <w:rFonts w:hint="eastAsia" w:ascii="Times New Roman" w:hAnsi="Times New Roman" w:eastAsia="仿宋" w:cs="Times New Roman"/>
          <w:color w:val="auto"/>
          <w:sz w:val="32"/>
          <w:szCs w:val="32"/>
        </w:rPr>
        <w:t>完成流感核酸检测</w:t>
      </w:r>
      <w:r>
        <w:rPr>
          <w:rFonts w:hint="default" w:ascii="Times New Roman" w:hAnsi="Times New Roman" w:eastAsia="仿宋" w:cs="Times New Roman"/>
          <w:color w:val="auto"/>
          <w:sz w:val="32"/>
          <w:szCs w:val="32"/>
        </w:rPr>
        <w:t>1161</w:t>
      </w:r>
      <w:r>
        <w:rPr>
          <w:rFonts w:hint="eastAsia" w:ascii="Times New Roman" w:hAnsi="Times New Roman" w:eastAsia="仿宋" w:cs="Times New Roman"/>
          <w:color w:val="auto"/>
          <w:sz w:val="32"/>
          <w:szCs w:val="32"/>
        </w:rPr>
        <w:t>例，其中阳性</w:t>
      </w:r>
      <w:r>
        <w:rPr>
          <w:rFonts w:hint="default" w:ascii="Times New Roman" w:hAnsi="Times New Roman" w:eastAsia="仿宋" w:cs="Times New Roman"/>
          <w:color w:val="auto"/>
          <w:sz w:val="32"/>
          <w:szCs w:val="32"/>
        </w:rPr>
        <w:t>218</w:t>
      </w:r>
      <w:r>
        <w:rPr>
          <w:rFonts w:hint="eastAsia" w:ascii="Times New Roman" w:hAnsi="Times New Roman" w:eastAsia="仿宋" w:cs="Times New Roman"/>
          <w:color w:val="auto"/>
          <w:sz w:val="32"/>
          <w:szCs w:val="32"/>
        </w:rPr>
        <w:t>例。上送流感细胞毒株</w:t>
      </w:r>
      <w:r>
        <w:rPr>
          <w:rFonts w:hint="default" w:ascii="Times New Roman" w:hAnsi="Times New Roman" w:eastAsia="仿宋" w:cs="Times New Roman"/>
          <w:color w:val="auto"/>
          <w:sz w:val="32"/>
          <w:szCs w:val="32"/>
        </w:rPr>
        <w:t>61</w:t>
      </w:r>
      <w:r>
        <w:rPr>
          <w:rFonts w:hint="eastAsia" w:ascii="Times New Roman" w:hAnsi="Times New Roman" w:eastAsia="仿宋" w:cs="Times New Roman"/>
          <w:color w:val="auto"/>
          <w:sz w:val="32"/>
          <w:szCs w:val="32"/>
        </w:rPr>
        <w:t>株，鸡胚毒株</w:t>
      </w:r>
      <w:r>
        <w:rPr>
          <w:rFonts w:hint="default" w:ascii="Times New Roman" w:hAnsi="Times New Roman" w:eastAsia="仿宋" w:cs="Times New Roman"/>
          <w:color w:val="auto"/>
          <w:sz w:val="32"/>
          <w:szCs w:val="32"/>
        </w:rPr>
        <w:t>28</w:t>
      </w:r>
      <w:r>
        <w:rPr>
          <w:rFonts w:hint="eastAsia" w:ascii="Times New Roman" w:hAnsi="Times New Roman" w:eastAsia="仿宋" w:cs="Times New Roman"/>
          <w:color w:val="auto"/>
          <w:sz w:val="32"/>
          <w:szCs w:val="32"/>
        </w:rPr>
        <w:t>株。完成新冠核酸检测</w:t>
      </w:r>
      <w:r>
        <w:rPr>
          <w:rFonts w:hint="default" w:ascii="Times New Roman" w:hAnsi="Times New Roman" w:eastAsia="仿宋" w:cs="Times New Roman"/>
          <w:color w:val="auto"/>
          <w:sz w:val="32"/>
          <w:szCs w:val="32"/>
        </w:rPr>
        <w:t>1230</w:t>
      </w:r>
      <w:r>
        <w:rPr>
          <w:rFonts w:hint="eastAsia" w:ascii="Times New Roman" w:hAnsi="Times New Roman" w:eastAsia="仿宋" w:cs="Times New Roman"/>
          <w:color w:val="auto"/>
          <w:sz w:val="32"/>
          <w:szCs w:val="32"/>
        </w:rPr>
        <w:t>例，其中新冠阳性</w:t>
      </w:r>
      <w:r>
        <w:rPr>
          <w:rFonts w:hint="default" w:ascii="Times New Roman" w:hAnsi="Times New Roman" w:eastAsia="仿宋" w:cs="Times New Roman"/>
          <w:color w:val="auto"/>
          <w:sz w:val="32"/>
          <w:szCs w:val="32"/>
        </w:rPr>
        <w:t>135</w:t>
      </w:r>
      <w:r>
        <w:rPr>
          <w:rFonts w:hint="eastAsia" w:ascii="Times New Roman" w:hAnsi="Times New Roman" w:eastAsia="仿宋" w:cs="Times New Roman"/>
          <w:color w:val="auto"/>
          <w:sz w:val="32"/>
          <w:szCs w:val="32"/>
        </w:rPr>
        <w:t>例，完成新冠病毒测序</w:t>
      </w:r>
      <w:r>
        <w:rPr>
          <w:rFonts w:hint="default" w:ascii="Times New Roman" w:hAnsi="Times New Roman" w:eastAsia="仿宋" w:cs="Times New Roman"/>
          <w:color w:val="auto"/>
          <w:sz w:val="32"/>
          <w:szCs w:val="32"/>
        </w:rPr>
        <w:t>9</w:t>
      </w:r>
      <w:r>
        <w:rPr>
          <w:rFonts w:hint="eastAsia" w:ascii="Times New Roman" w:hAnsi="Times New Roman" w:eastAsia="仿宋" w:cs="Times New Roman"/>
          <w:color w:val="auto"/>
          <w:sz w:val="32"/>
          <w:szCs w:val="32"/>
        </w:rPr>
        <w:t>6例。完成手足口核酸检测</w:t>
      </w:r>
      <w:r>
        <w:rPr>
          <w:rFonts w:hint="default" w:ascii="Times New Roman" w:hAnsi="Times New Roman" w:eastAsia="仿宋" w:cs="Times New Roman"/>
          <w:color w:val="auto"/>
          <w:sz w:val="32"/>
          <w:szCs w:val="32"/>
        </w:rPr>
        <w:t>145</w:t>
      </w:r>
      <w:r>
        <w:rPr>
          <w:rFonts w:hint="eastAsia" w:ascii="Times New Roman" w:hAnsi="Times New Roman" w:eastAsia="仿宋" w:cs="Times New Roman"/>
          <w:color w:val="auto"/>
          <w:sz w:val="32"/>
          <w:szCs w:val="32"/>
        </w:rPr>
        <w:t>例，诺如爆发疫情核酸检测6起，流感爆发疫情3起，麻风疹核酸检测2例，全部为阴性。登革热核酸检测15例，其中阳性4例。猴痘病毒核酸检测39例，其中阳性1例，禽流感核酸检测30例，全部阴性。发热伴核酸检测8例，全部阴性。参加省级新冠核酸检测考核一次、流感核酸检测考核一次、麻疹风疹核酸考核一次。</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color w:val="auto"/>
          <w:sz w:val="32"/>
          <w:szCs w:val="32"/>
        </w:rPr>
      </w:pPr>
      <w:r>
        <w:rPr>
          <w:rFonts w:hint="eastAsia" w:ascii="Times New Roman" w:hAnsi="Times New Roman" w:eastAsia="楷体" w:cs="Times New Roman"/>
          <w:b/>
          <w:bCs/>
          <w:color w:val="auto"/>
          <w:kern w:val="2"/>
          <w:sz w:val="32"/>
          <w:szCs w:val="32"/>
          <w:lang w:val="en-US" w:eastAsia="zh-CN" w:bidi="ar-SA"/>
        </w:rPr>
        <w:t>2、</w:t>
      </w:r>
      <w:r>
        <w:rPr>
          <w:rFonts w:hint="default" w:ascii="Times New Roman" w:hAnsi="Times New Roman" w:eastAsia="楷体" w:cs="Times New Roman"/>
          <w:b/>
          <w:bCs/>
          <w:color w:val="auto"/>
          <w:kern w:val="2"/>
          <w:sz w:val="32"/>
          <w:szCs w:val="32"/>
          <w:lang w:val="en-US" w:eastAsia="zh-CN" w:bidi="ar-SA"/>
        </w:rPr>
        <w:t>艾滋检测实验室：</w:t>
      </w:r>
      <w:r>
        <w:rPr>
          <w:rFonts w:hint="eastAsia" w:ascii="Times New Roman" w:hAnsi="Times New Roman" w:eastAsia="仿宋" w:cs="Times New Roman"/>
          <w:color w:val="auto"/>
          <w:sz w:val="32"/>
          <w:szCs w:val="32"/>
        </w:rPr>
        <w:t>共计检测艾滋、梅毒、丙肝三项筛查标本437份，艾滋确证标本359份，HIV病毒载量2539份，CD4+T淋巴细胞标本2606份。检测麻疹风疹血清6份，金葡肠毒素2份。完成病毒载量国家考核两次，CD4+T淋巴细胞省级考核一次，HIV抗体筛查国家考核一次、省级考核一次，HIV抗体确证国家考核一次，梅毒考核省级一次，丙肝抗体省级一次，麻疹风疹抗体考核省级一次。</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 w:cs="Times New Roman"/>
          <w:color w:val="auto"/>
          <w:sz w:val="32"/>
          <w:szCs w:val="32"/>
        </w:rPr>
      </w:pPr>
      <w:r>
        <w:rPr>
          <w:rFonts w:hint="eastAsia" w:ascii="Times New Roman" w:hAnsi="Times New Roman" w:eastAsia="楷体" w:cs="Times New Roman"/>
          <w:b/>
          <w:bCs/>
          <w:color w:val="auto"/>
          <w:kern w:val="2"/>
          <w:sz w:val="32"/>
          <w:szCs w:val="32"/>
          <w:lang w:val="en-US" w:eastAsia="zh-CN" w:bidi="ar-SA"/>
        </w:rPr>
        <w:t>3、</w:t>
      </w:r>
      <w:r>
        <w:rPr>
          <w:rFonts w:hint="default" w:ascii="Times New Roman" w:hAnsi="Times New Roman" w:eastAsia="楷体" w:cs="Times New Roman"/>
          <w:b/>
          <w:bCs/>
          <w:color w:val="auto"/>
          <w:kern w:val="2"/>
          <w:sz w:val="32"/>
          <w:szCs w:val="32"/>
          <w:lang w:val="en-US" w:eastAsia="zh-CN" w:bidi="ar-SA"/>
        </w:rPr>
        <w:t>致病菌检测实验室：</w:t>
      </w:r>
      <w:r>
        <w:rPr>
          <w:rFonts w:hint="eastAsia" w:ascii="Times New Roman" w:hAnsi="Times New Roman" w:eastAsia="仿宋" w:cs="Times New Roman"/>
          <w:color w:val="auto"/>
          <w:sz w:val="32"/>
          <w:szCs w:val="32"/>
        </w:rPr>
        <w:t xml:space="preserve">国家食品污染和有害因素风险监测项目，完成食源性疾病主动监测196份样本的检测，共980项次，检出致泻大肠埃希氏菌24株，沙门氏菌35株，诺如病毒20份；完成食品安全风险监测200份样本的检测，共960项次，检出致泻大肠埃希氏菌12株，沙门氏菌19株，金黄色葡萄球菌4株，单核细胞增生李斯特菌19株，小肠结肠炎耶尔森菌9株。地方特色食品检测60份，共150项次。复核县区菌株41份(主动监测24+食品17)。水质监测340份样本共1020项次。完成公共场所样品10份共171项次。致病菌识别网项目完成了545份样本的检测，对68株各类致病细菌进行了全基因组测序，对55株细菌进行了药敏试验。完成国家疾控致病菌网考核两次，省疾控中心组织的食品安全风险监测考核一次，结果优秀。完成布鲁氏菌血清检测8份样本，阳性4份，完成疟原虫血片镜检6份，恶性疟阳性2份。 </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黑体" w:cs="Times New Roman"/>
          <w:b/>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黑体" w:cs="Times New Roman"/>
          <w:b/>
          <w:bCs/>
          <w:color w:val="000000" w:themeColor="text1"/>
          <w:kern w:val="2"/>
          <w:sz w:val="32"/>
          <w:szCs w:val="32"/>
          <w:lang w:val="en-US" w:eastAsia="zh-CN" w:bidi="ar-SA"/>
          <w14:textFill>
            <w14:solidFill>
              <w14:schemeClr w14:val="tx1"/>
            </w14:solidFill>
          </w14:textFill>
        </w:rPr>
        <w:t>（二）</w:t>
      </w:r>
      <w:r>
        <w:rPr>
          <w:rFonts w:hint="default" w:ascii="Times New Roman" w:hAnsi="Times New Roman" w:eastAsia="黑体" w:cs="Times New Roman"/>
          <w:b/>
          <w:bCs/>
          <w:color w:val="000000" w:themeColor="text1"/>
          <w:kern w:val="2"/>
          <w:sz w:val="32"/>
          <w:szCs w:val="32"/>
          <w:lang w:val="en-US" w:eastAsia="zh-CN" w:bidi="ar-SA"/>
          <w14:textFill>
            <w14:solidFill>
              <w14:schemeClr w14:val="tx1"/>
            </w14:solidFill>
          </w14:textFill>
        </w:rPr>
        <w:t>理化检验工作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 w:cs="Times New Roman"/>
          <w:sz w:val="32"/>
          <w:szCs w:val="32"/>
        </w:rPr>
      </w:pPr>
      <w:r>
        <w:rPr>
          <w:rFonts w:hint="eastAsia" w:ascii="Times New Roman" w:hAnsi="Times New Roman" w:eastAsia="楷体" w:cs="Times New Roman"/>
          <w:b/>
          <w:bCs/>
          <w:sz w:val="32"/>
          <w:szCs w:val="32"/>
          <w:lang w:val="en-US" w:eastAsia="zh-CN"/>
        </w:rPr>
        <w:t>1、</w:t>
      </w:r>
      <w:r>
        <w:rPr>
          <w:rFonts w:hint="default" w:ascii="Times New Roman" w:hAnsi="Times New Roman" w:eastAsia="楷体" w:cs="Times New Roman"/>
          <w:b/>
          <w:bCs/>
          <w:sz w:val="32"/>
          <w:szCs w:val="32"/>
        </w:rPr>
        <w:t>国家和省级盲样考核工作</w:t>
      </w:r>
      <w:r>
        <w:rPr>
          <w:rFonts w:hint="default" w:ascii="Times New Roman" w:hAnsi="Times New Roman" w:eastAsia="楷体" w:cs="Times New Roman"/>
          <w:b/>
          <w:bCs/>
          <w:sz w:val="32"/>
          <w:szCs w:val="32"/>
          <w:lang w:eastAsia="zh-CN"/>
        </w:rPr>
        <w:t>：</w:t>
      </w:r>
      <w:r>
        <w:rPr>
          <w:rFonts w:hint="eastAsia" w:ascii="Times New Roman" w:hAnsi="Times New Roman" w:eastAsia="仿宋" w:cs="Times New Roman"/>
          <w:sz w:val="32"/>
          <w:szCs w:val="32"/>
        </w:rPr>
        <w:t>完成国家和省级盲样</w:t>
      </w:r>
      <w:r>
        <w:rPr>
          <w:rFonts w:hint="eastAsia" w:ascii="Times New Roman" w:hAnsi="Times New Roman" w:eastAsia="仿宋" w:cs="Times New Roman"/>
          <w:sz w:val="32"/>
          <w:szCs w:val="32"/>
          <w:lang w:val="en-US" w:eastAsia="zh-CN"/>
        </w:rPr>
        <w:t>8</w:t>
      </w:r>
      <w:r>
        <w:rPr>
          <w:rFonts w:hint="eastAsia" w:ascii="Times New Roman" w:hAnsi="Times New Roman" w:eastAsia="仿宋" w:cs="Times New Roman"/>
          <w:sz w:val="32"/>
          <w:szCs w:val="32"/>
        </w:rPr>
        <w:t>次</w:t>
      </w:r>
      <w:r>
        <w:rPr>
          <w:rFonts w:hint="eastAsia" w:ascii="Times New Roman" w:hAnsi="Times New Roman" w:eastAsia="仿宋" w:cs="Times New Roman"/>
          <w:sz w:val="32"/>
          <w:szCs w:val="32"/>
          <w:lang w:val="en-US" w:eastAsia="zh-CN"/>
        </w:rPr>
        <w:t>和</w:t>
      </w:r>
      <w:r>
        <w:rPr>
          <w:rFonts w:hint="eastAsia" w:ascii="Times New Roman" w:hAnsi="Times New Roman" w:eastAsia="仿宋" w:cs="Times New Roman"/>
          <w:sz w:val="32"/>
          <w:szCs w:val="32"/>
        </w:rPr>
        <w:t>39个项目考核</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具体是对</w:t>
      </w:r>
      <w:r>
        <w:rPr>
          <w:rFonts w:hint="eastAsia" w:ascii="Times New Roman" w:hAnsi="Times New Roman" w:eastAsia="仿宋" w:cs="Times New Roman"/>
          <w:sz w:val="32"/>
          <w:szCs w:val="32"/>
        </w:rPr>
        <w:t>尿碘、盐碘、水碘</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食品中砷、钠</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二氧化硫、铁</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饮料中柠檬黄、水中高锰酸盐</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小麦粉中多元素</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水中总α放射性、总β放射性</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水中氟化物、氯酸盐、砷</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空气中苯、氮氧化合物、滤膜中镉、粉尘中二氧化硅</w:t>
      </w:r>
      <w:r>
        <w:rPr>
          <w:rFonts w:hint="eastAsia" w:ascii="Times New Roman" w:hAnsi="Times New Roman" w:eastAsia="仿宋" w:cs="Times New Roman"/>
          <w:sz w:val="32"/>
          <w:szCs w:val="32"/>
          <w:lang w:val="en-US" w:eastAsia="zh-CN"/>
        </w:rPr>
        <w:t>等</w:t>
      </w:r>
      <w:r>
        <w:rPr>
          <w:rFonts w:hint="eastAsia" w:ascii="Times New Roman" w:hAnsi="Times New Roman" w:eastAsia="仿宋" w:cs="Times New Roman"/>
          <w:sz w:val="32"/>
          <w:szCs w:val="32"/>
        </w:rPr>
        <w:t>盲样</w:t>
      </w:r>
      <w:r>
        <w:rPr>
          <w:rFonts w:hint="eastAsia" w:ascii="Times New Roman" w:hAnsi="Times New Roman" w:eastAsia="仿宋" w:cs="Times New Roman"/>
          <w:sz w:val="32"/>
          <w:szCs w:val="32"/>
          <w:lang w:val="en-US" w:eastAsia="zh-CN"/>
        </w:rPr>
        <w:t>进行考核</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所有</w:t>
      </w:r>
      <w:r>
        <w:rPr>
          <w:rFonts w:hint="eastAsia" w:ascii="Times New Roman" w:hAnsi="Times New Roman" w:eastAsia="仿宋" w:cs="Times New Roman"/>
          <w:sz w:val="32"/>
          <w:szCs w:val="32"/>
        </w:rPr>
        <w:t>项目</w:t>
      </w:r>
      <w:r>
        <w:rPr>
          <w:rFonts w:hint="eastAsia" w:ascii="Times New Roman" w:hAnsi="Times New Roman" w:eastAsia="仿宋" w:cs="Times New Roman"/>
          <w:sz w:val="32"/>
          <w:szCs w:val="32"/>
          <w:lang w:val="en-US" w:eastAsia="zh-CN"/>
        </w:rPr>
        <w:t>考核结果</w:t>
      </w:r>
      <w:r>
        <w:rPr>
          <w:rFonts w:hint="eastAsia" w:ascii="Times New Roman" w:hAnsi="Times New Roman" w:eastAsia="仿宋" w:cs="Times New Roman"/>
          <w:sz w:val="32"/>
          <w:szCs w:val="32"/>
        </w:rPr>
        <w:t>均</w:t>
      </w:r>
      <w:r>
        <w:rPr>
          <w:rFonts w:hint="eastAsia" w:ascii="Times New Roman" w:hAnsi="Times New Roman" w:eastAsia="仿宋" w:cs="Times New Roman"/>
          <w:sz w:val="32"/>
          <w:szCs w:val="32"/>
          <w:lang w:val="en-US" w:eastAsia="zh-CN"/>
        </w:rPr>
        <w:t>为合格满意</w:t>
      </w:r>
      <w:r>
        <w:rPr>
          <w:rFonts w:hint="eastAsia" w:ascii="Times New Roman" w:hAnsi="Times New Roman" w:eastAsia="仿宋" w:cs="Times New Roman"/>
          <w:sz w:val="32"/>
          <w:szCs w:val="32"/>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2、</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生活饮用水监测工作：</w:t>
      </w:r>
      <w:r>
        <w:rPr>
          <w:rFonts w:hint="eastAsia" w:ascii="Times New Roman" w:hAnsi="Times New Roman" w:eastAsia="仿宋" w:cs="Times New Roman"/>
          <w:sz w:val="32"/>
          <w:szCs w:val="32"/>
        </w:rPr>
        <w:t>按照《湖南省城乡饮用水卫生监测工作方案（2023版）》的工作安排已完成生活饮用水中</w:t>
      </w:r>
      <w:r>
        <w:rPr>
          <w:rFonts w:hint="eastAsia" w:ascii="Times New Roman" w:hAnsi="Times New Roman" w:eastAsia="仿宋" w:cs="Times New Roman"/>
          <w:sz w:val="32"/>
          <w:szCs w:val="32"/>
          <w:lang w:val="en-US" w:eastAsia="zh-CN"/>
        </w:rPr>
        <w:t>29</w:t>
      </w:r>
      <w:r>
        <w:rPr>
          <w:rFonts w:hint="eastAsia" w:ascii="Times New Roman" w:hAnsi="Times New Roman" w:eastAsia="仿宋" w:cs="Times New Roman"/>
          <w:sz w:val="32"/>
          <w:szCs w:val="32"/>
        </w:rPr>
        <w:t>个项目、</w:t>
      </w:r>
      <w:r>
        <w:rPr>
          <w:rFonts w:hint="eastAsia" w:ascii="Times New Roman" w:hAnsi="Times New Roman" w:eastAsia="仿宋" w:cs="Times New Roman"/>
          <w:sz w:val="32"/>
          <w:szCs w:val="32"/>
          <w:lang w:val="en-US" w:eastAsia="zh-CN"/>
        </w:rPr>
        <w:t>340</w:t>
      </w:r>
      <w:r>
        <w:rPr>
          <w:rFonts w:hint="eastAsia" w:ascii="Times New Roman" w:hAnsi="Times New Roman" w:eastAsia="仿宋" w:cs="Times New Roman"/>
          <w:sz w:val="32"/>
          <w:szCs w:val="32"/>
        </w:rPr>
        <w:t>份样品，</w:t>
      </w:r>
      <w:r>
        <w:rPr>
          <w:rFonts w:hint="eastAsia" w:ascii="Times New Roman" w:hAnsi="Times New Roman" w:eastAsia="仿宋" w:cs="Times New Roman"/>
          <w:sz w:val="32"/>
          <w:szCs w:val="32"/>
          <w:lang w:val="en-US" w:eastAsia="zh-CN"/>
        </w:rPr>
        <w:t>9640</w:t>
      </w:r>
      <w:r>
        <w:rPr>
          <w:rFonts w:hint="eastAsia" w:ascii="Times New Roman" w:hAnsi="Times New Roman" w:eastAsia="仿宋" w:cs="Times New Roman"/>
          <w:sz w:val="32"/>
          <w:szCs w:val="32"/>
        </w:rPr>
        <w:t>个数据的检测工作。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3、</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食品风险安全监测工作：</w:t>
      </w:r>
      <w:r>
        <w:rPr>
          <w:rFonts w:hint="eastAsia" w:ascii="Times New Roman" w:hAnsi="Times New Roman" w:eastAsia="仿宋" w:cs="Times New Roman"/>
          <w:sz w:val="32"/>
          <w:szCs w:val="32"/>
        </w:rPr>
        <w:t>完成食品放射性污染风险监测项目50.5公斤样品烘干</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包含新鲜蔬菜、茶叶、猪肉</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完成蔬菜中多元素分析（ 26个项目 ）620份样品，共 16120个数据初测</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完成</w:t>
      </w:r>
      <w:r>
        <w:rPr>
          <w:rFonts w:hint="eastAsia" w:ascii="Times New Roman" w:hAnsi="Times New Roman" w:eastAsia="仿宋" w:cs="Times New Roman"/>
          <w:sz w:val="32"/>
          <w:szCs w:val="32"/>
        </w:rPr>
        <w:t>食品中烟碱类农残、喹诺酮中兽残、防腐剂、着色剂等12个项目，共760个数据初测；</w:t>
      </w:r>
      <w:r>
        <w:rPr>
          <w:rFonts w:hint="eastAsia" w:ascii="Times New Roman" w:hAnsi="Times New Roman" w:eastAsia="仿宋" w:cs="Times New Roman"/>
          <w:sz w:val="32"/>
          <w:szCs w:val="32"/>
          <w:lang w:val="en-US" w:eastAsia="zh-CN"/>
        </w:rPr>
        <w:t>完成</w:t>
      </w:r>
      <w:r>
        <w:rPr>
          <w:rFonts w:hint="eastAsia" w:ascii="Times New Roman" w:hAnsi="Times New Roman" w:eastAsia="仿宋" w:cs="Times New Roman"/>
          <w:sz w:val="32"/>
          <w:szCs w:val="32"/>
        </w:rPr>
        <w:t>100份湿米粉五种元素检测。</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盐碘、尿碘项目复核工作：</w:t>
      </w:r>
      <w:r>
        <w:rPr>
          <w:rFonts w:hint="eastAsia" w:ascii="Times New Roman" w:hAnsi="Times New Roman" w:eastAsia="仿宋" w:cs="Times New Roman"/>
          <w:sz w:val="32"/>
          <w:szCs w:val="32"/>
        </w:rPr>
        <w:t>按照《全国碘缺乏病监测方案（2023版）》的工作安排</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截止六月份完成9个县市区尿碘、盐碘两个，270个样品，270个数据复核工作。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公共场所监测工作：</w:t>
      </w:r>
      <w:r>
        <w:rPr>
          <w:rFonts w:hint="eastAsia" w:ascii="Times New Roman" w:hAnsi="Times New Roman" w:eastAsia="仿宋" w:cs="Times New Roman"/>
          <w:sz w:val="32"/>
          <w:szCs w:val="32"/>
        </w:rPr>
        <w:t>截止2023月9月底已完成游泳池中尿素，餐具中感官性状、阴离子合成洗涤剂，毛巾中外观、PH，公共场所中甲醛、苯、甲苯、二甲苯9个项目，共145个数据检测工作。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6、</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职防监测项目监测工作：</w:t>
      </w:r>
      <w:r>
        <w:rPr>
          <w:rFonts w:hint="eastAsia" w:ascii="Times New Roman" w:hAnsi="Times New Roman" w:eastAsia="仿宋" w:cs="Times New Roman"/>
          <w:sz w:val="32"/>
          <w:szCs w:val="32"/>
          <w:lang w:val="en-US" w:eastAsia="zh-CN"/>
        </w:rPr>
        <w:t>已完成30家企业</w:t>
      </w:r>
      <w:r>
        <w:rPr>
          <w:rFonts w:hint="eastAsia" w:ascii="Times New Roman" w:hAnsi="Times New Roman" w:eastAsia="仿宋" w:cs="Times New Roman"/>
          <w:sz w:val="32"/>
          <w:szCs w:val="32"/>
        </w:rPr>
        <w:t>涂料中挥发性成分定性分析、粉尘中二氧化硅、滤膜中多金属检测工作。</w:t>
      </w:r>
    </w:p>
    <w:p>
      <w:pPr>
        <w:widowControl/>
        <w:numPr>
          <w:ilvl w:val="0"/>
          <w:numId w:val="0"/>
        </w:numPr>
        <w:ind w:firstLine="643" w:firstLineChars="200"/>
        <w:jc w:val="left"/>
        <w:rPr>
          <w:rFonts w:hint="eastAsia" w:ascii="Times New Roman" w:hAnsi="Times New Roman" w:eastAsia="仿宋" w:cs="Times New Roman"/>
          <w:b w:val="0"/>
          <w:bCs w:val="0"/>
          <w:kern w:val="2"/>
          <w:sz w:val="32"/>
          <w:szCs w:val="32"/>
          <w:lang w:val="en-US" w:eastAsia="zh-CN" w:bidi="ar-SA"/>
        </w:rPr>
      </w:pPr>
      <w:r>
        <w:rPr>
          <w:rFonts w:hint="eastAsia" w:ascii="Times New Roman" w:hAnsi="Times New Roman" w:eastAsia="楷体" w:cs="Times New Roman"/>
          <w:b/>
          <w:bCs/>
          <w:color w:val="000000" w:themeColor="text1"/>
          <w:kern w:val="2"/>
          <w:sz w:val="32"/>
          <w:szCs w:val="32"/>
          <w:lang w:val="en-US" w:eastAsia="zh-CN" w:bidi="ar-SA"/>
          <w14:textFill>
            <w14:solidFill>
              <w14:schemeClr w14:val="tx1"/>
            </w14:solidFill>
          </w14:textFill>
        </w:rPr>
        <w:t>7、科室培训工作</w:t>
      </w:r>
      <w:r>
        <w:rPr>
          <w:rFonts w:hint="default" w:ascii="Times New Roman" w:hAnsi="Times New Roman" w:eastAsia="楷体" w:cs="Times New Roman"/>
          <w:b/>
          <w:bCs/>
          <w:color w:val="000000" w:themeColor="text1"/>
          <w:kern w:val="2"/>
          <w:sz w:val="32"/>
          <w:szCs w:val="32"/>
          <w:lang w:val="en-US" w:eastAsia="zh-CN" w:bidi="ar-SA"/>
          <w14:textFill>
            <w14:solidFill>
              <w14:schemeClr w14:val="tx1"/>
            </w14:solidFill>
          </w14:textFill>
        </w:rPr>
        <w:t>：</w:t>
      </w:r>
      <w:r>
        <w:rPr>
          <w:rFonts w:hint="eastAsia" w:ascii="Times New Roman" w:hAnsi="Times New Roman" w:eastAsia="仿宋" w:cs="Times New Roman"/>
          <w:b w:val="0"/>
          <w:bCs w:val="0"/>
          <w:kern w:val="2"/>
          <w:sz w:val="32"/>
          <w:szCs w:val="32"/>
          <w:lang w:val="en-US" w:eastAsia="zh-CN" w:bidi="ar-SA"/>
        </w:rPr>
        <w:t>2023年科室进行4次培训，共36人次,完成了骇思实验室纯水系统安装和操作培训、固相萃取仪操作使用培训、危险化学品使用与管理培训，对各县市区理化人员开展食品安全风险监测有机污染物检测技术培训。</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8"/>
        <w:numPr>
          <w:ilvl w:val="0"/>
          <w:numId w:val="2"/>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0" w:firstLineChars="200"/>
        <w:rPr>
          <w:rFonts w:hint="eastAsia" w:eastAsia="仿宋" w:cs="仿宋"/>
          <w:sz w:val="32"/>
          <w:szCs w:val="32"/>
          <w:lang w:val="en-US" w:eastAsia="zh-CN"/>
        </w:rPr>
      </w:pPr>
      <w:r>
        <w:rPr>
          <w:rFonts w:hint="eastAsia" w:ascii="仿宋" w:hAnsi="仿宋" w:eastAsia="仿宋" w:cs="仿宋"/>
          <w:sz w:val="32"/>
          <w:szCs w:val="32"/>
        </w:rPr>
        <w:t>202</w:t>
      </w:r>
      <w:r>
        <w:rPr>
          <w:rFonts w:hint="eastAsia" w:eastAsia="仿宋" w:cs="仿宋"/>
          <w:sz w:val="32"/>
          <w:szCs w:val="32"/>
          <w:lang w:val="en-US" w:eastAsia="zh-CN"/>
        </w:rPr>
        <w:t>3</w:t>
      </w:r>
      <w:r>
        <w:rPr>
          <w:rFonts w:hint="eastAsia" w:ascii="仿宋" w:hAnsi="仿宋" w:eastAsia="仿宋" w:cs="仿宋"/>
          <w:sz w:val="32"/>
          <w:szCs w:val="32"/>
        </w:rPr>
        <w:t>年</w:t>
      </w:r>
      <w:r>
        <w:rPr>
          <w:rFonts w:hint="eastAsia" w:eastAsia="仿宋" w:cs="仿宋"/>
          <w:sz w:val="32"/>
          <w:szCs w:val="32"/>
          <w:lang w:val="en-US" w:eastAsia="zh-CN"/>
        </w:rPr>
        <w:t>本单位业务用房运转专项收入预算180万元，</w:t>
      </w:r>
      <w:r>
        <w:rPr>
          <w:rFonts w:hint="eastAsia" w:ascii="仿宋" w:hAnsi="仿宋" w:eastAsia="仿宋" w:cs="仿宋"/>
          <w:sz w:val="32"/>
          <w:szCs w:val="32"/>
        </w:rPr>
        <w:t>截至202</w:t>
      </w:r>
      <w:r>
        <w:rPr>
          <w:rFonts w:hint="eastAsia" w:eastAsia="仿宋" w:cs="仿宋"/>
          <w:sz w:val="32"/>
          <w:szCs w:val="32"/>
          <w:lang w:val="en-US" w:eastAsia="zh-CN"/>
        </w:rPr>
        <w:t>3</w:t>
      </w:r>
      <w:r>
        <w:rPr>
          <w:rFonts w:hint="eastAsia" w:ascii="仿宋" w:hAnsi="仿宋" w:eastAsia="仿宋" w:cs="仿宋"/>
          <w:sz w:val="32"/>
          <w:szCs w:val="32"/>
        </w:rPr>
        <w:t>年底，</w:t>
      </w:r>
      <w:r>
        <w:rPr>
          <w:rFonts w:hint="eastAsia" w:eastAsia="仿宋" w:cs="仿宋"/>
          <w:sz w:val="32"/>
          <w:szCs w:val="32"/>
          <w:lang w:val="en-US" w:eastAsia="zh-CN"/>
        </w:rPr>
        <w:t>预算执行数为117.95万元，结余62.05万元。因2023年财政提前关账，结余资金将于2024年使用。</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建议：在专项资金下达的工作任务和资金分配方案中，明确项目支出内容，完善细化标准。</w:t>
      </w:r>
    </w:p>
    <w:p>
      <w:pPr>
        <w:pStyle w:val="2"/>
        <w:rPr>
          <w:rFonts w:hint="eastAsia" w:ascii="Times New Roman" w:hAnsi="Times New Roman" w:eastAsia="仿宋_GB2312" w:cs="Times New Roman"/>
          <w:sz w:val="22"/>
          <w:szCs w:val="22"/>
          <w:highlight w:val="none"/>
          <w:lang w:eastAsia="zh-CN"/>
        </w:rPr>
      </w:pPr>
    </w:p>
    <w:p>
      <w:pPr>
        <w:pStyle w:val="2"/>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63705C"/>
    <w:multiLevelType w:val="singleLevel"/>
    <w:tmpl w:val="E963705C"/>
    <w:lvl w:ilvl="0" w:tentative="0">
      <w:start w:val="1"/>
      <w:numFmt w:val="chineseCounting"/>
      <w:suff w:val="nothing"/>
      <w:lvlText w:val="%1、"/>
      <w:lvlJc w:val="left"/>
      <w:rPr>
        <w:rFonts w:hint="eastAsia"/>
      </w:rPr>
    </w:lvl>
  </w:abstractNum>
  <w:abstractNum w:abstractNumId="1">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 w:name="KSO_WPS_MARK_KEY" w:val="73f2f41a-b7b5-405c-9cdf-361a83ed08f5"/>
  </w:docVars>
  <w:rsids>
    <w:rsidRoot w:val="59886344"/>
    <w:rsid w:val="1386503E"/>
    <w:rsid w:val="16607678"/>
    <w:rsid w:val="1690112D"/>
    <w:rsid w:val="267129CF"/>
    <w:rsid w:val="2A1F28AF"/>
    <w:rsid w:val="2C1C4DC4"/>
    <w:rsid w:val="361E406A"/>
    <w:rsid w:val="365800C2"/>
    <w:rsid w:val="3D976CEA"/>
    <w:rsid w:val="40D72DC7"/>
    <w:rsid w:val="41110C42"/>
    <w:rsid w:val="4214079F"/>
    <w:rsid w:val="45B97151"/>
    <w:rsid w:val="59886344"/>
    <w:rsid w:val="5CBC304E"/>
    <w:rsid w:val="68B41F31"/>
    <w:rsid w:val="72A80C48"/>
    <w:rsid w:val="7CE41BEB"/>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paragraph" w:styleId="3">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4">
    <w:name w:val="Body Text"/>
    <w:basedOn w:val="1"/>
    <w:semiHidden/>
    <w:qFormat/>
    <w:uiPriority w:val="0"/>
    <w:rPr>
      <w:rFonts w:ascii="仿宋" w:hAnsi="仿宋" w:eastAsia="仿宋" w:cs="仿宋"/>
      <w:sz w:val="31"/>
      <w:szCs w:val="31"/>
      <w:lang w:val="en-US" w:eastAsia="en-US" w:bidi="ar-SA"/>
    </w:r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3103</Words>
  <Characters>3363</Characters>
  <Lines>0</Lines>
  <Paragraphs>0</Paragraphs>
  <TotalTime>15</TotalTime>
  <ScaleCrop>false</ScaleCrop>
  <LinksUpToDate>false</LinksUpToDate>
  <CharactersWithSpaces>3424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刘洋</cp:lastModifiedBy>
  <cp:lastPrinted>2024-06-28T00:56:00Z</cp:lastPrinted>
  <dcterms:modified xsi:type="dcterms:W3CDTF">2024-07-05T01:33:03Z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C4128033B0E24E6186B4E40EC364F703_13</vt:lpwstr>
  </property>
</Properties>
</file>