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rPr>
          <w:rFonts w:hint="default"/>
          <w:sz w:val="2"/>
          <w:szCs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textAlignment w:val="auto"/>
        <w:rPr>
          <w:rFonts w:hint="default"/>
          <w:sz w:val="24"/>
          <w:szCs w:val="24"/>
        </w:rPr>
      </w:pPr>
    </w:p>
    <w:p>
      <w:pPr>
        <w:pStyle w:val="2"/>
        <w:rPr>
          <w:rFonts w:hint="default"/>
          <w:sz w:val="24"/>
          <w:szCs w:val="24"/>
        </w:rPr>
      </w:pPr>
    </w:p>
    <w:p>
      <w:pPr>
        <w:rPr>
          <w:rFonts w:hint="default"/>
        </w:rPr>
      </w:pP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textAlignment w:val="auto"/>
        <w:rPr>
          <w:rFonts w:hint="default"/>
          <w:sz w:val="24"/>
          <w:szCs w:val="24"/>
        </w:rPr>
      </w:pPr>
    </w:p>
    <w:p>
      <w:pPr>
        <w:spacing w:beforeLines="0" w:afterLines="0" w:line="1110" w:lineRule="exact"/>
        <w:ind w:left="20"/>
        <w:jc w:val="center"/>
        <w:rPr>
          <w:rFonts w:hint="eastAsia" w:ascii="黑体" w:hAnsi="黑体" w:eastAsia="黑体" w:cs="黑体"/>
          <w:b w:val="0"/>
          <w:bCs/>
          <w:sz w:val="84"/>
          <w:szCs w:val="24"/>
        </w:rPr>
      </w:pPr>
      <w:r>
        <w:rPr>
          <w:rFonts w:hint="eastAsia" w:ascii="黑体" w:hAnsi="黑体" w:eastAsia="黑体" w:cs="黑体"/>
          <w:b w:val="0"/>
          <w:bCs/>
          <w:sz w:val="84"/>
          <w:szCs w:val="24"/>
        </w:rPr>
        <w:t>中共岳阳市委宣传部2023年度</w:t>
      </w:r>
    </w:p>
    <w:p>
      <w:pPr>
        <w:spacing w:beforeLines="0" w:afterLines="0" w:line="1110" w:lineRule="exact"/>
        <w:ind w:left="20"/>
        <w:jc w:val="center"/>
        <w:rPr>
          <w:rFonts w:hint="default" w:ascii="微软雅黑" w:hAnsi="微软雅黑" w:eastAsia="微软雅黑"/>
          <w:sz w:val="84"/>
          <w:szCs w:val="24"/>
        </w:rPr>
      </w:pPr>
      <w:r>
        <w:rPr>
          <w:rFonts w:hint="eastAsia" w:ascii="黑体" w:hAnsi="黑体" w:eastAsia="黑体" w:cs="黑体"/>
          <w:b w:val="0"/>
          <w:bCs/>
          <w:sz w:val="84"/>
          <w:szCs w:val="24"/>
        </w:rPr>
        <w:t>部门预算</w:t>
      </w:r>
    </w:p>
    <w:p>
      <w:pPr>
        <w:keepNext w:val="0"/>
        <w:keepLines w:val="0"/>
        <w:pageBreakBefore w:val="0"/>
        <w:widowControl w:val="0"/>
        <w:kinsoku/>
        <w:wordWrap/>
        <w:overflowPunct/>
        <w:topLinePunct w:val="0"/>
        <w:autoSpaceDE w:val="0"/>
        <w:autoSpaceDN w:val="0"/>
        <w:bidi w:val="0"/>
        <w:adjustRightInd w:val="0"/>
        <w:snapToGrid/>
        <w:spacing w:beforeLines="0" w:afterLines="0" w:line="400" w:lineRule="exact"/>
        <w:ind w:left="20"/>
        <w:jc w:val="center"/>
        <w:textAlignment w:val="auto"/>
        <w:rPr>
          <w:rFonts w:hint="default" w:ascii="宋体" w:hAnsi="Dialog"/>
          <w:sz w:val="44"/>
          <w:szCs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jc w:val="center"/>
        <w:textAlignment w:val="auto"/>
        <w:rPr>
          <w:rFonts w:hint="default" w:ascii="宋体" w:hAnsi="Dialog"/>
          <w:sz w:val="44"/>
          <w:szCs w:val="24"/>
        </w:rPr>
      </w:pPr>
    </w:p>
    <w:p>
      <w:pPr>
        <w:pStyle w:val="2"/>
        <w:rPr>
          <w:rFonts w:hint="default" w:ascii="宋体" w:hAnsi="Dialog"/>
          <w:sz w:val="44"/>
          <w:szCs w:val="24"/>
        </w:rPr>
      </w:pPr>
    </w:p>
    <w:p>
      <w:pPr>
        <w:keepNext w:val="0"/>
        <w:keepLines w:val="0"/>
        <w:pageBreakBefore/>
        <w:widowControl w:val="0"/>
        <w:kinsoku/>
        <w:wordWrap/>
        <w:overflowPunct/>
        <w:topLinePunct w:val="0"/>
        <w:autoSpaceDE w:val="0"/>
        <w:autoSpaceDN w:val="0"/>
        <w:bidi w:val="0"/>
        <w:adjustRightInd w:val="0"/>
        <w:snapToGrid/>
        <w:textAlignment w:val="auto"/>
        <w:rPr>
          <w:rFonts w:hint="default"/>
        </w:rPr>
        <w:sectPr>
          <w:pgSz w:w="16838" w:h="11905" w:orient="landscape"/>
          <w:pgMar w:top="1417" w:right="1134" w:bottom="1134" w:left="1134" w:header="720" w:footer="720" w:gutter="0"/>
          <w:lnNumType w:countBy="0" w:distance="360"/>
          <w:cols w:space="0" w:num="1"/>
          <w:rtlGutter w:val="0"/>
          <w:docGrid w:linePitch="0" w:charSpace="0"/>
        </w:sectPr>
      </w:pPr>
    </w:p>
    <w:p>
      <w:pPr>
        <w:pStyle w:val="2"/>
        <w:rPr>
          <w:rFonts w:hint="default"/>
        </w:rPr>
      </w:pP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jc w:val="center"/>
        <w:textAlignment w:val="auto"/>
        <w:rPr>
          <w:rFonts w:hint="default" w:ascii="宋体" w:hAnsi="Dialog" w:cs="Times New Roman"/>
          <w:b/>
          <w:bCs/>
          <w:color w:val="000000"/>
          <w:sz w:val="36"/>
          <w:szCs w:val="36"/>
        </w:rPr>
      </w:pPr>
      <w:r>
        <w:rPr>
          <w:rFonts w:hint="default" w:ascii="宋体" w:hAnsi="Dialog" w:cs="Times New Roman"/>
          <w:b/>
          <w:bCs/>
          <w:color w:val="000000"/>
          <w:sz w:val="36"/>
          <w:szCs w:val="36"/>
        </w:rPr>
        <w:t>目</w:t>
      </w:r>
      <w:r>
        <w:rPr>
          <w:rFonts w:hint="eastAsia" w:ascii="宋体" w:hAnsi="Dialog" w:cs="Times New Roman"/>
          <w:b/>
          <w:bCs/>
          <w:color w:val="000000"/>
          <w:sz w:val="36"/>
          <w:szCs w:val="36"/>
          <w:lang w:val="en-US" w:eastAsia="zh-CN"/>
        </w:rPr>
        <w:t xml:space="preserve">    </w:t>
      </w:r>
      <w:r>
        <w:rPr>
          <w:rFonts w:hint="default" w:ascii="宋体" w:hAnsi="Dialog" w:cs="Times New Roman"/>
          <w:b/>
          <w:bCs/>
          <w:color w:val="000000"/>
          <w:sz w:val="36"/>
          <w:szCs w:val="36"/>
        </w:rPr>
        <w:t>录</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第一部分  2023年部门预算说明</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第二部分  2023年部门预算公开表格</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1、收支总表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2、收入总表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3、支出总表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4、支出预算分类汇总表（按政府预算经济分类）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5、支出预算分类汇总表（按部门预算经济分类）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6、财政拨款收支总表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7、一般公共预算支出表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8、一般公共预算基本支出表-人员经费（工资福利支出）（按政府预算经济分类）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9、一般公共预算基本支出表-人员经费（工资福利支出）（按部门预算经济分类）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10、一般公共预算基本支出表-人员经费（对个人和家庭的补助）（按政府预算经济分类）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11、一般公共预算基本支出表-人员经费（对个人和家庭的补助）（按部门预算经济分类）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12、一般公共预算基本支出表-公用经费（商品和服务支出）（按政府预算经济分类）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13、一般公共预算基本支出表-公用经费（商品和服务支出）（按部门预算经济分类）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14、一般公共预算“三公”经费支出表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15、政府性基金预算支出表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16、政府性基金预算支出分类汇总表（按政府预算经济分类）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17、政府性基金预算支出分类汇总表（按部门预算经济分类）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18、国有资本经营预算支出表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19、财政专户管理资金预算支出表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20、专项资金预算汇总表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21、项目支出绩效目标表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22、部门整体支出绩效目标表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sz w:val="32"/>
          <w:szCs w:val="24"/>
        </w:rPr>
      </w:pPr>
      <w:r>
        <w:rPr>
          <w:rFonts w:hint="default" w:ascii="宋体" w:hAnsi="Dialog"/>
          <w:sz w:val="32"/>
          <w:szCs w:val="24"/>
        </w:rPr>
        <w:t>23、一般公共预算基本支出表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Dialog"/>
          <w:color w:val="FF0000"/>
          <w:sz w:val="32"/>
          <w:szCs w:val="24"/>
        </w:rPr>
      </w:pPr>
      <w:r>
        <w:rPr>
          <w:rFonts w:hint="default" w:ascii="宋体" w:hAnsi="Dialog"/>
          <w:color w:val="FF0000"/>
          <w:sz w:val="32"/>
          <w:szCs w:val="24"/>
        </w:rPr>
        <w:t>注：以上部门预算公开报表中，空表表示本部门无相关收支情况。</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textAlignment w:val="auto"/>
        <w:rPr>
          <w:rFonts w:hint="default"/>
          <w:sz w:val="24"/>
          <w:szCs w:val="24"/>
        </w:rPr>
      </w:pPr>
    </w:p>
    <w:p>
      <w:pPr>
        <w:keepNext w:val="0"/>
        <w:keepLines w:val="0"/>
        <w:pageBreakBefore/>
        <w:widowControl w:val="0"/>
        <w:kinsoku/>
        <w:wordWrap/>
        <w:overflowPunct/>
        <w:topLinePunct w:val="0"/>
        <w:autoSpaceDE w:val="0"/>
        <w:autoSpaceDN w:val="0"/>
        <w:bidi w:val="0"/>
        <w:adjustRightInd w:val="0"/>
        <w:snapToGrid/>
        <w:spacing w:beforeLines="0" w:afterLines="0" w:line="480" w:lineRule="exact"/>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jc w:val="center"/>
        <w:textAlignment w:val="auto"/>
        <w:rPr>
          <w:rFonts w:hint="default" w:ascii="宋体" w:hAnsi="Dialog"/>
          <w:b/>
          <w:bCs/>
          <w:sz w:val="36"/>
          <w:szCs w:val="36"/>
        </w:rPr>
      </w:pPr>
      <w:r>
        <w:rPr>
          <w:rFonts w:hint="default" w:ascii="宋体" w:hAnsi="Dialog"/>
          <w:b/>
          <w:bCs/>
          <w:sz w:val="36"/>
          <w:szCs w:val="36"/>
        </w:rPr>
        <w:t>第一部分  2023年部门预算说明</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Dialog"/>
          <w:sz w:val="32"/>
          <w:szCs w:val="24"/>
        </w:rPr>
      </w:pPr>
      <w:r>
        <w:rPr>
          <w:rFonts w:hint="default" w:ascii="宋体" w:hAnsi="Dialog"/>
          <w:sz w:val="32"/>
          <w:szCs w:val="24"/>
        </w:rPr>
        <w:t xml:space="preserve">  一、部门基本概况</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（一）职能职责</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中共岳阳市委宣传部（以下简称市委宣传部）是市委主管意识形态方面工作的职能部门,加挂市新闻出版局（市版权局）、市精神文明建设指导委员会办公室、市政府新闻办公室牌子。因主要职能内容涉密，依法不予公开。</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（二）机构设置</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根据编委核定，市委宣传部由18个内设科室，1个正科级事业单位构成，正科级事业单位是新时代文明实践服务中心。我部在职</w:t>
      </w:r>
      <w:r>
        <w:rPr>
          <w:rFonts w:hint="eastAsia" w:ascii="宋体" w:hAnsi="宋体"/>
          <w:sz w:val="32"/>
          <w:szCs w:val="24"/>
          <w:lang w:eastAsia="zh-CN"/>
        </w:rPr>
        <w:t>在编</w:t>
      </w:r>
      <w:r>
        <w:rPr>
          <w:rFonts w:hint="default" w:ascii="宋体" w:hAnsi="宋体"/>
          <w:sz w:val="32"/>
          <w:szCs w:val="24"/>
        </w:rPr>
        <w:t>人员数为</w:t>
      </w:r>
      <w:r>
        <w:rPr>
          <w:rFonts w:hint="eastAsia" w:ascii="宋体" w:hAnsi="宋体"/>
          <w:sz w:val="32"/>
          <w:szCs w:val="24"/>
          <w:lang w:val="en-US" w:eastAsia="zh-CN"/>
        </w:rPr>
        <w:t>45</w:t>
      </w:r>
      <w:r>
        <w:rPr>
          <w:rFonts w:hint="default" w:ascii="宋体" w:hAnsi="宋体"/>
          <w:sz w:val="32"/>
          <w:szCs w:val="24"/>
        </w:rPr>
        <w:t>人。全部纳入2023年部门预算编制范围。</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Dialog"/>
          <w:sz w:val="32"/>
          <w:szCs w:val="24"/>
        </w:rPr>
      </w:pPr>
      <w:r>
        <w:rPr>
          <w:rFonts w:hint="default" w:ascii="宋体" w:hAnsi="Dialog"/>
          <w:sz w:val="32"/>
          <w:szCs w:val="24"/>
        </w:rPr>
        <w:t xml:space="preserve">  二、部门预算构成</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本单位只有本级，无其他二级预算单位，因此，纳入2023年部门预算编制范围的只有市委宣传部本级。</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Dialog"/>
          <w:sz w:val="32"/>
          <w:szCs w:val="24"/>
        </w:rPr>
      </w:pPr>
      <w:r>
        <w:rPr>
          <w:rFonts w:hint="default" w:ascii="宋体" w:hAnsi="Dialog"/>
          <w:sz w:val="32"/>
          <w:szCs w:val="24"/>
        </w:rPr>
        <w:t xml:space="preserve">  三、部门收支总体情况</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本部门2023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Dialog"/>
          <w:sz w:val="32"/>
          <w:szCs w:val="24"/>
        </w:rPr>
      </w:pPr>
      <w:r>
        <w:rPr>
          <w:rFonts w:hint="default" w:ascii="宋体" w:hAnsi="Dialog"/>
          <w:sz w:val="32"/>
          <w:szCs w:val="24"/>
        </w:rPr>
        <w:t xml:space="preserve">  （一）收入预算</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lang w:val="en" w:eastAsia="zh-CN"/>
        </w:rPr>
      </w:pPr>
      <w:r>
        <w:rPr>
          <w:rFonts w:hint="default" w:ascii="宋体" w:hAnsi="宋体"/>
          <w:sz w:val="32"/>
          <w:szCs w:val="24"/>
        </w:rPr>
        <w:t xml:space="preserve">  包括一般公共预算、政府性基金、国有资本经营预算等财政拨款收入，以及经营收入、事业收入等单位资金。2023年度本部门收入预算1158.60万元，其中，一般公共预算拨款1158.60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部门2023年收入较去年增加264.03万元，主要是因为人员异动以及机构调整新增职能</w:t>
      </w:r>
      <w:r>
        <w:rPr>
          <w:rFonts w:hint="default" w:ascii="宋体" w:hAnsi="宋体"/>
          <w:sz w:val="32"/>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Dialog"/>
          <w:sz w:val="32"/>
          <w:szCs w:val="24"/>
        </w:rPr>
      </w:pPr>
      <w:r>
        <w:rPr>
          <w:rFonts w:hint="default" w:ascii="宋体" w:hAnsi="Dialog"/>
          <w:sz w:val="32"/>
          <w:szCs w:val="24"/>
        </w:rPr>
        <w:t xml:space="preserve">  （二）支出预算</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2023年本部门支出预算1158.60万元，其中，201一般公共服务支出1045.17万元，208社会保障和就业支出51.96万元，210卫生健康支出10.62万元，221住房保障支出50.85万元，支出较去年增加264.03万元，主要是因为机构调整新增职能和新进人员增加的工资福利及养老保险缴费、公务员医疗补助、住房公积金等。</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Dialog"/>
          <w:sz w:val="32"/>
          <w:szCs w:val="24"/>
        </w:rPr>
      </w:pPr>
      <w:r>
        <w:rPr>
          <w:rFonts w:hint="default" w:ascii="宋体" w:hAnsi="Dialog"/>
          <w:sz w:val="32"/>
          <w:szCs w:val="24"/>
        </w:rPr>
        <w:t xml:space="preserve">  四、一般公共预算拨款支出预算</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2023年一般公共预算拨款支出预算1158.60万元，其中，201一般公共服务支出1045.17万元，占90.21%；208社会保障和就业支出51.96万元，占4.48%；210卫生健康支出10.62万元，占.92%；221住房保障支出50.85万元，占4.39%；具体安排情况如下：</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一）基本支出：2023年基本支出年初预算数为835.58万元（数据来源见表23），是指为保障单位机构正常运转、完成日常工作任务而发生的各项支出，包括用于基本工资、津贴补贴等人员经费以及办公费、印刷费、水电费、差旅费等日常公用经费。</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二）项目支出：2023年项目支出年初预算数为323.02万元（数据来源见表20），是指部门为完成特定行政工作任务或事业发展目标而发生的支出，包括有关业务工作经费、运行维护经费、其他事业发展资金等。其中：非税收入征收成本专项支出0.42万元，主要用于</w:t>
      </w:r>
      <w:r>
        <w:rPr>
          <w:rFonts w:hint="default" w:ascii="宋体" w:hAnsi="宋体"/>
          <w:sz w:val="32"/>
          <w:szCs w:val="24"/>
          <w:lang w:eastAsia="zh-CN"/>
        </w:rPr>
        <w:t>开展政工师考试</w:t>
      </w:r>
      <w:r>
        <w:rPr>
          <w:rFonts w:hint="default" w:ascii="宋体" w:hAnsi="宋体"/>
          <w:sz w:val="32"/>
          <w:szCs w:val="24"/>
        </w:rPr>
        <w:t>,国防教育经费专项支出40.00万元，主要用于</w:t>
      </w:r>
      <w:r>
        <w:rPr>
          <w:rFonts w:hint="default" w:ascii="宋体" w:hAnsi="宋体"/>
          <w:sz w:val="32"/>
          <w:szCs w:val="24"/>
          <w:lang w:eastAsia="zh-CN"/>
        </w:rPr>
        <w:t>国防教育</w:t>
      </w:r>
      <w:r>
        <w:rPr>
          <w:rFonts w:hint="default" w:ascii="宋体" w:hAnsi="宋体"/>
          <w:sz w:val="32"/>
          <w:szCs w:val="24"/>
        </w:rPr>
        <w:t>方面,外宣专项经费专项支出31.50万元，主要用于</w:t>
      </w:r>
      <w:r>
        <w:rPr>
          <w:rFonts w:hint="default" w:ascii="宋体" w:hAnsi="宋体"/>
          <w:sz w:val="32"/>
          <w:szCs w:val="24"/>
          <w:lang w:eastAsia="zh-CN"/>
        </w:rPr>
        <w:t>对外宣传</w:t>
      </w:r>
      <w:r>
        <w:rPr>
          <w:rFonts w:hint="default" w:ascii="宋体" w:hAnsi="宋体"/>
          <w:sz w:val="32"/>
          <w:szCs w:val="24"/>
        </w:rPr>
        <w:t>方面,文化事业产业发展专项专项支出16.20万元，主要用于</w:t>
      </w:r>
      <w:r>
        <w:rPr>
          <w:rFonts w:hint="default" w:ascii="宋体" w:hAnsi="宋体"/>
          <w:sz w:val="32"/>
          <w:szCs w:val="24"/>
          <w:lang w:eastAsia="zh-CN"/>
        </w:rPr>
        <w:t>文化事业产业发展</w:t>
      </w:r>
      <w:r>
        <w:rPr>
          <w:rFonts w:hint="default" w:ascii="宋体" w:hAnsi="宋体"/>
          <w:sz w:val="32"/>
          <w:szCs w:val="24"/>
        </w:rPr>
        <w:t>方面,新闻出版工作经费专项支出6.00万元，主要用于</w:t>
      </w:r>
      <w:r>
        <w:rPr>
          <w:rFonts w:hint="default" w:ascii="宋体" w:hAnsi="宋体"/>
          <w:sz w:val="32"/>
          <w:szCs w:val="24"/>
          <w:lang w:eastAsia="zh-CN"/>
        </w:rPr>
        <w:t>新闻出版</w:t>
      </w:r>
      <w:r>
        <w:rPr>
          <w:rFonts w:hint="default" w:ascii="宋体" w:hAnsi="宋体"/>
          <w:sz w:val="32"/>
          <w:szCs w:val="24"/>
        </w:rPr>
        <w:t>方面,新闻舆论工作经费专项支出200.00万元，主要用于</w:t>
      </w:r>
      <w:r>
        <w:rPr>
          <w:rFonts w:hint="default" w:ascii="宋体" w:hAnsi="宋体"/>
          <w:sz w:val="32"/>
          <w:szCs w:val="24"/>
          <w:lang w:eastAsia="zh-CN"/>
        </w:rPr>
        <w:t>新闻舆论工作</w:t>
      </w:r>
      <w:r>
        <w:rPr>
          <w:rFonts w:hint="default" w:ascii="宋体" w:hAnsi="宋体"/>
          <w:sz w:val="32"/>
          <w:szCs w:val="24"/>
        </w:rPr>
        <w:t>方面,学习型党组织建设和理论教育专项经费专项支出28.90万元，主要用于学习型党组织建设和理论教育方面。</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Dialog"/>
          <w:sz w:val="32"/>
          <w:szCs w:val="24"/>
        </w:rPr>
      </w:pPr>
      <w:r>
        <w:rPr>
          <w:rFonts w:hint="default" w:ascii="宋体" w:hAnsi="Dialog"/>
          <w:sz w:val="32"/>
          <w:szCs w:val="24"/>
        </w:rPr>
        <w:t xml:space="preserve">  五、政府性基金预算支出</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2023年度本部门无政府性基金安排的支出，所以公开的附件15-17（政府性基金预算）为空。</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Dialog"/>
          <w:sz w:val="32"/>
          <w:szCs w:val="24"/>
        </w:rPr>
      </w:pPr>
      <w:r>
        <w:rPr>
          <w:rFonts w:hint="default" w:ascii="宋体" w:hAnsi="Dialog"/>
          <w:sz w:val="32"/>
          <w:szCs w:val="24"/>
        </w:rPr>
        <w:t xml:space="preserve">  六、其他重要事项的情况说明</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Dialog"/>
          <w:sz w:val="32"/>
          <w:szCs w:val="24"/>
        </w:rPr>
      </w:pPr>
      <w:r>
        <w:rPr>
          <w:rFonts w:hint="default" w:ascii="宋体" w:hAnsi="Dialog"/>
          <w:sz w:val="32"/>
          <w:szCs w:val="24"/>
        </w:rPr>
        <w:t xml:space="preserve">  （一）机关运行经费</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lang w:eastAsia="zh-CN"/>
        </w:rPr>
      </w:pPr>
      <w:r>
        <w:rPr>
          <w:rFonts w:hint="default" w:ascii="宋体" w:hAnsi="宋体"/>
          <w:sz w:val="32"/>
          <w:szCs w:val="24"/>
        </w:rPr>
        <w:t xml:space="preserve">  本部门2023年机关运行经费当年一般公共预算拨款140.30万元（数据来源见表12），比上一年增加</w:t>
      </w:r>
      <w:r>
        <w:rPr>
          <w:rFonts w:hint="default" w:ascii="宋体" w:hAnsi="宋体"/>
          <w:sz w:val="32"/>
          <w:szCs w:val="24"/>
          <w:lang w:val="en-US" w:eastAsia="zh-CN"/>
        </w:rPr>
        <w:t>33.07</w:t>
      </w:r>
      <w:r>
        <w:rPr>
          <w:rFonts w:hint="default" w:ascii="宋体" w:hAnsi="宋体"/>
          <w:sz w:val="32"/>
          <w:szCs w:val="24"/>
        </w:rPr>
        <w:t>万元，增加</w:t>
      </w:r>
      <w:r>
        <w:rPr>
          <w:rFonts w:hint="default" w:ascii="宋体" w:hAnsi="宋体"/>
          <w:sz w:val="32"/>
          <w:szCs w:val="24"/>
          <w:lang w:val="en-US" w:eastAsia="zh-CN"/>
        </w:rPr>
        <w:t>30.84</w:t>
      </w:r>
      <w:r>
        <w:rPr>
          <w:rFonts w:hint="default" w:ascii="宋体" w:hAnsi="宋体"/>
          <w:sz w:val="32"/>
          <w:szCs w:val="24"/>
        </w:rPr>
        <w:t>%。主要原因是人员</w:t>
      </w:r>
      <w:r>
        <w:rPr>
          <w:rFonts w:hint="default" w:ascii="宋体" w:hAnsi="宋体"/>
          <w:sz w:val="32"/>
          <w:szCs w:val="24"/>
          <w:lang w:eastAsia="zh-CN"/>
        </w:rPr>
        <w:t>异动、职能新增。</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Dialog"/>
          <w:sz w:val="32"/>
          <w:szCs w:val="24"/>
        </w:rPr>
      </w:pPr>
      <w:r>
        <w:rPr>
          <w:rFonts w:hint="default" w:ascii="宋体" w:hAnsi="Dialog"/>
          <w:sz w:val="32"/>
          <w:szCs w:val="24"/>
        </w:rPr>
        <w:t xml:space="preserve">  （二）“三公”经费预算</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cs="Times New Roman"/>
          <w:sz w:val="32"/>
          <w:szCs w:val="24"/>
          <w:lang w:eastAsia="zh-CN"/>
        </w:rPr>
      </w:pPr>
      <w:r>
        <w:rPr>
          <w:rFonts w:hint="default" w:ascii="宋体" w:hAnsi="宋体" w:cs="Times New Roman"/>
          <w:sz w:val="32"/>
          <w:szCs w:val="24"/>
        </w:rPr>
        <w:t xml:space="preserve">  本部门2023年“三公”经费预算数</w:t>
      </w:r>
      <w:r>
        <w:rPr>
          <w:rFonts w:hint="default" w:ascii="宋体" w:hAnsi="宋体" w:cs="Times New Roman"/>
          <w:sz w:val="32"/>
          <w:szCs w:val="24"/>
          <w:lang w:val="en-US" w:eastAsia="zh-CN"/>
        </w:rPr>
        <w:t>55</w:t>
      </w:r>
      <w:r>
        <w:rPr>
          <w:rFonts w:hint="default" w:ascii="宋体" w:hAnsi="宋体" w:cs="Times New Roman"/>
          <w:sz w:val="32"/>
          <w:szCs w:val="24"/>
        </w:rPr>
        <w:t>.00万元（数据来源见表14），其中，公务接待费</w:t>
      </w:r>
      <w:r>
        <w:rPr>
          <w:rFonts w:hint="default" w:ascii="宋体" w:hAnsi="宋体" w:cs="Times New Roman"/>
          <w:sz w:val="32"/>
          <w:szCs w:val="24"/>
          <w:lang w:val="en-US" w:eastAsia="zh-CN"/>
        </w:rPr>
        <w:t>2</w:t>
      </w:r>
      <w:r>
        <w:rPr>
          <w:rFonts w:hint="default" w:ascii="宋体" w:hAnsi="宋体" w:cs="Times New Roman"/>
          <w:sz w:val="32"/>
          <w:szCs w:val="24"/>
        </w:rPr>
        <w:t>7.00万元，因公出国（境）费</w:t>
      </w:r>
      <w:r>
        <w:rPr>
          <w:rFonts w:hint="default" w:ascii="宋体" w:hAnsi="宋体" w:cs="Times New Roman"/>
          <w:sz w:val="32"/>
          <w:szCs w:val="24"/>
          <w:lang w:val="en-US" w:eastAsia="zh-CN"/>
        </w:rPr>
        <w:t>1</w:t>
      </w:r>
      <w:r>
        <w:rPr>
          <w:rFonts w:hint="default" w:ascii="宋体" w:hAnsi="宋体" w:cs="Times New Roman"/>
          <w:sz w:val="32"/>
          <w:szCs w:val="24"/>
        </w:rPr>
        <w:t>0.00万元，公务用车购置及运行费</w:t>
      </w:r>
      <w:r>
        <w:rPr>
          <w:rFonts w:hint="default" w:ascii="宋体" w:hAnsi="宋体" w:cs="Times New Roman"/>
          <w:sz w:val="32"/>
          <w:szCs w:val="24"/>
          <w:lang w:val="en-US" w:eastAsia="zh-CN"/>
        </w:rPr>
        <w:t>18</w:t>
      </w:r>
      <w:r>
        <w:rPr>
          <w:rFonts w:hint="default" w:ascii="宋体" w:hAnsi="宋体" w:cs="Times New Roman"/>
          <w:sz w:val="32"/>
          <w:szCs w:val="24"/>
        </w:rPr>
        <w:t>.00万元（其中，公务用车购置费0.00万元，公务用车运行费</w:t>
      </w:r>
      <w:r>
        <w:rPr>
          <w:rFonts w:hint="default" w:ascii="宋体" w:hAnsi="宋体" w:cs="Times New Roman"/>
          <w:sz w:val="32"/>
          <w:szCs w:val="24"/>
          <w:lang w:val="en-US" w:eastAsia="zh-CN"/>
        </w:rPr>
        <w:t>18</w:t>
      </w:r>
      <w:r>
        <w:rPr>
          <w:rFonts w:hint="default" w:ascii="宋体" w:hAnsi="宋体" w:cs="Times New Roman"/>
          <w:sz w:val="32"/>
          <w:szCs w:val="24"/>
        </w:rPr>
        <w:t>.00万元）。2023年三公经费预算较上年减少</w:t>
      </w:r>
      <w:r>
        <w:rPr>
          <w:rFonts w:hint="default" w:ascii="宋体" w:hAnsi="宋体" w:cs="Times New Roman"/>
          <w:sz w:val="32"/>
          <w:szCs w:val="24"/>
          <w:lang w:val="en-US" w:eastAsia="zh-CN"/>
        </w:rPr>
        <w:t>2</w:t>
      </w:r>
      <w:r>
        <w:rPr>
          <w:rFonts w:hint="default" w:ascii="宋体" w:hAnsi="宋体" w:cs="Times New Roman"/>
          <w:sz w:val="32"/>
          <w:szCs w:val="24"/>
        </w:rPr>
        <w:t>万元，主要原因是厉行节约</w:t>
      </w:r>
      <w:r>
        <w:rPr>
          <w:rFonts w:hint="default" w:ascii="宋体" w:hAnsi="宋体" w:cs="Times New Roman"/>
          <w:sz w:val="32"/>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cs="Times New Roman"/>
          <w:sz w:val="32"/>
          <w:szCs w:val="24"/>
        </w:rPr>
      </w:pPr>
      <w:r>
        <w:rPr>
          <w:rFonts w:hint="default" w:ascii="宋体" w:hAnsi="宋体" w:cs="Times New Roman"/>
          <w:sz w:val="32"/>
          <w:szCs w:val="24"/>
        </w:rPr>
        <w:t xml:space="preserve">  （三）一般性支出情况</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firstLine="320" w:firstLineChars="100"/>
        <w:textAlignment w:val="auto"/>
        <w:rPr>
          <w:rFonts w:hint="eastAsia" w:ascii="宋体" w:hAnsi="宋体" w:cs="Times New Roman"/>
          <w:sz w:val="32"/>
          <w:szCs w:val="24"/>
          <w:lang w:val="en-US" w:eastAsia="zh-CN"/>
        </w:rPr>
      </w:pPr>
      <w:r>
        <w:rPr>
          <w:rFonts w:hint="default" w:ascii="宋体" w:hAnsi="宋体" w:cs="Times New Roman"/>
          <w:sz w:val="32"/>
          <w:szCs w:val="24"/>
        </w:rPr>
        <w:t>2023年度本部门</w:t>
      </w:r>
      <w:r>
        <w:rPr>
          <w:rFonts w:hint="eastAsia" w:ascii="宋体" w:hAnsi="宋体" w:cs="Times New Roman"/>
          <w:sz w:val="32"/>
          <w:szCs w:val="24"/>
          <w:lang w:val="en-US" w:eastAsia="zh-CN"/>
        </w:rPr>
        <w:t>会议费预算3.00万元（数据来源见表13会议费、培训费），拟召开约8次会议，人数约600人次，内容围绕宣传部长会、文明志愿服务、深化文明城市建设、理论中心组学习、意识形态、版权工作等方面；培训费预算0万元，2023年度本部门未计划安排培训，未计划举办节庆、晚会、论坛、赛事活动。</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cs="Times New Roman"/>
          <w:sz w:val="32"/>
          <w:szCs w:val="24"/>
        </w:rPr>
      </w:pPr>
      <w:bookmarkStart w:id="0" w:name="_GoBack"/>
      <w:bookmarkEnd w:id="0"/>
      <w:r>
        <w:rPr>
          <w:rFonts w:hint="default" w:ascii="宋体" w:hAnsi="宋体" w:cs="Times New Roman"/>
          <w:sz w:val="32"/>
          <w:szCs w:val="24"/>
        </w:rPr>
        <w:t xml:space="preserve">  （四）政府采购情况</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cs="Times New Roman"/>
          <w:sz w:val="32"/>
          <w:szCs w:val="24"/>
        </w:rPr>
      </w:pPr>
      <w:r>
        <w:rPr>
          <w:rFonts w:hint="default" w:ascii="宋体" w:hAnsi="宋体" w:cs="Times New Roman"/>
          <w:sz w:val="32"/>
          <w:szCs w:val="24"/>
        </w:rPr>
        <w:t xml:space="preserve">  2023年度本部门未安排政府采购预算。</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cs="Times New Roman"/>
          <w:sz w:val="32"/>
          <w:szCs w:val="24"/>
        </w:rPr>
      </w:pPr>
      <w:r>
        <w:rPr>
          <w:rFonts w:hint="default" w:ascii="宋体" w:hAnsi="宋体" w:cs="Times New Roman"/>
          <w:sz w:val="32"/>
          <w:szCs w:val="24"/>
        </w:rPr>
        <w:t xml:space="preserve">  （五）国有资产占有使用及新增资产配置情况</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截至上年底，本部门共有车辆</w:t>
      </w:r>
      <w:r>
        <w:rPr>
          <w:rFonts w:hint="default" w:ascii="宋体" w:hAnsi="宋体"/>
          <w:sz w:val="32"/>
          <w:szCs w:val="24"/>
          <w:lang w:val="en-US" w:eastAsia="zh-CN"/>
        </w:rPr>
        <w:t>3</w:t>
      </w:r>
      <w:r>
        <w:rPr>
          <w:rFonts w:hint="default" w:ascii="宋体" w:hAnsi="宋体"/>
          <w:sz w:val="32"/>
          <w:szCs w:val="24"/>
        </w:rPr>
        <w:t>辆，其中领导干部用车</w:t>
      </w:r>
      <w:r>
        <w:rPr>
          <w:rFonts w:hint="default" w:ascii="宋体" w:hAnsi="宋体"/>
          <w:sz w:val="32"/>
          <w:szCs w:val="24"/>
          <w:lang w:val="en-US" w:eastAsia="zh-CN"/>
        </w:rPr>
        <w:t>0</w:t>
      </w:r>
      <w:r>
        <w:rPr>
          <w:rFonts w:hint="default" w:ascii="宋体" w:hAnsi="宋体"/>
          <w:sz w:val="32"/>
          <w:szCs w:val="24"/>
        </w:rPr>
        <w:t>辆，一般公务用车</w:t>
      </w:r>
      <w:r>
        <w:rPr>
          <w:rFonts w:hint="default" w:ascii="宋体" w:hAnsi="宋体"/>
          <w:sz w:val="32"/>
          <w:szCs w:val="24"/>
          <w:lang w:val="en-US" w:eastAsia="zh-CN"/>
        </w:rPr>
        <w:t>3</w:t>
      </w:r>
      <w:r>
        <w:rPr>
          <w:rFonts w:hint="default" w:ascii="宋体" w:hAnsi="宋体"/>
          <w:sz w:val="32"/>
          <w:szCs w:val="24"/>
        </w:rPr>
        <w:t>辆，其他用车</w:t>
      </w:r>
      <w:r>
        <w:rPr>
          <w:rFonts w:hint="default" w:ascii="宋体" w:hAnsi="宋体"/>
          <w:sz w:val="32"/>
          <w:szCs w:val="24"/>
          <w:lang w:val="en-US" w:eastAsia="zh-CN"/>
        </w:rPr>
        <w:t>0</w:t>
      </w:r>
      <w:r>
        <w:rPr>
          <w:rFonts w:hint="default" w:ascii="宋体" w:hAnsi="宋体"/>
          <w:sz w:val="32"/>
          <w:szCs w:val="24"/>
        </w:rPr>
        <w:t>辆。单位价值50万元以上通用设备</w:t>
      </w:r>
      <w:r>
        <w:rPr>
          <w:rFonts w:hint="default" w:ascii="宋体" w:hAnsi="宋体"/>
          <w:sz w:val="32"/>
          <w:szCs w:val="24"/>
          <w:lang w:val="en-US" w:eastAsia="zh-CN"/>
        </w:rPr>
        <w:t>0</w:t>
      </w:r>
      <w:r>
        <w:rPr>
          <w:rFonts w:hint="default" w:ascii="宋体" w:hAnsi="宋体"/>
          <w:sz w:val="32"/>
          <w:szCs w:val="24"/>
        </w:rPr>
        <w:t>台，单位价值100万元以上专用设备</w:t>
      </w:r>
      <w:r>
        <w:rPr>
          <w:rFonts w:hint="default" w:ascii="宋体" w:hAnsi="宋体"/>
          <w:sz w:val="32"/>
          <w:szCs w:val="24"/>
          <w:lang w:val="en-US" w:eastAsia="zh-CN"/>
        </w:rPr>
        <w:t>0</w:t>
      </w:r>
      <w:r>
        <w:rPr>
          <w:rFonts w:hint="default" w:ascii="宋体" w:hAnsi="宋体"/>
          <w:sz w:val="32"/>
          <w:szCs w:val="24"/>
        </w:rPr>
        <w:t xml:space="preserve">台。 </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firstLine="320" w:firstLineChars="100"/>
        <w:textAlignment w:val="auto"/>
        <w:rPr>
          <w:rFonts w:hint="default" w:ascii="宋体" w:hAnsi="宋体"/>
          <w:sz w:val="32"/>
          <w:szCs w:val="24"/>
        </w:rPr>
      </w:pPr>
      <w:r>
        <w:rPr>
          <w:rFonts w:hint="default" w:ascii="宋体" w:hAnsi="宋体"/>
          <w:sz w:val="32"/>
          <w:szCs w:val="24"/>
        </w:rPr>
        <w:t>2023年度本部门未计划处置或新增车辆、设备等。</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textAlignment w:val="auto"/>
        <w:rPr>
          <w:rFonts w:hint="default" w:ascii="宋体" w:hAnsi="Dialog"/>
          <w:sz w:val="32"/>
          <w:szCs w:val="24"/>
        </w:rPr>
      </w:pPr>
      <w:r>
        <w:rPr>
          <w:rFonts w:hint="default" w:ascii="宋体" w:hAnsi="Dialog"/>
          <w:sz w:val="32"/>
          <w:szCs w:val="24"/>
        </w:rPr>
        <w:t xml:space="preserve"> （六）预算绩效目标说明</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本部门所有支出实行绩效目标管理。纳入2023年部门整体支出绩效目标的金额为1158.60万元，其中，基本支出835.58万元，项目支出323.02万元，详见文尾附表中部门预算公开表格的表21-22。</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Dialog"/>
          <w:sz w:val="32"/>
          <w:szCs w:val="24"/>
        </w:rPr>
      </w:pPr>
      <w:r>
        <w:rPr>
          <w:rFonts w:hint="default" w:ascii="宋体" w:hAnsi="Dialog"/>
          <w:sz w:val="32"/>
          <w:szCs w:val="24"/>
        </w:rPr>
        <w:t xml:space="preserve">  七、名词解释</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beforeLines="0" w:afterLines="0" w:line="480" w:lineRule="exact"/>
        <w:ind w:left="20"/>
        <w:textAlignment w:val="auto"/>
        <w:rPr>
          <w:rFonts w:hint="default" w:ascii="宋体" w:hAnsi="宋体"/>
          <w:sz w:val="32"/>
          <w:szCs w:val="24"/>
        </w:rPr>
      </w:pPr>
      <w:r>
        <w:rPr>
          <w:rFonts w:hint="default" w:ascii="宋体" w:hAnsi="宋体"/>
          <w:sz w:val="32"/>
          <w:szCs w:val="24"/>
        </w:rPr>
        <w:t xml:space="preserve">  2、“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textAlignment w:val="auto"/>
        <w:rPr>
          <w:rFonts w:hint="default"/>
          <w:sz w:val="24"/>
          <w:szCs w:val="24"/>
        </w:rPr>
      </w:pPr>
    </w:p>
    <w:p>
      <w:pPr>
        <w:keepNext w:val="0"/>
        <w:keepLines w:val="0"/>
        <w:pageBreakBefore/>
        <w:widowControl w:val="0"/>
        <w:kinsoku/>
        <w:wordWrap/>
        <w:overflowPunct/>
        <w:topLinePunct w:val="0"/>
        <w:autoSpaceDE w:val="0"/>
        <w:autoSpaceDN w:val="0"/>
        <w:bidi w:val="0"/>
        <w:adjustRightInd w:val="0"/>
        <w:snapToGrid/>
        <w:spacing w:beforeLines="0" w:afterLines="0" w:line="500" w:lineRule="exact"/>
        <w:textAlignment w:val="auto"/>
        <w:rPr>
          <w:rFonts w:hint="default"/>
          <w:sz w:val="24"/>
          <w:szCs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jc w:val="center"/>
        <w:textAlignment w:val="auto"/>
        <w:rPr>
          <w:rFonts w:hint="default" w:ascii="宋体" w:hAnsi="Dialog" w:cs="Times New Roman"/>
          <w:b/>
          <w:bCs/>
          <w:color w:val="000000"/>
          <w:sz w:val="36"/>
          <w:szCs w:val="36"/>
        </w:rPr>
      </w:pPr>
      <w:r>
        <w:rPr>
          <w:rFonts w:hint="default" w:ascii="宋体" w:hAnsi="Dialog" w:cs="Times New Roman"/>
          <w:b/>
          <w:bCs/>
          <w:color w:val="000000"/>
          <w:sz w:val="36"/>
          <w:szCs w:val="36"/>
        </w:rPr>
        <w:t>第二部分  2023年部门预算公开表格</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1、收支总表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2、收入总表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3、支出总表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4、支出预算分类汇总表（按政府预算经济分类）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5、支出预算分类汇总表（按部门预算经济分类）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6、财政拨款收支总表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7、一般公共预算支出表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8、一般公共预算基本支出表-人员经费（工资福利支出）（按政府预算经济分类）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9、一般公共预算基本支出表-人员经费（工资福利支出）（按部门预算经济分类）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10、一般公共预算基本支出表-人员经费（对个人和家庭的补助）（按政府预算经济分类）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11、一般公共预算基本支出表-人员经费（对个人和家庭的补助）（按部门预算经济分类）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12、一般公共预算基本支出表-公用经费（商品和服务支出）（按政府预算经济分类）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13、一般公共预算基本支出表-公用经费（商品和服务支出）（按部门预算经济分类）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14、一般公共预算“三公”经费支出表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15、政府性基金预算支出表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16、政府性基金预算支出分类汇总表（按政府预算经济分类）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17、政府性基金预算支出分类汇总表（按部门预算经济分类）</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18、国有资本经营预算支出表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19、财政专户管理资金预算支出表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20、专项资金预算汇总表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21、项目支出绩效目标表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22、部门整体支出绩效目标表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sz w:val="32"/>
          <w:szCs w:val="24"/>
        </w:rPr>
      </w:pPr>
      <w:r>
        <w:rPr>
          <w:rFonts w:hint="default" w:ascii="宋体" w:hAnsi="宋体"/>
          <w:sz w:val="32"/>
          <w:szCs w:val="24"/>
        </w:rPr>
        <w:t>23、一般公共预算基本支出表</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ind w:left="20"/>
        <w:textAlignment w:val="auto"/>
        <w:rPr>
          <w:rFonts w:hint="default" w:ascii="宋体" w:hAnsi="宋体"/>
          <w:color w:val="FF0000"/>
          <w:sz w:val="32"/>
          <w:szCs w:val="24"/>
        </w:rPr>
      </w:pPr>
      <w:r>
        <w:rPr>
          <w:rFonts w:hint="default" w:ascii="宋体" w:hAnsi="宋体"/>
          <w:b/>
          <w:color w:val="FF0000"/>
          <w:sz w:val="32"/>
          <w:szCs w:val="24"/>
        </w:rPr>
        <w:t>注：以上部门预算公开报表中，空表表示本部门无相关收支情况。</w:t>
      </w:r>
    </w:p>
    <w:p>
      <w:pPr>
        <w:keepNext w:val="0"/>
        <w:keepLines w:val="0"/>
        <w:pageBreakBefore w:val="0"/>
        <w:widowControl w:val="0"/>
        <w:kinsoku/>
        <w:wordWrap/>
        <w:overflowPunct/>
        <w:topLinePunct w:val="0"/>
        <w:autoSpaceDE w:val="0"/>
        <w:autoSpaceDN w:val="0"/>
        <w:bidi w:val="0"/>
        <w:adjustRightInd w:val="0"/>
        <w:snapToGrid/>
        <w:spacing w:beforeLines="0" w:afterLines="0" w:line="500" w:lineRule="exact"/>
        <w:textAlignment w:val="auto"/>
        <w:rPr>
          <w:rFonts w:hint="default"/>
          <w:sz w:val="24"/>
          <w:szCs w:val="24"/>
        </w:rPr>
      </w:pPr>
    </w:p>
    <w:sectPr>
      <w:footerReference r:id="rId4" w:type="default"/>
      <w:pgSz w:w="16838" w:h="11905" w:orient="landscape"/>
      <w:pgMar w:top="1417" w:right="1134" w:bottom="1134" w:left="1134" w:header="720" w:footer="720" w:gutter="0"/>
      <w:lnNumType w:countBy="0" w:distance="360"/>
      <w:pgNumType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Dialog">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MGFmMTJjZDc5MTY3YTY1N2I2YTE3ZGU3YTY2NDUifQ=="/>
    <w:docVar w:name="KSO_WPS_MARK_KEY" w:val="e39baaaf-c257-45a6-b492-39debb0adbe3"/>
  </w:docVars>
  <w:rsids>
    <w:rsidRoot w:val="00172A27"/>
    <w:rsid w:val="1AB6A822"/>
    <w:rsid w:val="25E45536"/>
    <w:rsid w:val="27750903"/>
    <w:rsid w:val="36F55909"/>
    <w:rsid w:val="484A5651"/>
    <w:rsid w:val="4A58367B"/>
    <w:rsid w:val="519FC868"/>
    <w:rsid w:val="55241835"/>
    <w:rsid w:val="63607CB2"/>
    <w:rsid w:val="67596B0C"/>
    <w:rsid w:val="6AB87AD0"/>
    <w:rsid w:val="6DF37002"/>
    <w:rsid w:val="7ADCD366"/>
    <w:rsid w:val="7FEB9FA1"/>
    <w:rsid w:val="7FFD45E7"/>
    <w:rsid w:val="DDFEB566"/>
    <w:rsid w:val="FEFFB8DF"/>
    <w:rsid w:val="FF7F79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Arial" w:hAnsi="Arial" w:eastAsia="宋体" w:cs="Times New Roman"/>
      <w:color w:val="000000"/>
      <w:sz w:val="24"/>
      <w:szCs w:val="24"/>
    </w:rPr>
  </w:style>
  <w:style w:type="paragraph" w:styleId="3">
    <w:name w:val="heading 1"/>
    <w:next w:val="1"/>
    <w:unhideWhenUsed/>
    <w:qFormat/>
    <w:uiPriority w:val="99"/>
    <w:pPr>
      <w:widowControl w:val="0"/>
      <w:autoSpaceDE w:val="0"/>
      <w:autoSpaceDN w:val="0"/>
      <w:adjustRightInd w:val="0"/>
      <w:spacing w:beforeLines="0" w:afterLines="0"/>
    </w:pPr>
    <w:rPr>
      <w:rFonts w:hint="default" w:ascii="Arial" w:hAnsi="Arial" w:eastAsia="宋体" w:cs="Times New Roman"/>
      <w:b/>
      <w:color w:val="000000"/>
      <w:sz w:val="32"/>
      <w:szCs w:val="24"/>
    </w:rPr>
  </w:style>
  <w:style w:type="paragraph" w:styleId="4">
    <w:name w:val="heading 2"/>
    <w:next w:val="1"/>
    <w:unhideWhenUsed/>
    <w:qFormat/>
    <w:uiPriority w:val="99"/>
    <w:pPr>
      <w:widowControl w:val="0"/>
      <w:autoSpaceDE w:val="0"/>
      <w:autoSpaceDN w:val="0"/>
      <w:adjustRightInd w:val="0"/>
      <w:spacing w:beforeLines="0" w:afterLines="0"/>
    </w:pPr>
    <w:rPr>
      <w:rFonts w:hint="default" w:ascii="Arial" w:hAnsi="Arial" w:eastAsia="宋体" w:cs="Times New Roman"/>
      <w:b/>
      <w:i/>
      <w:color w:val="000000"/>
      <w:sz w:val="28"/>
      <w:szCs w:val="24"/>
    </w:rPr>
  </w:style>
  <w:style w:type="paragraph" w:styleId="5">
    <w:name w:val="heading 3"/>
    <w:next w:val="1"/>
    <w:unhideWhenUsed/>
    <w:qFormat/>
    <w:uiPriority w:val="99"/>
    <w:pPr>
      <w:widowControl w:val="0"/>
      <w:autoSpaceDE w:val="0"/>
      <w:autoSpaceDN w:val="0"/>
      <w:adjustRightInd w:val="0"/>
      <w:spacing w:beforeLines="0" w:afterLines="0"/>
    </w:pPr>
    <w:rPr>
      <w:rFonts w:hint="default" w:ascii="Arial" w:hAnsi="Arial" w:eastAsia="宋体" w:cs="Times New Roman"/>
      <w:b/>
      <w:color w:val="000000"/>
      <w:sz w:val="26"/>
      <w:szCs w:val="24"/>
    </w:rPr>
  </w:style>
  <w:style w:type="character" w:default="1" w:styleId="9">
    <w:name w:val="Default Paragraph Font"/>
    <w:unhideWhenUsed/>
    <w:qFormat/>
    <w:uiPriority w:val="99"/>
    <w:rPr>
      <w:rFonts w:hint="default"/>
      <w:sz w:val="24"/>
      <w:szCs w:val="24"/>
    </w:rPr>
  </w:style>
  <w:style w:type="table" w:default="1" w:styleId="8">
    <w:name w:val="Normal Table"/>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beforeLines="0" w:after="200" w:afterLines="0" w:line="276" w:lineRule="auto"/>
    </w:pPr>
    <w:rPr>
      <w:rFonts w:hint="default"/>
      <w:sz w:val="24"/>
      <w:szCs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2024-03-28T00:32:00Z</dcterms:created>
  <dc:creator>Administrator</dc:creator>
  <cp:lastModifiedBy>German Phillip</cp:lastModifiedBy>
  <cp:lastPrinted>2024-04-02T11:40:00Z</cp:lastPrinted>
  <dcterms:modified xsi:type="dcterms:W3CDTF">2024-07-17T07:05:00Z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1127CC32ADAD411780FF1A5E49CE72C2_13</vt:lpwstr>
  </property>
</Properties>
</file>