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default"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25.07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color w:val="FF0000"/>
                <w:sz w:val="20"/>
                <w:szCs w:val="20"/>
                <w:highlight w:val="none"/>
                <w:lang w:val="en-US" w:eastAsia="zh-CN"/>
              </w:rPr>
              <w:t>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color w:val="FF0000"/>
                <w:sz w:val="20"/>
                <w:szCs w:val="20"/>
                <w:highlight w:val="none"/>
                <w:lang w:val="en-US" w:eastAsia="zh-CN"/>
              </w:rPr>
              <w:t>7.98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lang w:val="en-US" w:eastAsia="zh-CN"/>
              </w:rPr>
              <w:t>21.1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4.34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lang w:val="en-US" w:eastAsia="zh-CN"/>
              </w:rPr>
              <w:t>21.1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4.34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lang w:val="en-US" w:eastAsia="zh-CN"/>
              </w:rPr>
              <w:t>3.97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3.64</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lang w:val="en-US" w:eastAsia="zh-CN"/>
              </w:rPr>
              <w:t>247.85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760.4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lang w:val="en-US" w:eastAsia="zh-CN"/>
              </w:rPr>
              <w:t>247.85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rPr>
            </w:pPr>
            <w:r>
              <w:rPr>
                <w:rFonts w:hint="eastAsia" w:ascii="仿宋_GB2312" w:hAnsi="仿宋_GB2312" w:eastAsia="仿宋_GB2312" w:cs="仿宋_GB2312"/>
                <w:sz w:val="18"/>
                <w:szCs w:val="18"/>
                <w:highlight w:val="none"/>
                <w:lang w:val="en-US" w:eastAsia="zh-CN"/>
              </w:rPr>
              <w:t>760.4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color w:val="FF0000"/>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FF0000"/>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left="0" w:leftChars="0" w:right="0" w:rightChars="0" w:firstLine="0" w:firstLine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FF0000"/>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FF0000"/>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8"/>
                <w:szCs w:val="18"/>
                <w:highlight w:val="none"/>
                <w:lang w:val="en-US" w:eastAsia="zh-CN"/>
              </w:rPr>
              <w:t>8.45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8"/>
                <w:szCs w:val="18"/>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8"/>
                <w:szCs w:val="18"/>
                <w:highlight w:val="none"/>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8.45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17.59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13.14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color w:val="FF0000"/>
                <w:sz w:val="20"/>
                <w:szCs w:val="20"/>
                <w:highlight w:val="none"/>
                <w:lang w:val="en-US" w:eastAsia="zh-CN"/>
              </w:rPr>
              <w:t>740.4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color w:val="FF0000"/>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8"/>
                <w:szCs w:val="18"/>
                <w:highlight w:val="none"/>
                <w:lang w:val="en-US" w:eastAsia="zh-CN"/>
              </w:rPr>
              <w:t>——</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8"/>
                <w:szCs w:val="18"/>
                <w:highlight w:val="none"/>
                <w:lang w:val="en-US" w:eastAsia="zh-CN"/>
              </w:rPr>
              <w:t>——</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8"/>
                <w:szCs w:val="18"/>
                <w:highlight w:val="none"/>
                <w:lang w:val="en-US" w:eastAsia="zh-CN"/>
              </w:rPr>
              <w:t>——</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8"/>
                <w:szCs w:val="18"/>
                <w:highlight w:val="none"/>
                <w:lang w:val="en-US" w:eastAsia="zh-CN"/>
              </w:rPr>
              <w:t>——</w:t>
            </w:r>
          </w:p>
        </w:tc>
      </w:tr>
      <w:tr>
        <w:tblPrEx>
          <w:tblCellMar>
            <w:top w:w="0" w:type="dxa"/>
            <w:left w:w="108" w:type="dxa"/>
            <w:bottom w:w="0" w:type="dxa"/>
            <w:right w:w="108" w:type="dxa"/>
          </w:tblCellMar>
        </w:tblPrEx>
        <w:trPr>
          <w:trHeight w:val="55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张憬然</w:t>
      </w:r>
      <w:r>
        <w:rPr>
          <w:rFonts w:hint="default" w:ascii="Times New Roman" w:hAnsi="Times New Roman" w:eastAsia="仿宋_GB2312" w:cs="Times New Roman"/>
          <w:sz w:val="22"/>
          <w:highlight w:val="none"/>
        </w:rPr>
        <w:t xml:space="preserve">    填报日期：    联系电话：</w:t>
      </w:r>
      <w:r>
        <w:rPr>
          <w:rFonts w:hint="eastAsia" w:ascii="Times New Roman" w:hAnsi="Times New Roman" w:eastAsia="仿宋_GB2312" w:cs="Times New Roman"/>
          <w:sz w:val="22"/>
          <w:highlight w:val="none"/>
          <w:lang w:val="en-US" w:eastAsia="zh-CN"/>
        </w:rPr>
        <w:t>8880477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315" w:type="dxa"/>
        <w:jc w:val="center"/>
        <w:tblLayout w:type="fixed"/>
        <w:tblCellMar>
          <w:top w:w="0" w:type="dxa"/>
          <w:left w:w="108" w:type="dxa"/>
          <w:bottom w:w="0" w:type="dxa"/>
          <w:right w:w="108" w:type="dxa"/>
        </w:tblCellMar>
      </w:tblPr>
      <w:tblGrid>
        <w:gridCol w:w="553"/>
        <w:gridCol w:w="527"/>
        <w:gridCol w:w="553"/>
        <w:gridCol w:w="1077"/>
        <w:gridCol w:w="1898"/>
        <w:gridCol w:w="789"/>
        <w:gridCol w:w="786"/>
        <w:gridCol w:w="550"/>
        <w:gridCol w:w="850"/>
        <w:gridCol w:w="336"/>
        <w:gridCol w:w="674"/>
        <w:gridCol w:w="144"/>
        <w:gridCol w:w="516"/>
        <w:gridCol w:w="180"/>
        <w:gridCol w:w="882"/>
      </w:tblGrid>
      <w:tr>
        <w:tblPrEx>
          <w:tblCellMar>
            <w:top w:w="0" w:type="dxa"/>
            <w:left w:w="108" w:type="dxa"/>
            <w:bottom w:w="0" w:type="dxa"/>
            <w:right w:w="108" w:type="dxa"/>
          </w:tblCellMar>
        </w:tblPrEx>
        <w:trPr>
          <w:jc w:val="center"/>
        </w:trPr>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235"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岳阳市发展和改革委员会</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63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89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57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40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101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40"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88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3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89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1996.69</w:t>
            </w:r>
          </w:p>
        </w:tc>
        <w:tc>
          <w:tcPr>
            <w:tcW w:w="157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3831.83</w:t>
            </w:r>
          </w:p>
        </w:tc>
        <w:tc>
          <w:tcPr>
            <w:tcW w:w="1400"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3831.83</w:t>
            </w:r>
          </w:p>
        </w:tc>
        <w:tc>
          <w:tcPr>
            <w:tcW w:w="101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40"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88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gridSpan w:val="2"/>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653"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582"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gridSpan w:val="2"/>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653"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3686.96</w:t>
            </w:r>
          </w:p>
        </w:tc>
        <w:tc>
          <w:tcPr>
            <w:tcW w:w="3582"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3071.43</w:t>
            </w:r>
          </w:p>
        </w:tc>
      </w:tr>
      <w:tr>
        <w:tblPrEx>
          <w:tblCellMar>
            <w:top w:w="0" w:type="dxa"/>
            <w:left w:w="108" w:type="dxa"/>
            <w:bottom w:w="0" w:type="dxa"/>
            <w:right w:w="108" w:type="dxa"/>
          </w:tblCellMar>
        </w:tblPrEx>
        <w:trPr>
          <w:jc w:val="center"/>
        </w:trPr>
        <w:tc>
          <w:tcPr>
            <w:tcW w:w="1080" w:type="dxa"/>
            <w:gridSpan w:val="2"/>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653" w:type="dxa"/>
            <w:gridSpan w:val="6"/>
            <w:tcBorders>
              <w:top w:val="nil"/>
              <w:left w:val="nil"/>
              <w:bottom w:val="single" w:color="auto" w:sz="4" w:space="0"/>
              <w:right w:val="single" w:color="auto" w:sz="4" w:space="0"/>
            </w:tcBorders>
            <w:noWrap w:val="0"/>
            <w:vAlign w:val="center"/>
          </w:tcPr>
          <w:p>
            <w:pPr>
              <w:widowControl/>
              <w:spacing w:line="240" w:lineRule="exact"/>
              <w:ind w:firstLine="1000" w:firstLineChars="5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3582" w:type="dxa"/>
            <w:gridSpan w:val="7"/>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760.4</w:t>
            </w:r>
          </w:p>
        </w:tc>
      </w:tr>
      <w:tr>
        <w:tblPrEx>
          <w:tblCellMar>
            <w:top w:w="0" w:type="dxa"/>
            <w:left w:w="108" w:type="dxa"/>
            <w:bottom w:w="0" w:type="dxa"/>
            <w:right w:w="108" w:type="dxa"/>
          </w:tblCellMar>
        </w:tblPrEx>
        <w:trPr>
          <w:jc w:val="center"/>
        </w:trPr>
        <w:tc>
          <w:tcPr>
            <w:tcW w:w="1080" w:type="dxa"/>
            <w:gridSpan w:val="2"/>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653" w:type="dxa"/>
            <w:gridSpan w:val="6"/>
            <w:tcBorders>
              <w:top w:val="nil"/>
              <w:left w:val="nil"/>
              <w:bottom w:val="single" w:color="auto" w:sz="4" w:space="0"/>
              <w:right w:val="single" w:color="auto" w:sz="4" w:space="0"/>
            </w:tcBorders>
            <w:noWrap w:val="0"/>
            <w:vAlign w:val="center"/>
          </w:tcPr>
          <w:p>
            <w:pPr>
              <w:widowControl/>
              <w:spacing w:line="240" w:lineRule="exact"/>
              <w:ind w:firstLine="1000" w:firstLineChars="5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3582"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gridSpan w:val="2"/>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653" w:type="dxa"/>
            <w:gridSpan w:val="6"/>
            <w:tcBorders>
              <w:top w:val="nil"/>
              <w:left w:val="nil"/>
              <w:bottom w:val="single" w:color="auto" w:sz="4" w:space="0"/>
              <w:right w:val="single" w:color="auto" w:sz="4" w:space="0"/>
            </w:tcBorders>
            <w:noWrap w:val="0"/>
            <w:vAlign w:val="center"/>
          </w:tcPr>
          <w:p>
            <w:pPr>
              <w:widowControl/>
              <w:spacing w:line="240" w:lineRule="exact"/>
              <w:ind w:firstLine="1000" w:firstLineChars="5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144.87</w:t>
            </w:r>
          </w:p>
        </w:tc>
        <w:tc>
          <w:tcPr>
            <w:tcW w:w="3582"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 w:hRule="atLeast"/>
          <w:jc w:val="center"/>
        </w:trPr>
        <w:tc>
          <w:tcPr>
            <w:tcW w:w="1080" w:type="dxa"/>
            <w:gridSpan w:val="2"/>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7657" w:type="dxa"/>
            <w:gridSpan w:val="10"/>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157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7657" w:type="dxa"/>
            <w:gridSpan w:val="10"/>
            <w:tcBorders>
              <w:top w:val="single" w:color="auto" w:sz="4" w:space="0"/>
              <w:left w:val="nil"/>
              <w:bottom w:val="single" w:color="auto"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336" w:firstLineChars="200"/>
              <w:jc w:val="both"/>
              <w:textAlignment w:val="auto"/>
              <w:rPr>
                <w:rFonts w:hint="eastAsia"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kern w:val="2"/>
                <w:sz w:val="18"/>
                <w:szCs w:val="18"/>
                <w:lang w:val="en-US" w:eastAsia="zh-CN"/>
              </w:rPr>
              <w:t>加强宏观谋划，统筹调度和</w:t>
            </w:r>
            <w:r>
              <w:rPr>
                <w:rFonts w:hint="eastAsia" w:asciiTheme="minorEastAsia" w:hAnsiTheme="minorEastAsia" w:eastAsiaTheme="minorEastAsia" w:cstheme="minorEastAsia"/>
                <w:b w:val="0"/>
                <w:bCs/>
                <w:spacing w:val="-6"/>
                <w:sz w:val="18"/>
                <w:szCs w:val="18"/>
                <w:lang w:val="en-US" w:eastAsia="zh-CN"/>
              </w:rPr>
              <w:t>督导考核，加强经济运行调度和主要经济指标监测，强化考核结果运用，打好经济增长主动仗。</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eastAsia" w:asciiTheme="minorEastAsia" w:hAnsiTheme="minorEastAsia" w:eastAsiaTheme="minorEastAsia" w:cstheme="minorEastAsia"/>
                <w:b w:val="0"/>
                <w:bCs/>
                <w:color w:val="000000"/>
                <w:spacing w:val="-6"/>
                <w:kern w:val="0"/>
                <w:sz w:val="18"/>
                <w:szCs w:val="18"/>
                <w:shd w:val="clear" w:color="auto" w:fill="FFFFFF"/>
                <w:lang w:val="en-US" w:eastAsia="zh-CN"/>
              </w:rPr>
            </w:pPr>
            <w:r>
              <w:rPr>
                <w:rFonts w:hint="eastAsia" w:asciiTheme="minorEastAsia" w:hAnsiTheme="minorEastAsia" w:eastAsiaTheme="minorEastAsia" w:cstheme="minorEastAsia"/>
                <w:b w:val="0"/>
                <w:bCs/>
                <w:spacing w:val="-6"/>
                <w:sz w:val="18"/>
                <w:szCs w:val="18"/>
                <w:lang w:val="en-US" w:eastAsia="zh-CN"/>
              </w:rPr>
              <w:t>落实</w:t>
            </w:r>
            <w:r>
              <w:rPr>
                <w:rFonts w:hint="eastAsia" w:asciiTheme="minorEastAsia" w:hAnsiTheme="minorEastAsia" w:eastAsiaTheme="minorEastAsia" w:cstheme="minorEastAsia"/>
                <w:b w:val="0"/>
                <w:bCs/>
                <w:spacing w:val="-6"/>
                <w:sz w:val="18"/>
                <w:szCs w:val="18"/>
              </w:rPr>
              <w:t>“项目建设年行动方案”，推动乙烯炼化一体化项目</w:t>
            </w:r>
            <w:r>
              <w:rPr>
                <w:rFonts w:hint="eastAsia" w:asciiTheme="minorEastAsia" w:hAnsiTheme="minorEastAsia" w:eastAsiaTheme="minorEastAsia" w:cstheme="minorEastAsia"/>
                <w:b w:val="0"/>
                <w:bCs/>
                <w:spacing w:val="-6"/>
                <w:sz w:val="18"/>
                <w:szCs w:val="18"/>
                <w:lang w:eastAsia="zh-CN"/>
              </w:rPr>
              <w:t>和</w:t>
            </w:r>
            <w:r>
              <w:rPr>
                <w:rFonts w:hint="eastAsia" w:asciiTheme="minorEastAsia" w:hAnsiTheme="minorEastAsia" w:eastAsiaTheme="minorEastAsia" w:cstheme="minorEastAsia"/>
                <w:b w:val="0"/>
                <w:bCs/>
                <w:spacing w:val="-6"/>
                <w:sz w:val="18"/>
                <w:szCs w:val="18"/>
              </w:rPr>
              <w:t>己内酰胺项目建设</w:t>
            </w:r>
            <w:r>
              <w:rPr>
                <w:rFonts w:hint="eastAsia" w:asciiTheme="minorEastAsia" w:hAnsiTheme="minorEastAsia" w:eastAsiaTheme="minorEastAsia" w:cstheme="minorEastAsia"/>
                <w:b w:val="0"/>
                <w:bCs/>
                <w:spacing w:val="-6"/>
                <w:sz w:val="18"/>
                <w:szCs w:val="18"/>
                <w:lang w:val="en-US" w:eastAsia="zh-CN"/>
              </w:rPr>
              <w:t>，</w:t>
            </w:r>
            <w:r>
              <w:rPr>
                <w:rFonts w:hint="eastAsia" w:asciiTheme="minorEastAsia" w:hAnsiTheme="minorEastAsia" w:eastAsiaTheme="minorEastAsia" w:cstheme="minorEastAsia"/>
                <w:b w:val="0"/>
                <w:bCs/>
                <w:spacing w:val="-6"/>
                <w:sz w:val="18"/>
                <w:szCs w:val="18"/>
              </w:rPr>
              <w:t>打造中部最大石化产业基地</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rPr>
              <w:t>建设中部地区综合能源基地</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rPr>
              <w:t>科学编制实施2023年市本级政府投资项目计划。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336" w:firstLineChars="200"/>
              <w:jc w:val="both"/>
              <w:textAlignment w:val="auto"/>
              <w:rPr>
                <w:rFonts w:hint="eastAsia"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sz w:val="18"/>
                <w:szCs w:val="18"/>
              </w:rPr>
              <w:t>滚动充实2023年项目储备库</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rPr>
              <w:t>积极争取中央预算内、专项债等资金支持</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kern w:val="2"/>
                <w:sz w:val="18"/>
                <w:szCs w:val="18"/>
                <w:lang w:val="en-US" w:eastAsia="zh-CN" w:bidi="ar-SA"/>
              </w:rPr>
              <w:t>精细调度推进项目</w:t>
            </w:r>
            <w:r>
              <w:rPr>
                <w:rFonts w:hint="eastAsia" w:asciiTheme="minorEastAsia" w:hAnsiTheme="minorEastAsia" w:eastAsiaTheme="minorEastAsia" w:cstheme="minorEastAsia"/>
                <w:b w:val="0"/>
                <w:bCs/>
                <w:spacing w:val="-6"/>
                <w:sz w:val="18"/>
                <w:szCs w:val="18"/>
                <w:lang w:val="en-US" w:eastAsia="zh-CN"/>
              </w:rPr>
              <w:t>，形成</w:t>
            </w:r>
            <w:r>
              <w:rPr>
                <w:rFonts w:hint="eastAsia" w:asciiTheme="minorEastAsia" w:hAnsiTheme="minorEastAsia" w:eastAsiaTheme="minorEastAsia" w:cstheme="minorEastAsia"/>
                <w:b w:val="0"/>
                <w:bCs/>
                <w:spacing w:val="-6"/>
                <w:sz w:val="18"/>
                <w:szCs w:val="18"/>
              </w:rPr>
              <w:t>更多实物工作量。</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kern w:val="2"/>
                <w:sz w:val="18"/>
                <w:szCs w:val="18"/>
                <w:lang w:val="en-US" w:eastAsia="zh-CN" w:bidi="ar-SA"/>
              </w:rPr>
            </w:pPr>
            <w:r>
              <w:rPr>
                <w:rFonts w:hint="default" w:asciiTheme="minorEastAsia" w:hAnsiTheme="minorEastAsia" w:eastAsiaTheme="minorEastAsia" w:cstheme="minorEastAsia"/>
                <w:b w:val="0"/>
                <w:bCs/>
                <w:spacing w:val="-6"/>
                <w:kern w:val="2"/>
                <w:sz w:val="18"/>
                <w:szCs w:val="18"/>
                <w:lang w:val="en-US" w:eastAsia="zh-CN" w:bidi="ar-SA"/>
              </w:rPr>
              <w:t>发挥综合协调、调度督导作用，提升园区发展质量、效益，推动园区特色化差异化。开展重点园区“赛马比拼”行动</w:t>
            </w:r>
            <w:r>
              <w:rPr>
                <w:rFonts w:hint="eastAsia" w:asciiTheme="minorEastAsia" w:hAnsiTheme="minorEastAsia" w:eastAsiaTheme="minorEastAsia" w:cstheme="minorEastAsia"/>
                <w:b w:val="0"/>
                <w:bCs/>
                <w:spacing w:val="-6"/>
                <w:kern w:val="2"/>
                <w:sz w:val="18"/>
                <w:szCs w:val="18"/>
                <w:lang w:val="en-US" w:eastAsia="zh-CN" w:bidi="ar-SA"/>
              </w:rPr>
              <w:t>，</w:t>
            </w:r>
            <w:r>
              <w:rPr>
                <w:rFonts w:hint="default" w:asciiTheme="minorEastAsia" w:hAnsiTheme="minorEastAsia" w:eastAsiaTheme="minorEastAsia" w:cstheme="minorEastAsia"/>
                <w:b w:val="0"/>
                <w:bCs/>
                <w:spacing w:val="-6"/>
                <w:kern w:val="2"/>
                <w:sz w:val="18"/>
                <w:szCs w:val="18"/>
                <w:lang w:val="en-US" w:eastAsia="zh-CN" w:bidi="ar-SA"/>
              </w:rPr>
              <w:t>创建“五好”园区，</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sz w:val="18"/>
                <w:szCs w:val="18"/>
                <w:lang w:val="en-US" w:eastAsia="zh-CN"/>
              </w:rPr>
              <w:t>研究</w:t>
            </w:r>
            <w:r>
              <w:rPr>
                <w:rFonts w:hint="default" w:asciiTheme="minorEastAsia" w:hAnsiTheme="minorEastAsia" w:eastAsiaTheme="minorEastAsia" w:cstheme="minorEastAsia"/>
                <w:b w:val="0"/>
                <w:bCs/>
                <w:spacing w:val="-6"/>
                <w:sz w:val="18"/>
                <w:szCs w:val="18"/>
                <w:lang w:val="en-US" w:eastAsia="zh-CN"/>
              </w:rPr>
              <w:t>对接</w:t>
            </w:r>
            <w:r>
              <w:rPr>
                <w:rFonts w:hint="eastAsia" w:asciiTheme="minorEastAsia" w:hAnsiTheme="minorEastAsia" w:eastAsiaTheme="minorEastAsia" w:cstheme="minorEastAsia"/>
                <w:b w:val="0"/>
                <w:bCs/>
                <w:spacing w:val="-6"/>
                <w:sz w:val="18"/>
                <w:szCs w:val="18"/>
                <w:lang w:val="en-US" w:eastAsia="zh-CN"/>
              </w:rPr>
              <w:t>国家</w:t>
            </w:r>
            <w:r>
              <w:rPr>
                <w:rFonts w:hint="default" w:asciiTheme="minorEastAsia" w:hAnsiTheme="minorEastAsia" w:eastAsiaTheme="minorEastAsia" w:cstheme="minorEastAsia"/>
                <w:b w:val="0"/>
                <w:bCs/>
                <w:spacing w:val="-6"/>
                <w:sz w:val="18"/>
                <w:szCs w:val="18"/>
                <w:lang w:val="en-US" w:eastAsia="zh-CN"/>
              </w:rPr>
              <w:t>重大战略</w:t>
            </w:r>
            <w:r>
              <w:rPr>
                <w:rFonts w:hint="eastAsia" w:asciiTheme="minorEastAsia" w:hAnsiTheme="minorEastAsia" w:eastAsiaTheme="minorEastAsia" w:cstheme="minorEastAsia"/>
                <w:b w:val="0"/>
                <w:bCs/>
                <w:spacing w:val="-6"/>
                <w:sz w:val="18"/>
                <w:szCs w:val="18"/>
                <w:lang w:val="en-US" w:eastAsia="zh-CN"/>
              </w:rPr>
              <w:t>，</w:t>
            </w:r>
            <w:r>
              <w:rPr>
                <w:rFonts w:hint="default" w:asciiTheme="minorEastAsia" w:hAnsiTheme="minorEastAsia" w:eastAsiaTheme="minorEastAsia" w:cstheme="minorEastAsia"/>
                <w:b w:val="0"/>
                <w:bCs/>
                <w:spacing w:val="-6"/>
                <w:sz w:val="18"/>
                <w:szCs w:val="18"/>
                <w:lang w:val="en-US" w:eastAsia="zh-CN"/>
              </w:rPr>
              <w:t>构建现代流通体系。全力创建国家现代流通战略支点城市，形成现代流通网络。深度融入“强省会”战略。坚持“一</w:t>
            </w:r>
            <w:r>
              <w:rPr>
                <w:rFonts w:hint="default" w:asciiTheme="minorEastAsia" w:hAnsiTheme="minorEastAsia" w:eastAsiaTheme="minorEastAsia" w:cstheme="minorEastAsia"/>
                <w:b w:val="0"/>
                <w:bCs/>
                <w:spacing w:val="-6"/>
                <w:sz w:val="18"/>
                <w:szCs w:val="18"/>
              </w:rPr>
              <w:t>县一策”</w:t>
            </w:r>
            <w:r>
              <w:rPr>
                <w:rFonts w:hint="default" w:asciiTheme="minorEastAsia" w:hAnsiTheme="minorEastAsia" w:eastAsiaTheme="minorEastAsia" w:cstheme="minorEastAsia"/>
                <w:b w:val="0"/>
                <w:bCs/>
                <w:spacing w:val="-6"/>
                <w:sz w:val="18"/>
                <w:szCs w:val="18"/>
                <w:lang w:eastAsia="zh-CN"/>
              </w:rPr>
              <w:t>，</w:t>
            </w:r>
            <w:r>
              <w:rPr>
                <w:rFonts w:hint="default" w:asciiTheme="minorEastAsia" w:hAnsiTheme="minorEastAsia" w:eastAsiaTheme="minorEastAsia" w:cstheme="minorEastAsia"/>
                <w:b w:val="0"/>
                <w:bCs/>
                <w:spacing w:val="-6"/>
                <w:sz w:val="18"/>
                <w:szCs w:val="18"/>
              </w:rPr>
              <w:t>分类推进城镇化建设。</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sz w:val="18"/>
                <w:szCs w:val="18"/>
                <w:lang w:val="en-US" w:eastAsia="zh-CN"/>
              </w:rPr>
            </w:pPr>
            <w:r>
              <w:rPr>
                <w:rFonts w:hint="default" w:asciiTheme="minorEastAsia" w:hAnsiTheme="minorEastAsia" w:eastAsiaTheme="minorEastAsia" w:cstheme="minorEastAsia"/>
                <w:b w:val="0"/>
                <w:bCs/>
                <w:spacing w:val="-6"/>
                <w:sz w:val="18"/>
                <w:szCs w:val="18"/>
                <w:lang w:val="en-US" w:eastAsia="zh-CN"/>
              </w:rPr>
              <w:t>谋划举办长江论坛，打造“守护好一江碧水”首倡地。推动生态产品价值实现，抓好违规填占松阳湖问题整改，加快推进绿色低碳发展。</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sz w:val="18"/>
                <w:szCs w:val="18"/>
              </w:rPr>
            </w:pPr>
            <w:r>
              <w:rPr>
                <w:rFonts w:hint="default" w:asciiTheme="minorEastAsia" w:hAnsiTheme="minorEastAsia" w:eastAsiaTheme="minorEastAsia" w:cstheme="minorEastAsia"/>
                <w:b w:val="0"/>
                <w:bCs/>
                <w:spacing w:val="-6"/>
                <w:sz w:val="18"/>
                <w:szCs w:val="18"/>
                <w:lang w:val="en-US" w:eastAsia="zh-CN"/>
              </w:rPr>
              <w:t>持续深化“三资”改革。优化项目管理服务。加强信用体系建设</w:t>
            </w:r>
            <w:r>
              <w:rPr>
                <w:rFonts w:hint="eastAsia" w:asciiTheme="minorEastAsia" w:hAnsiTheme="minorEastAsia" w:eastAsiaTheme="minorEastAsia" w:cstheme="minorEastAsia"/>
                <w:b w:val="0"/>
                <w:bCs/>
                <w:spacing w:val="-6"/>
                <w:sz w:val="18"/>
                <w:szCs w:val="18"/>
                <w:lang w:val="en-US" w:eastAsia="zh-CN"/>
              </w:rPr>
              <w:t>，</w:t>
            </w:r>
            <w:r>
              <w:rPr>
                <w:rFonts w:hint="default" w:asciiTheme="minorEastAsia" w:hAnsiTheme="minorEastAsia" w:eastAsiaTheme="minorEastAsia" w:cstheme="minorEastAsia"/>
                <w:b w:val="0"/>
                <w:bCs/>
                <w:spacing w:val="-6"/>
                <w:sz w:val="18"/>
                <w:szCs w:val="18"/>
                <w:lang w:val="en-US" w:eastAsia="zh-CN"/>
              </w:rPr>
              <w:t>做大</w:t>
            </w:r>
            <w:r>
              <w:rPr>
                <w:rFonts w:hint="default" w:asciiTheme="minorEastAsia" w:hAnsiTheme="minorEastAsia" w:eastAsiaTheme="minorEastAsia" w:cstheme="minorEastAsia"/>
                <w:b w:val="0"/>
                <w:bCs/>
                <w:spacing w:val="-6"/>
                <w:sz w:val="18"/>
                <w:szCs w:val="18"/>
              </w:rPr>
              <w:t>“信易贷”规模</w:t>
            </w:r>
            <w:r>
              <w:rPr>
                <w:rFonts w:hint="eastAsia" w:asciiTheme="minorEastAsia" w:hAnsiTheme="minorEastAsia" w:eastAsiaTheme="minorEastAsia" w:cstheme="minorEastAsia"/>
                <w:b w:val="0"/>
                <w:bCs/>
                <w:spacing w:val="-6"/>
                <w:sz w:val="18"/>
                <w:szCs w:val="18"/>
                <w:lang w:val="en-US" w:eastAsia="zh-CN"/>
              </w:rPr>
              <w:t>，</w:t>
            </w:r>
            <w:r>
              <w:rPr>
                <w:rFonts w:hint="default" w:asciiTheme="minorEastAsia" w:hAnsiTheme="minorEastAsia" w:eastAsiaTheme="minorEastAsia" w:cstheme="minorEastAsia"/>
                <w:b w:val="0"/>
                <w:bCs/>
                <w:spacing w:val="-6"/>
                <w:sz w:val="18"/>
                <w:szCs w:val="18"/>
                <w:lang w:val="en-US" w:eastAsia="zh-CN"/>
              </w:rPr>
              <w:t>推动创新驱动发展。</w:t>
            </w:r>
            <w:r>
              <w:rPr>
                <w:rFonts w:hint="default" w:asciiTheme="minorEastAsia" w:hAnsiTheme="minorEastAsia" w:eastAsiaTheme="minorEastAsia" w:cstheme="minorEastAsia"/>
                <w:b w:val="0"/>
                <w:bCs/>
                <w:spacing w:val="-6"/>
                <w:sz w:val="18"/>
                <w:szCs w:val="18"/>
              </w:rPr>
              <w:t>新创建省级创新平台</w:t>
            </w:r>
            <w:r>
              <w:rPr>
                <w:rFonts w:hint="default" w:asciiTheme="minorEastAsia" w:hAnsiTheme="minorEastAsia" w:eastAsiaTheme="minorEastAsia" w:cstheme="minorEastAsia"/>
                <w:b w:val="0"/>
                <w:bCs/>
                <w:spacing w:val="-6"/>
                <w:sz w:val="18"/>
                <w:szCs w:val="18"/>
                <w:lang w:val="en-US" w:eastAsia="zh-CN"/>
              </w:rPr>
              <w:t>5</w:t>
            </w:r>
            <w:r>
              <w:rPr>
                <w:rFonts w:hint="default" w:asciiTheme="minorEastAsia" w:hAnsiTheme="minorEastAsia" w:eastAsiaTheme="minorEastAsia" w:cstheme="minorEastAsia"/>
                <w:b w:val="0"/>
                <w:bCs/>
                <w:spacing w:val="-6"/>
                <w:sz w:val="18"/>
                <w:szCs w:val="18"/>
              </w:rPr>
              <w:t>个</w:t>
            </w:r>
            <w:r>
              <w:rPr>
                <w:rFonts w:hint="default" w:asciiTheme="minorEastAsia" w:hAnsiTheme="minorEastAsia" w:eastAsiaTheme="minorEastAsia" w:cstheme="minorEastAsia"/>
                <w:b w:val="0"/>
                <w:bCs/>
                <w:spacing w:val="-6"/>
                <w:sz w:val="18"/>
                <w:szCs w:val="18"/>
                <w:lang w:val="en-US" w:eastAsia="zh-CN"/>
              </w:rPr>
              <w:t>以上</w:t>
            </w:r>
            <w:r>
              <w:rPr>
                <w:rFonts w:hint="default" w:asciiTheme="minorEastAsia" w:hAnsiTheme="minorEastAsia" w:eastAsiaTheme="minorEastAsia" w:cstheme="minorEastAsia"/>
                <w:b w:val="0"/>
                <w:bCs/>
                <w:spacing w:val="-6"/>
                <w:sz w:val="18"/>
                <w:szCs w:val="18"/>
                <w:lang w:eastAsia="zh-CN"/>
              </w:rPr>
              <w:t>，</w:t>
            </w:r>
            <w:r>
              <w:rPr>
                <w:rFonts w:hint="default" w:asciiTheme="minorEastAsia" w:hAnsiTheme="minorEastAsia" w:eastAsiaTheme="minorEastAsia" w:cstheme="minorEastAsia"/>
                <w:b w:val="0"/>
                <w:bCs/>
                <w:spacing w:val="-6"/>
                <w:sz w:val="18"/>
                <w:szCs w:val="18"/>
              </w:rPr>
              <w:t>争取实现国家级企业技术中心零的突破。</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eastAsia"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sz w:val="18"/>
                <w:szCs w:val="18"/>
                <w:lang w:val="en-US" w:eastAsia="zh-CN"/>
              </w:rPr>
              <w:t>保障改善民生，加快社会事业发展</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lang w:val="en-US" w:eastAsia="zh-CN"/>
              </w:rPr>
              <w:t>加强价格监测管理</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lang w:val="en-US" w:eastAsia="zh-CN"/>
              </w:rPr>
              <w:t>接续推进乡村振兴。</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仿宋_GB2312" w:hAnsi="仿宋_GB2312" w:eastAsia="仿宋_GB2312" w:cs="仿宋_GB2312"/>
                <w:color w:val="000000"/>
                <w:sz w:val="20"/>
                <w:szCs w:val="20"/>
                <w:highlight w:val="none"/>
                <w:lang w:val="en-US" w:eastAsia="zh-CN"/>
              </w:rPr>
            </w:pPr>
            <w:r>
              <w:rPr>
                <w:rFonts w:hint="eastAsia" w:asciiTheme="minorEastAsia" w:hAnsiTheme="minorEastAsia" w:eastAsiaTheme="minorEastAsia" w:cstheme="minorEastAsia"/>
                <w:b w:val="0"/>
                <w:bCs/>
                <w:spacing w:val="-6"/>
                <w:sz w:val="18"/>
                <w:szCs w:val="18"/>
                <w:lang w:val="en-US" w:eastAsia="zh-CN"/>
              </w:rPr>
              <w:t>守牢底线工作，扛牢粮食安全责任，做好能源安全保供工作</w:t>
            </w:r>
          </w:p>
        </w:tc>
        <w:tc>
          <w:tcPr>
            <w:tcW w:w="157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按预期目标完成</w:t>
            </w:r>
          </w:p>
        </w:tc>
      </w:tr>
      <w:tr>
        <w:tblPrEx>
          <w:tblCellMar>
            <w:top w:w="0" w:type="dxa"/>
            <w:left w:w="108" w:type="dxa"/>
            <w:bottom w:w="0" w:type="dxa"/>
            <w:right w:w="108" w:type="dxa"/>
          </w:tblCellMar>
        </w:tblPrEx>
        <w:trPr>
          <w:jc w:val="center"/>
        </w:trPr>
        <w:tc>
          <w:tcPr>
            <w:tcW w:w="55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6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38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开展成本监审工作的数量</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30"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开展重点项目</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超过300个</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val="en-US" w:eastAsia="zh-CN"/>
              </w:rPr>
              <w:t>超过300个</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70"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高质量完成各项项目</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8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按时完成各项项目目标</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节约资金未超出项目预算</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未超出</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eastAsia="zh-CN"/>
              </w:rPr>
              <w:t>未超出</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3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反向促进经济发展</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经济平稳发展</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经济平稳发展</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4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对社会发展可能造成的负面影响</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70"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加快生态文明建设</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0"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稳步长江经济带建设</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5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生态环境逐步改善</w:t>
            </w:r>
          </w:p>
        </w:tc>
        <w:tc>
          <w:tcPr>
            <w:tcW w:w="13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5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经济持续发展</w:t>
            </w:r>
          </w:p>
        </w:tc>
        <w:tc>
          <w:tcPr>
            <w:tcW w:w="13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118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6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95" w:hRule="atLeast"/>
          <w:jc w:val="center"/>
        </w:trPr>
        <w:tc>
          <w:tcPr>
            <w:tcW w:w="55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受益对象满意度</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社会形象明显提升</w:t>
            </w:r>
          </w:p>
        </w:tc>
        <w:tc>
          <w:tcPr>
            <w:tcW w:w="11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000000"/>
                <w:sz w:val="20"/>
                <w:szCs w:val="20"/>
                <w:highlight w:val="none"/>
                <w:lang w:eastAsia="zh-CN"/>
              </w:rPr>
              <w:t>有所提升</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85" w:hRule="atLeast"/>
          <w:jc w:val="center"/>
        </w:trPr>
        <w:tc>
          <w:tcPr>
            <w:tcW w:w="7919" w:type="dxa"/>
            <w:gridSpan w:val="10"/>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张憬然</w:t>
      </w:r>
      <w:r>
        <w:rPr>
          <w:rFonts w:hint="default" w:ascii="Times New Roman" w:hAnsi="Times New Roman" w:eastAsia="仿宋_GB2312" w:cs="Times New Roman"/>
          <w:sz w:val="22"/>
          <w:highlight w:val="none"/>
        </w:rPr>
        <w:t xml:space="preserve">    填报日期：    联系电话：</w:t>
      </w:r>
      <w:r>
        <w:rPr>
          <w:rFonts w:hint="eastAsia" w:ascii="Times New Roman" w:hAnsi="Times New Roman" w:eastAsia="仿宋_GB2312" w:cs="Times New Roman"/>
          <w:sz w:val="22"/>
          <w:highlight w:val="none"/>
          <w:lang w:val="en-US" w:eastAsia="zh-CN"/>
        </w:rPr>
        <w:t>8880477</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471"/>
        <w:gridCol w:w="609"/>
        <w:gridCol w:w="531"/>
        <w:gridCol w:w="765"/>
        <w:gridCol w:w="390"/>
        <w:gridCol w:w="474"/>
        <w:gridCol w:w="1224"/>
        <w:gridCol w:w="537"/>
        <w:gridCol w:w="597"/>
        <w:gridCol w:w="498"/>
        <w:gridCol w:w="636"/>
        <w:gridCol w:w="1149"/>
        <w:gridCol w:w="552"/>
        <w:gridCol w:w="311"/>
        <w:gridCol w:w="217"/>
        <w:gridCol w:w="890"/>
      </w:tblGrid>
      <w:tr>
        <w:tblPrEx>
          <w:tblCellMar>
            <w:top w:w="0" w:type="dxa"/>
            <w:left w:w="108" w:type="dxa"/>
            <w:bottom w:w="0" w:type="dxa"/>
            <w:right w:w="108" w:type="dxa"/>
          </w:tblCellMar>
        </w:tblPrEx>
        <w:trPr>
          <w:jc w:val="center"/>
        </w:trPr>
        <w:tc>
          <w:tcPr>
            <w:tcW w:w="23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项目支出名称</w:t>
            </w:r>
          </w:p>
        </w:tc>
        <w:tc>
          <w:tcPr>
            <w:tcW w:w="7475"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17.5</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760.4</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760.4</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631.93</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631.93</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128.47</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128.47</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7353" w:type="dxa"/>
            <w:gridSpan w:val="11"/>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14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353" w:type="dxa"/>
            <w:gridSpan w:val="11"/>
            <w:tcBorders>
              <w:top w:val="single" w:color="auto" w:sz="4" w:space="0"/>
              <w:left w:val="nil"/>
              <w:bottom w:val="single" w:color="auto"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336" w:firstLineChars="200"/>
              <w:jc w:val="both"/>
              <w:textAlignment w:val="auto"/>
              <w:rPr>
                <w:rFonts w:hint="eastAsia"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kern w:val="2"/>
                <w:sz w:val="18"/>
                <w:szCs w:val="18"/>
                <w:lang w:val="en-US" w:eastAsia="zh-CN"/>
              </w:rPr>
              <w:t>加强宏观谋划，统筹调度和</w:t>
            </w:r>
            <w:r>
              <w:rPr>
                <w:rFonts w:hint="eastAsia" w:asciiTheme="minorEastAsia" w:hAnsiTheme="minorEastAsia" w:eastAsiaTheme="minorEastAsia" w:cstheme="minorEastAsia"/>
                <w:b w:val="0"/>
                <w:bCs/>
                <w:spacing w:val="-6"/>
                <w:sz w:val="18"/>
                <w:szCs w:val="18"/>
                <w:lang w:val="en-US" w:eastAsia="zh-CN"/>
              </w:rPr>
              <w:t>督导考核，加强经济运行调度和主要经济指标监测，强化考核结果运用，打好经济增长主动仗。</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eastAsia" w:asciiTheme="minorEastAsia" w:hAnsiTheme="minorEastAsia" w:eastAsiaTheme="minorEastAsia" w:cstheme="minorEastAsia"/>
                <w:b w:val="0"/>
                <w:bCs/>
                <w:color w:val="000000"/>
                <w:spacing w:val="-6"/>
                <w:kern w:val="0"/>
                <w:sz w:val="18"/>
                <w:szCs w:val="18"/>
                <w:shd w:val="clear" w:color="auto" w:fill="FFFFFF"/>
                <w:lang w:val="en-US" w:eastAsia="zh-CN"/>
              </w:rPr>
            </w:pPr>
            <w:r>
              <w:rPr>
                <w:rFonts w:hint="eastAsia" w:asciiTheme="minorEastAsia" w:hAnsiTheme="minorEastAsia" w:eastAsiaTheme="minorEastAsia" w:cstheme="minorEastAsia"/>
                <w:b w:val="0"/>
                <w:bCs/>
                <w:spacing w:val="-6"/>
                <w:sz w:val="18"/>
                <w:szCs w:val="18"/>
                <w:lang w:val="en-US" w:eastAsia="zh-CN"/>
              </w:rPr>
              <w:t>落实</w:t>
            </w:r>
            <w:r>
              <w:rPr>
                <w:rFonts w:hint="eastAsia" w:asciiTheme="minorEastAsia" w:hAnsiTheme="minorEastAsia" w:eastAsiaTheme="minorEastAsia" w:cstheme="minorEastAsia"/>
                <w:b w:val="0"/>
                <w:bCs/>
                <w:spacing w:val="-6"/>
                <w:sz w:val="18"/>
                <w:szCs w:val="18"/>
              </w:rPr>
              <w:t>“项目建设年行动方案”，推动乙烯炼化一体化项目</w:t>
            </w:r>
            <w:r>
              <w:rPr>
                <w:rFonts w:hint="eastAsia" w:asciiTheme="minorEastAsia" w:hAnsiTheme="minorEastAsia" w:eastAsiaTheme="minorEastAsia" w:cstheme="minorEastAsia"/>
                <w:b w:val="0"/>
                <w:bCs/>
                <w:spacing w:val="-6"/>
                <w:sz w:val="18"/>
                <w:szCs w:val="18"/>
                <w:lang w:eastAsia="zh-CN"/>
              </w:rPr>
              <w:t>和</w:t>
            </w:r>
            <w:r>
              <w:rPr>
                <w:rFonts w:hint="eastAsia" w:asciiTheme="minorEastAsia" w:hAnsiTheme="minorEastAsia" w:eastAsiaTheme="minorEastAsia" w:cstheme="minorEastAsia"/>
                <w:b w:val="0"/>
                <w:bCs/>
                <w:spacing w:val="-6"/>
                <w:sz w:val="18"/>
                <w:szCs w:val="18"/>
              </w:rPr>
              <w:t>己内酰胺项目建设</w:t>
            </w:r>
            <w:r>
              <w:rPr>
                <w:rFonts w:hint="eastAsia" w:asciiTheme="minorEastAsia" w:hAnsiTheme="minorEastAsia" w:eastAsiaTheme="minorEastAsia" w:cstheme="minorEastAsia"/>
                <w:b w:val="0"/>
                <w:bCs/>
                <w:spacing w:val="-6"/>
                <w:sz w:val="18"/>
                <w:szCs w:val="18"/>
                <w:lang w:val="en-US" w:eastAsia="zh-CN"/>
              </w:rPr>
              <w:t>，</w:t>
            </w:r>
            <w:r>
              <w:rPr>
                <w:rFonts w:hint="eastAsia" w:asciiTheme="minorEastAsia" w:hAnsiTheme="minorEastAsia" w:eastAsiaTheme="minorEastAsia" w:cstheme="minorEastAsia"/>
                <w:b w:val="0"/>
                <w:bCs/>
                <w:spacing w:val="-6"/>
                <w:sz w:val="18"/>
                <w:szCs w:val="18"/>
              </w:rPr>
              <w:t>打造中部最大石化产业基地</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rPr>
              <w:t>建设中部地区综合能源基地</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rPr>
              <w:t>科学编制实施2023年市本级政府投资项目计划。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336" w:firstLineChars="200"/>
              <w:jc w:val="both"/>
              <w:textAlignment w:val="auto"/>
              <w:rPr>
                <w:rFonts w:hint="eastAsia"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sz w:val="18"/>
                <w:szCs w:val="18"/>
              </w:rPr>
              <w:t>滚动充实2023年项目储备库</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rPr>
              <w:t>积极争取中央预算内、专项债等资金支持</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kern w:val="2"/>
                <w:sz w:val="18"/>
                <w:szCs w:val="18"/>
                <w:lang w:val="en-US" w:eastAsia="zh-CN" w:bidi="ar-SA"/>
              </w:rPr>
              <w:t>精细调度推进项目</w:t>
            </w:r>
            <w:r>
              <w:rPr>
                <w:rFonts w:hint="eastAsia" w:asciiTheme="minorEastAsia" w:hAnsiTheme="minorEastAsia" w:eastAsiaTheme="minorEastAsia" w:cstheme="minorEastAsia"/>
                <w:b w:val="0"/>
                <w:bCs/>
                <w:spacing w:val="-6"/>
                <w:sz w:val="18"/>
                <w:szCs w:val="18"/>
                <w:lang w:val="en-US" w:eastAsia="zh-CN"/>
              </w:rPr>
              <w:t>，形成</w:t>
            </w:r>
            <w:r>
              <w:rPr>
                <w:rFonts w:hint="eastAsia" w:asciiTheme="minorEastAsia" w:hAnsiTheme="minorEastAsia" w:eastAsiaTheme="minorEastAsia" w:cstheme="minorEastAsia"/>
                <w:b w:val="0"/>
                <w:bCs/>
                <w:spacing w:val="-6"/>
                <w:sz w:val="18"/>
                <w:szCs w:val="18"/>
              </w:rPr>
              <w:t>更多实物工作量。</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kern w:val="2"/>
                <w:sz w:val="18"/>
                <w:szCs w:val="18"/>
                <w:lang w:val="en-US" w:eastAsia="zh-CN" w:bidi="ar-SA"/>
              </w:rPr>
            </w:pPr>
            <w:r>
              <w:rPr>
                <w:rFonts w:hint="default" w:asciiTheme="minorEastAsia" w:hAnsiTheme="minorEastAsia" w:eastAsiaTheme="minorEastAsia" w:cstheme="minorEastAsia"/>
                <w:b w:val="0"/>
                <w:bCs/>
                <w:spacing w:val="-6"/>
                <w:kern w:val="2"/>
                <w:sz w:val="18"/>
                <w:szCs w:val="18"/>
                <w:lang w:val="en-US" w:eastAsia="zh-CN" w:bidi="ar-SA"/>
              </w:rPr>
              <w:t>发挥综合协调、调度督导作用，提升园区发展质量、效益，推动园区特色化差异化。开展重点园区“赛马比拼”行动</w:t>
            </w:r>
            <w:r>
              <w:rPr>
                <w:rFonts w:hint="eastAsia" w:asciiTheme="minorEastAsia" w:hAnsiTheme="minorEastAsia" w:eastAsiaTheme="minorEastAsia" w:cstheme="minorEastAsia"/>
                <w:b w:val="0"/>
                <w:bCs/>
                <w:spacing w:val="-6"/>
                <w:kern w:val="2"/>
                <w:sz w:val="18"/>
                <w:szCs w:val="18"/>
                <w:lang w:val="en-US" w:eastAsia="zh-CN" w:bidi="ar-SA"/>
              </w:rPr>
              <w:t>，</w:t>
            </w:r>
            <w:r>
              <w:rPr>
                <w:rFonts w:hint="default" w:asciiTheme="minorEastAsia" w:hAnsiTheme="minorEastAsia" w:eastAsiaTheme="minorEastAsia" w:cstheme="minorEastAsia"/>
                <w:b w:val="0"/>
                <w:bCs/>
                <w:spacing w:val="-6"/>
                <w:kern w:val="2"/>
                <w:sz w:val="18"/>
                <w:szCs w:val="18"/>
                <w:lang w:val="en-US" w:eastAsia="zh-CN" w:bidi="ar-SA"/>
              </w:rPr>
              <w:t>创建“五好”园区，</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sz w:val="18"/>
                <w:szCs w:val="18"/>
                <w:lang w:val="en-US" w:eastAsia="zh-CN"/>
              </w:rPr>
              <w:t>研究</w:t>
            </w:r>
            <w:r>
              <w:rPr>
                <w:rFonts w:hint="default" w:asciiTheme="minorEastAsia" w:hAnsiTheme="minorEastAsia" w:eastAsiaTheme="minorEastAsia" w:cstheme="minorEastAsia"/>
                <w:b w:val="0"/>
                <w:bCs/>
                <w:spacing w:val="-6"/>
                <w:sz w:val="18"/>
                <w:szCs w:val="18"/>
                <w:lang w:val="en-US" w:eastAsia="zh-CN"/>
              </w:rPr>
              <w:t>对接</w:t>
            </w:r>
            <w:r>
              <w:rPr>
                <w:rFonts w:hint="eastAsia" w:asciiTheme="minorEastAsia" w:hAnsiTheme="minorEastAsia" w:eastAsiaTheme="minorEastAsia" w:cstheme="minorEastAsia"/>
                <w:b w:val="0"/>
                <w:bCs/>
                <w:spacing w:val="-6"/>
                <w:sz w:val="18"/>
                <w:szCs w:val="18"/>
                <w:lang w:val="en-US" w:eastAsia="zh-CN"/>
              </w:rPr>
              <w:t>国家</w:t>
            </w:r>
            <w:r>
              <w:rPr>
                <w:rFonts w:hint="default" w:asciiTheme="minorEastAsia" w:hAnsiTheme="minorEastAsia" w:eastAsiaTheme="minorEastAsia" w:cstheme="minorEastAsia"/>
                <w:b w:val="0"/>
                <w:bCs/>
                <w:spacing w:val="-6"/>
                <w:sz w:val="18"/>
                <w:szCs w:val="18"/>
                <w:lang w:val="en-US" w:eastAsia="zh-CN"/>
              </w:rPr>
              <w:t>重大战略</w:t>
            </w:r>
            <w:r>
              <w:rPr>
                <w:rFonts w:hint="eastAsia" w:asciiTheme="minorEastAsia" w:hAnsiTheme="minorEastAsia" w:eastAsiaTheme="minorEastAsia" w:cstheme="minorEastAsia"/>
                <w:b w:val="0"/>
                <w:bCs/>
                <w:spacing w:val="-6"/>
                <w:sz w:val="18"/>
                <w:szCs w:val="18"/>
                <w:lang w:val="en-US" w:eastAsia="zh-CN"/>
              </w:rPr>
              <w:t>，</w:t>
            </w:r>
            <w:r>
              <w:rPr>
                <w:rFonts w:hint="default" w:asciiTheme="minorEastAsia" w:hAnsiTheme="minorEastAsia" w:eastAsiaTheme="minorEastAsia" w:cstheme="minorEastAsia"/>
                <w:b w:val="0"/>
                <w:bCs/>
                <w:spacing w:val="-6"/>
                <w:sz w:val="18"/>
                <w:szCs w:val="18"/>
                <w:lang w:val="en-US" w:eastAsia="zh-CN"/>
              </w:rPr>
              <w:t>构建现代流通体系。全力创建国家现代流通战略支点城市，形成现代流通网络。深度融入“强省会”战略。坚持“一</w:t>
            </w:r>
            <w:r>
              <w:rPr>
                <w:rFonts w:hint="default" w:asciiTheme="minorEastAsia" w:hAnsiTheme="minorEastAsia" w:eastAsiaTheme="minorEastAsia" w:cstheme="minorEastAsia"/>
                <w:b w:val="0"/>
                <w:bCs/>
                <w:spacing w:val="-6"/>
                <w:sz w:val="18"/>
                <w:szCs w:val="18"/>
              </w:rPr>
              <w:t>县一策”</w:t>
            </w:r>
            <w:r>
              <w:rPr>
                <w:rFonts w:hint="default" w:asciiTheme="minorEastAsia" w:hAnsiTheme="minorEastAsia" w:eastAsiaTheme="minorEastAsia" w:cstheme="minorEastAsia"/>
                <w:b w:val="0"/>
                <w:bCs/>
                <w:spacing w:val="-6"/>
                <w:sz w:val="18"/>
                <w:szCs w:val="18"/>
                <w:lang w:eastAsia="zh-CN"/>
              </w:rPr>
              <w:t>，</w:t>
            </w:r>
            <w:r>
              <w:rPr>
                <w:rFonts w:hint="default" w:asciiTheme="minorEastAsia" w:hAnsiTheme="minorEastAsia" w:eastAsiaTheme="minorEastAsia" w:cstheme="minorEastAsia"/>
                <w:b w:val="0"/>
                <w:bCs/>
                <w:spacing w:val="-6"/>
                <w:sz w:val="18"/>
                <w:szCs w:val="18"/>
              </w:rPr>
              <w:t>分类推进城镇化建设。</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sz w:val="18"/>
                <w:szCs w:val="18"/>
                <w:lang w:val="en-US" w:eastAsia="zh-CN"/>
              </w:rPr>
            </w:pPr>
            <w:r>
              <w:rPr>
                <w:rFonts w:hint="default" w:asciiTheme="minorEastAsia" w:hAnsiTheme="minorEastAsia" w:eastAsiaTheme="minorEastAsia" w:cstheme="minorEastAsia"/>
                <w:b w:val="0"/>
                <w:bCs/>
                <w:spacing w:val="-6"/>
                <w:sz w:val="18"/>
                <w:szCs w:val="18"/>
                <w:lang w:val="en-US" w:eastAsia="zh-CN"/>
              </w:rPr>
              <w:t>谋划举办长江论坛，打造“守护好一江碧水”首倡地。推动生态产品价值实现，抓好违规填占松阳湖问题整改，加快推进绿色低碳发展。</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Theme="minorEastAsia" w:hAnsiTheme="minorEastAsia" w:eastAsiaTheme="minorEastAsia" w:cstheme="minorEastAsia"/>
                <w:b w:val="0"/>
                <w:bCs/>
                <w:spacing w:val="-6"/>
                <w:sz w:val="18"/>
                <w:szCs w:val="18"/>
              </w:rPr>
            </w:pPr>
            <w:r>
              <w:rPr>
                <w:rFonts w:hint="default" w:asciiTheme="minorEastAsia" w:hAnsiTheme="minorEastAsia" w:eastAsiaTheme="minorEastAsia" w:cstheme="minorEastAsia"/>
                <w:b w:val="0"/>
                <w:bCs/>
                <w:spacing w:val="-6"/>
                <w:sz w:val="18"/>
                <w:szCs w:val="18"/>
                <w:lang w:val="en-US" w:eastAsia="zh-CN"/>
              </w:rPr>
              <w:t>持续深化“三资”改革。优化项目管理服务。加强信用体系建设</w:t>
            </w:r>
            <w:r>
              <w:rPr>
                <w:rFonts w:hint="eastAsia" w:asciiTheme="minorEastAsia" w:hAnsiTheme="minorEastAsia" w:eastAsiaTheme="minorEastAsia" w:cstheme="minorEastAsia"/>
                <w:b w:val="0"/>
                <w:bCs/>
                <w:spacing w:val="-6"/>
                <w:sz w:val="18"/>
                <w:szCs w:val="18"/>
                <w:lang w:val="en-US" w:eastAsia="zh-CN"/>
              </w:rPr>
              <w:t>，</w:t>
            </w:r>
            <w:r>
              <w:rPr>
                <w:rFonts w:hint="default" w:asciiTheme="minorEastAsia" w:hAnsiTheme="minorEastAsia" w:eastAsiaTheme="minorEastAsia" w:cstheme="minorEastAsia"/>
                <w:b w:val="0"/>
                <w:bCs/>
                <w:spacing w:val="-6"/>
                <w:sz w:val="18"/>
                <w:szCs w:val="18"/>
                <w:lang w:val="en-US" w:eastAsia="zh-CN"/>
              </w:rPr>
              <w:t>做大</w:t>
            </w:r>
            <w:r>
              <w:rPr>
                <w:rFonts w:hint="default" w:asciiTheme="minorEastAsia" w:hAnsiTheme="minorEastAsia" w:eastAsiaTheme="minorEastAsia" w:cstheme="minorEastAsia"/>
                <w:b w:val="0"/>
                <w:bCs/>
                <w:spacing w:val="-6"/>
                <w:sz w:val="18"/>
                <w:szCs w:val="18"/>
              </w:rPr>
              <w:t>“信易贷”规模</w:t>
            </w:r>
            <w:r>
              <w:rPr>
                <w:rFonts w:hint="eastAsia" w:asciiTheme="minorEastAsia" w:hAnsiTheme="minorEastAsia" w:eastAsiaTheme="minorEastAsia" w:cstheme="minorEastAsia"/>
                <w:b w:val="0"/>
                <w:bCs/>
                <w:spacing w:val="-6"/>
                <w:sz w:val="18"/>
                <w:szCs w:val="18"/>
                <w:lang w:val="en-US" w:eastAsia="zh-CN"/>
              </w:rPr>
              <w:t>，</w:t>
            </w:r>
            <w:r>
              <w:rPr>
                <w:rFonts w:hint="default" w:asciiTheme="minorEastAsia" w:hAnsiTheme="minorEastAsia" w:eastAsiaTheme="minorEastAsia" w:cstheme="minorEastAsia"/>
                <w:b w:val="0"/>
                <w:bCs/>
                <w:spacing w:val="-6"/>
                <w:sz w:val="18"/>
                <w:szCs w:val="18"/>
                <w:lang w:val="en-US" w:eastAsia="zh-CN"/>
              </w:rPr>
              <w:t>推动创新驱动发展。</w:t>
            </w:r>
            <w:r>
              <w:rPr>
                <w:rFonts w:hint="default" w:asciiTheme="minorEastAsia" w:hAnsiTheme="minorEastAsia" w:eastAsiaTheme="minorEastAsia" w:cstheme="minorEastAsia"/>
                <w:b w:val="0"/>
                <w:bCs/>
                <w:spacing w:val="-6"/>
                <w:sz w:val="18"/>
                <w:szCs w:val="18"/>
              </w:rPr>
              <w:t>新创建省级创新平台</w:t>
            </w:r>
            <w:r>
              <w:rPr>
                <w:rFonts w:hint="default" w:asciiTheme="minorEastAsia" w:hAnsiTheme="minorEastAsia" w:eastAsiaTheme="minorEastAsia" w:cstheme="minorEastAsia"/>
                <w:b w:val="0"/>
                <w:bCs/>
                <w:spacing w:val="-6"/>
                <w:sz w:val="18"/>
                <w:szCs w:val="18"/>
                <w:lang w:val="en-US" w:eastAsia="zh-CN"/>
              </w:rPr>
              <w:t>5</w:t>
            </w:r>
            <w:r>
              <w:rPr>
                <w:rFonts w:hint="default" w:asciiTheme="minorEastAsia" w:hAnsiTheme="minorEastAsia" w:eastAsiaTheme="minorEastAsia" w:cstheme="minorEastAsia"/>
                <w:b w:val="0"/>
                <w:bCs/>
                <w:spacing w:val="-6"/>
                <w:sz w:val="18"/>
                <w:szCs w:val="18"/>
              </w:rPr>
              <w:t>个</w:t>
            </w:r>
            <w:r>
              <w:rPr>
                <w:rFonts w:hint="default" w:asciiTheme="minorEastAsia" w:hAnsiTheme="minorEastAsia" w:eastAsiaTheme="minorEastAsia" w:cstheme="minorEastAsia"/>
                <w:b w:val="0"/>
                <w:bCs/>
                <w:spacing w:val="-6"/>
                <w:sz w:val="18"/>
                <w:szCs w:val="18"/>
                <w:lang w:val="en-US" w:eastAsia="zh-CN"/>
              </w:rPr>
              <w:t>以上</w:t>
            </w:r>
            <w:r>
              <w:rPr>
                <w:rFonts w:hint="default" w:asciiTheme="minorEastAsia" w:hAnsiTheme="minorEastAsia" w:eastAsiaTheme="minorEastAsia" w:cstheme="minorEastAsia"/>
                <w:b w:val="0"/>
                <w:bCs/>
                <w:spacing w:val="-6"/>
                <w:sz w:val="18"/>
                <w:szCs w:val="18"/>
                <w:lang w:eastAsia="zh-CN"/>
              </w:rPr>
              <w:t>，</w:t>
            </w:r>
            <w:r>
              <w:rPr>
                <w:rFonts w:hint="default" w:asciiTheme="minorEastAsia" w:hAnsiTheme="minorEastAsia" w:eastAsiaTheme="minorEastAsia" w:cstheme="minorEastAsia"/>
                <w:b w:val="0"/>
                <w:bCs/>
                <w:spacing w:val="-6"/>
                <w:sz w:val="18"/>
                <w:szCs w:val="18"/>
              </w:rPr>
              <w:t>争取实现国家级企业技术中心零的突破。</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eastAsia" w:asciiTheme="minorEastAsia" w:hAnsiTheme="minorEastAsia" w:eastAsiaTheme="minorEastAsia" w:cstheme="minorEastAsia"/>
                <w:b w:val="0"/>
                <w:bCs/>
                <w:spacing w:val="-6"/>
                <w:sz w:val="18"/>
                <w:szCs w:val="18"/>
                <w:lang w:val="en-US" w:eastAsia="zh-CN"/>
              </w:rPr>
            </w:pPr>
            <w:r>
              <w:rPr>
                <w:rFonts w:hint="eastAsia" w:asciiTheme="minorEastAsia" w:hAnsiTheme="minorEastAsia" w:eastAsiaTheme="minorEastAsia" w:cstheme="minorEastAsia"/>
                <w:b w:val="0"/>
                <w:bCs/>
                <w:spacing w:val="-6"/>
                <w:sz w:val="18"/>
                <w:szCs w:val="18"/>
                <w:lang w:val="en-US" w:eastAsia="zh-CN"/>
              </w:rPr>
              <w:t>保障改善民生，加快社会事业发展</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lang w:val="en-US" w:eastAsia="zh-CN"/>
              </w:rPr>
              <w:t>加强价格监测管理</w:t>
            </w:r>
            <w:r>
              <w:rPr>
                <w:rFonts w:hint="eastAsia" w:asciiTheme="minorEastAsia" w:hAnsiTheme="minorEastAsia" w:eastAsiaTheme="minorEastAsia" w:cstheme="minorEastAsia"/>
                <w:b w:val="0"/>
                <w:bCs/>
                <w:spacing w:val="-6"/>
                <w:sz w:val="18"/>
                <w:szCs w:val="18"/>
                <w:lang w:eastAsia="zh-CN"/>
              </w:rPr>
              <w:t>，</w:t>
            </w:r>
            <w:r>
              <w:rPr>
                <w:rFonts w:hint="eastAsia" w:asciiTheme="minorEastAsia" w:hAnsiTheme="minorEastAsia" w:eastAsiaTheme="minorEastAsia" w:cstheme="minorEastAsia"/>
                <w:b w:val="0"/>
                <w:bCs/>
                <w:spacing w:val="-6"/>
                <w:sz w:val="18"/>
                <w:szCs w:val="18"/>
                <w:lang w:val="en-US" w:eastAsia="zh-CN"/>
              </w:rPr>
              <w:t>接续推进乡村振兴。</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Theme="minorEastAsia" w:hAnsiTheme="minorEastAsia" w:eastAsiaTheme="minorEastAsia" w:cstheme="minorEastAsia"/>
                <w:b w:val="0"/>
                <w:bCs/>
                <w:spacing w:val="-6"/>
                <w:sz w:val="18"/>
                <w:szCs w:val="18"/>
                <w:lang w:val="en-US" w:eastAsia="zh-CN"/>
              </w:rPr>
              <w:t>守牢底线工作，扛牢粮食安全责任，做好能源安全保供工作</w:t>
            </w:r>
          </w:p>
        </w:tc>
        <w:tc>
          <w:tcPr>
            <w:tcW w:w="14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按预期目标完成</w:t>
            </w:r>
          </w:p>
        </w:tc>
      </w:tr>
      <w:tr>
        <w:tblPrEx>
          <w:tblCellMar>
            <w:top w:w="0" w:type="dxa"/>
            <w:left w:w="108" w:type="dxa"/>
            <w:bottom w:w="0" w:type="dxa"/>
            <w:right w:w="108" w:type="dxa"/>
          </w:tblCellMar>
        </w:tblPrEx>
        <w:trPr>
          <w:trHeight w:val="620" w:hRule="atLeast"/>
          <w:jc w:val="center"/>
        </w:trPr>
        <w:tc>
          <w:tcPr>
            <w:tcW w:w="4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偏差原因分析及改进措施</w:t>
            </w:r>
          </w:p>
        </w:tc>
      </w:tr>
      <w:tr>
        <w:tblPrEx>
          <w:tblCellMar>
            <w:top w:w="0" w:type="dxa"/>
            <w:left w:w="108" w:type="dxa"/>
            <w:bottom w:w="0" w:type="dxa"/>
            <w:right w:w="108" w:type="dxa"/>
          </w:tblCellMar>
        </w:tblPrEx>
        <w:trPr>
          <w:trHeight w:val="40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开展投资项目评估评审数</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100个以上</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开展重点项目数</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100个以上</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4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为政府项目决策提供依据</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15"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稳步推进经济发展工作</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eastAsia="zh-CN"/>
              </w:rPr>
              <w:t>无</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经济工作稳步发展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5"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按时完成项目目标</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每一个项目评估评审按时完成</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25"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eastAsia="zh-CN"/>
              </w:rPr>
              <w:t>控制在预算内</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　</w:t>
            </w:r>
            <w:r>
              <w:rPr>
                <w:rFonts w:hint="eastAsia" w:ascii="仿宋_GB2312" w:hAnsi="仿宋_GB2312" w:eastAsia="仿宋_GB2312" w:cs="仿宋_GB2312"/>
                <w:color w:val="000000"/>
                <w:sz w:val="20"/>
                <w:szCs w:val="20"/>
                <w:highlight w:val="none"/>
                <w:lang w:val="en-US" w:eastAsia="zh-CN"/>
              </w:rPr>
              <w:t>760.4</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　</w:t>
            </w:r>
            <w:r>
              <w:rPr>
                <w:rFonts w:hint="eastAsia" w:ascii="仿宋_GB2312" w:hAnsi="仿宋_GB2312" w:eastAsia="仿宋_GB2312" w:cs="仿宋_GB2312"/>
                <w:color w:val="000000"/>
                <w:sz w:val="20"/>
                <w:szCs w:val="20"/>
                <w:highlight w:val="none"/>
                <w:lang w:val="en-US" w:eastAsia="zh-CN"/>
              </w:rPr>
              <w:t>760.4</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促进重大项目前期工作推进</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经济平稳发展</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经济水平得以保持稳定并有所上升</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控制投资</w:t>
            </w:r>
            <w:r>
              <w:rPr>
                <w:rFonts w:hint="eastAsia" w:ascii="宋体" w:hAnsi="宋体" w:eastAsia="宋体"/>
                <w:color w:val="000000"/>
                <w:sz w:val="18"/>
                <w:lang w:eastAsia="zh-CN"/>
              </w:rPr>
              <w:t>成</w:t>
            </w:r>
            <w:r>
              <w:rPr>
                <w:rFonts w:hint="eastAsia" w:ascii="宋体" w:hAnsi="宋体" w:eastAsia="宋体"/>
                <w:color w:val="000000"/>
                <w:sz w:val="18"/>
              </w:rPr>
              <w:t>本，节约政府投资</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10亿元以上</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10亿元以上</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优化项目建设方案</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有所提升</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项目建设优化</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促进项目节能减排</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有所改善</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实现可持续发展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eastAsia="zh-CN"/>
              </w:rPr>
              <w:t>促进长江经济带发展</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有所改善</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实现可持续发展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2"/>
                <w:sz w:val="18"/>
                <w:szCs w:val="24"/>
                <w:lang w:val="en-US" w:eastAsia="zh-CN" w:bidi="ar-SA"/>
              </w:rPr>
            </w:pPr>
            <w:r>
              <w:rPr>
                <w:rFonts w:hint="eastAsia" w:ascii="宋体" w:hAnsi="宋体" w:eastAsia="宋体"/>
                <w:color w:val="000000"/>
                <w:sz w:val="18"/>
                <w:lang w:eastAsia="zh-CN"/>
              </w:rPr>
              <w:t>不断优化环境</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2"/>
                <w:sz w:val="18"/>
                <w:szCs w:val="24"/>
                <w:lang w:val="en-US" w:eastAsia="zh-CN" w:bidi="ar-SA"/>
              </w:rPr>
            </w:pPr>
            <w:r>
              <w:rPr>
                <w:rFonts w:hint="eastAsia" w:ascii="宋体" w:hAnsi="宋体" w:eastAsia="宋体"/>
                <w:color w:val="000000"/>
                <w:sz w:val="18"/>
                <w:lang w:eastAsia="zh-CN"/>
              </w:rPr>
              <w:t>有所改善</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2"/>
                <w:sz w:val="18"/>
                <w:szCs w:val="24"/>
                <w:lang w:val="en-US" w:eastAsia="zh-CN" w:bidi="ar-SA"/>
              </w:rPr>
            </w:pPr>
            <w:r>
              <w:rPr>
                <w:rFonts w:hint="eastAsia" w:ascii="宋体" w:hAnsi="宋体" w:eastAsia="宋体"/>
                <w:color w:val="000000"/>
                <w:sz w:val="18"/>
              </w:rPr>
              <w:t>实现可持续发展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2"/>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2"/>
                <w:sz w:val="18"/>
                <w:szCs w:val="24"/>
                <w:lang w:val="en-US" w:eastAsia="zh-CN" w:bidi="ar-SA"/>
              </w:rPr>
            </w:pPr>
            <w:r>
              <w:rPr>
                <w:rFonts w:hint="eastAsia" w:ascii="宋体" w:hAnsi="宋体" w:eastAsia="宋体"/>
                <w:color w:val="000000"/>
                <w:sz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满意度指标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（10分）</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受益对象满度</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≥95%</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rPr>
              <w:t>绝大部分人满意</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24"/>
                <w:lang w:val="en-US" w:eastAsia="zh-CN" w:bidi="ar-SA"/>
              </w:rPr>
            </w:pPr>
            <w:r>
              <w:rPr>
                <w:rFonts w:hint="eastAsia" w:ascii="宋体" w:hAnsi="宋体"/>
                <w:color w:val="000000"/>
                <w:sz w:val="18"/>
                <w:lang w:val="en-US" w:eastAsia="zh-CN"/>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7881"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张憬然</w:t>
      </w:r>
      <w:r>
        <w:rPr>
          <w:rFonts w:hint="default" w:ascii="Times New Roman" w:hAnsi="Times New Roman" w:eastAsia="仿宋_GB2312" w:cs="Times New Roman"/>
          <w:sz w:val="22"/>
          <w:highlight w:val="none"/>
        </w:rPr>
        <w:t xml:space="preserve">    填报日期：    联系电话：</w:t>
      </w:r>
      <w:r>
        <w:rPr>
          <w:rFonts w:hint="eastAsia" w:ascii="Times New Roman" w:hAnsi="Times New Roman" w:eastAsia="仿宋_GB2312" w:cs="Times New Roman"/>
          <w:sz w:val="22"/>
          <w:highlight w:val="none"/>
          <w:lang w:val="en-US" w:eastAsia="zh-CN"/>
        </w:rPr>
        <w:t>8880477</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岳阳市发展和改革委员会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880" w:firstLineChars="20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岳阳市发展和改革委员会</w:t>
      </w:r>
    </w:p>
    <w:p>
      <w:pPr>
        <w:keepNext w:val="0"/>
        <w:keepLines w:val="0"/>
        <w:pageBreakBefore w:val="0"/>
        <w:kinsoku/>
        <w:wordWrap/>
        <w:overflowPunct/>
        <w:topLinePunct w:val="0"/>
        <w:autoSpaceDE/>
        <w:autoSpaceDN/>
        <w:bidi w:val="0"/>
        <w:adjustRightInd/>
        <w:snapToGrid/>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楷体" w:hAnsi="楷体" w:eastAsia="楷体" w:cs="楷体"/>
          <w:i w:val="0"/>
          <w:iCs w:val="0"/>
          <w:caps w:val="0"/>
          <w:color w:val="333333"/>
          <w:spacing w:val="0"/>
          <w:kern w:val="0"/>
          <w:sz w:val="32"/>
          <w:szCs w:val="32"/>
          <w:lang w:val="en-US" w:eastAsia="zh-CN" w:bidi="ar"/>
        </w:rPr>
      </w:pPr>
      <w:r>
        <w:rPr>
          <w:rFonts w:hint="eastAsia" w:ascii="楷体" w:hAnsi="楷体" w:eastAsia="楷体" w:cs="楷体"/>
          <w:i w:val="0"/>
          <w:iCs w:val="0"/>
          <w:caps w:val="0"/>
          <w:color w:val="333333"/>
          <w:spacing w:val="0"/>
          <w:kern w:val="0"/>
          <w:sz w:val="32"/>
          <w:szCs w:val="32"/>
          <w:lang w:val="en-US" w:eastAsia="zh-CN" w:bidi="ar"/>
        </w:rPr>
        <w:t>(一)单位基本概况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岳阳市发展和改革委员会系财政全额预算拨款单位。</w:t>
      </w:r>
      <w:r>
        <w:rPr>
          <w:rFonts w:hint="eastAsia" w:ascii="仿宋_GB2312" w:hAnsi="Times New Roman" w:eastAsia="仿宋_GB2312" w:cs="仿宋_GB2312"/>
          <w:color w:val="333333"/>
          <w:kern w:val="2"/>
          <w:sz w:val="32"/>
          <w:szCs w:val="32"/>
          <w:shd w:val="clear" w:fill="FFFFFF"/>
          <w:lang w:val="en-US" w:eastAsia="zh-CN" w:bidi="ar"/>
        </w:rPr>
        <w:t>2023</w:t>
      </w:r>
      <w:r>
        <w:rPr>
          <w:rFonts w:hint="default" w:ascii="仿宋_GB2312" w:hAnsi="Times New Roman" w:eastAsia="仿宋_GB2312" w:cs="仿宋_GB2312"/>
          <w:color w:val="333333"/>
          <w:kern w:val="2"/>
          <w:sz w:val="32"/>
          <w:szCs w:val="32"/>
          <w:shd w:val="clear" w:fill="FFFFFF"/>
          <w:lang w:val="en-US" w:eastAsia="zh-CN" w:bidi="ar"/>
        </w:rPr>
        <w:t>年编制部门核实市发改委人员编制</w:t>
      </w:r>
      <w:r>
        <w:rPr>
          <w:rFonts w:hint="eastAsia" w:ascii="仿宋_GB2312" w:hAnsi="Times New Roman" w:eastAsia="仿宋_GB2312" w:cs="仿宋_GB2312"/>
          <w:color w:val="333333"/>
          <w:kern w:val="2"/>
          <w:sz w:val="32"/>
          <w:szCs w:val="32"/>
          <w:shd w:val="clear" w:fill="FFFFFF"/>
          <w:lang w:val="en-US" w:eastAsia="zh-CN" w:bidi="ar"/>
        </w:rPr>
        <w:t>129</w:t>
      </w:r>
      <w:r>
        <w:rPr>
          <w:rFonts w:hint="default" w:ascii="仿宋_GB2312" w:hAnsi="Times New Roman" w:eastAsia="仿宋_GB2312" w:cs="仿宋_GB2312"/>
          <w:color w:val="333333"/>
          <w:kern w:val="2"/>
          <w:sz w:val="32"/>
          <w:szCs w:val="32"/>
          <w:shd w:val="clear" w:fill="FFFFFF"/>
          <w:lang w:val="en-US" w:eastAsia="zh-CN" w:bidi="ar"/>
        </w:rPr>
        <w:t>人，实有人数为</w:t>
      </w:r>
      <w:r>
        <w:rPr>
          <w:rFonts w:hint="eastAsia" w:ascii="仿宋_GB2312" w:hAnsi="Times New Roman" w:eastAsia="仿宋_GB2312" w:cs="仿宋_GB2312"/>
          <w:color w:val="333333"/>
          <w:kern w:val="2"/>
          <w:sz w:val="32"/>
          <w:szCs w:val="32"/>
          <w:shd w:val="clear" w:fill="FFFFFF"/>
          <w:lang w:val="en-US" w:eastAsia="zh-CN" w:bidi="ar"/>
        </w:rPr>
        <w:t>129</w:t>
      </w:r>
      <w:r>
        <w:rPr>
          <w:rFonts w:hint="default" w:ascii="仿宋_GB2312" w:hAnsi="Times New Roman" w:eastAsia="仿宋_GB2312" w:cs="仿宋_GB2312"/>
          <w:color w:val="333333"/>
          <w:kern w:val="2"/>
          <w:sz w:val="32"/>
          <w:szCs w:val="32"/>
          <w:shd w:val="clear" w:fill="FFFFFF"/>
          <w:lang w:val="en-US" w:eastAsia="zh-CN" w:bidi="ar"/>
        </w:rPr>
        <w:t>人，其中机关本级行政编制</w:t>
      </w:r>
      <w:r>
        <w:rPr>
          <w:rFonts w:hint="eastAsia" w:ascii="仿宋_GB2312" w:hAnsi="Times New Roman" w:eastAsia="仿宋_GB2312" w:cs="仿宋_GB2312"/>
          <w:color w:val="333333"/>
          <w:kern w:val="2"/>
          <w:sz w:val="32"/>
          <w:szCs w:val="32"/>
          <w:shd w:val="clear" w:fill="FFFFFF"/>
          <w:lang w:val="en-US" w:eastAsia="zh-CN" w:bidi="ar"/>
        </w:rPr>
        <w:t>80</w:t>
      </w:r>
      <w:r>
        <w:rPr>
          <w:rFonts w:hint="default" w:ascii="仿宋_GB2312" w:hAnsi="Times New Roman" w:eastAsia="仿宋_GB2312" w:cs="仿宋_GB2312"/>
          <w:color w:val="333333"/>
          <w:kern w:val="2"/>
          <w:sz w:val="32"/>
          <w:szCs w:val="32"/>
          <w:shd w:val="clear" w:fill="FFFFFF"/>
          <w:lang w:val="en-US" w:eastAsia="zh-CN" w:bidi="ar"/>
        </w:rPr>
        <w:t>人，事业编制4</w:t>
      </w:r>
      <w:r>
        <w:rPr>
          <w:rFonts w:hint="eastAsia" w:ascii="仿宋_GB2312" w:hAnsi="Times New Roman" w:eastAsia="仿宋_GB2312" w:cs="仿宋_GB2312"/>
          <w:color w:val="333333"/>
          <w:kern w:val="2"/>
          <w:sz w:val="32"/>
          <w:szCs w:val="32"/>
          <w:shd w:val="clear" w:fill="FFFFFF"/>
          <w:lang w:val="en-US" w:eastAsia="zh-CN" w:bidi="ar"/>
        </w:rPr>
        <w:t>9</w:t>
      </w:r>
      <w:r>
        <w:rPr>
          <w:rFonts w:hint="default" w:ascii="仿宋_GB2312" w:hAnsi="Times New Roman" w:eastAsia="仿宋_GB2312" w:cs="仿宋_GB2312"/>
          <w:color w:val="333333"/>
          <w:kern w:val="2"/>
          <w:sz w:val="32"/>
          <w:szCs w:val="32"/>
          <w:shd w:val="clear" w:fill="FFFFFF"/>
          <w:lang w:val="en-US" w:eastAsia="zh-CN" w:bidi="ar"/>
        </w:rPr>
        <w:t>人。</w:t>
      </w:r>
      <w:r>
        <w:rPr>
          <w:rFonts w:hint="eastAsia" w:ascii="仿宋_GB2312" w:hAnsi="Times New Roman" w:eastAsia="仿宋_GB2312" w:cs="仿宋_GB2312"/>
          <w:color w:val="333333"/>
          <w:kern w:val="2"/>
          <w:sz w:val="32"/>
          <w:szCs w:val="32"/>
          <w:shd w:val="clear" w:fill="FFFFFF"/>
          <w:lang w:val="en-US" w:eastAsia="zh-CN" w:bidi="ar"/>
        </w:rPr>
        <w:t>根据编委核定，我委内设</w:t>
      </w:r>
      <w:r>
        <w:rPr>
          <w:rFonts w:hint="default" w:ascii="仿宋_GB2312" w:hAnsi="Times New Roman" w:eastAsia="仿宋_GB2312" w:cs="仿宋_GB2312"/>
          <w:color w:val="333333"/>
          <w:kern w:val="2"/>
          <w:sz w:val="32"/>
          <w:szCs w:val="32"/>
          <w:shd w:val="clear" w:fill="FFFFFF"/>
          <w:lang w:val="en-US" w:eastAsia="zh-CN" w:bidi="ar"/>
        </w:rPr>
        <w:t>27</w:t>
      </w:r>
      <w:r>
        <w:rPr>
          <w:rFonts w:hint="eastAsia" w:ascii="仿宋_GB2312" w:hAnsi="Times New Roman" w:eastAsia="仿宋_GB2312" w:cs="仿宋_GB2312"/>
          <w:color w:val="333333"/>
          <w:kern w:val="2"/>
          <w:sz w:val="32"/>
          <w:szCs w:val="32"/>
          <w:shd w:val="clear" w:fill="FFFFFF"/>
          <w:lang w:val="en-US" w:eastAsia="zh-CN" w:bidi="ar"/>
        </w:rPr>
        <w:t>个科室，所属事业单位</w:t>
      </w:r>
      <w:r>
        <w:rPr>
          <w:rFonts w:hint="default" w:ascii="仿宋_GB2312" w:hAnsi="Times New Roman" w:eastAsia="仿宋_GB2312" w:cs="仿宋_GB2312"/>
          <w:color w:val="333333"/>
          <w:kern w:val="2"/>
          <w:sz w:val="32"/>
          <w:szCs w:val="32"/>
          <w:shd w:val="clear" w:fill="FFFFFF"/>
          <w:lang w:val="en-US" w:eastAsia="zh-CN" w:bidi="ar"/>
        </w:rPr>
        <w:t>3</w:t>
      </w:r>
      <w:r>
        <w:rPr>
          <w:rFonts w:hint="eastAsia" w:ascii="仿宋_GB2312" w:hAnsi="Times New Roman" w:eastAsia="仿宋_GB2312" w:cs="仿宋_GB2312"/>
          <w:color w:val="333333"/>
          <w:kern w:val="2"/>
          <w:sz w:val="32"/>
          <w:szCs w:val="32"/>
          <w:shd w:val="clear" w:fill="FFFFFF"/>
          <w:lang w:val="en-US" w:eastAsia="zh-CN" w:bidi="ar"/>
        </w:rPr>
        <w:t>个。</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内设科室分别是 ：办公室、国民经济综合和规划科、法规科、固定资产投资科、地区经济科、农村经济科和对口支援科、工业交通外经科、财贸服务和信用建设科、资源节约环境保护和两型社会建设科、社会发展科、服务价格和收费管理科、商品价格和调控管理科、行政审批科、长江经济带和洞庭湖发展办公室、能源科、评估督导科、成本调查监审科、粮食产业发展科、粮食调控与储备科、物资储备科、财经科、人事科、机关党委、机关纪委、离退休人员管理科、财务科、工会。</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所属事业单位分别是：岳阳市重点项目事务中心、岳阳市发展改革事务中心、军粮供应中心。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0" w:firstLineChars="200"/>
        <w:jc w:val="left"/>
        <w:textAlignment w:val="center"/>
        <w:rPr>
          <w:rFonts w:hint="default" w:ascii="楷体" w:hAnsi="楷体" w:eastAsia="楷体" w:cs="楷体"/>
          <w:i w:val="0"/>
          <w:iCs w:val="0"/>
          <w:caps w:val="0"/>
          <w:color w:val="333333"/>
          <w:spacing w:val="0"/>
          <w:kern w:val="0"/>
          <w:sz w:val="32"/>
          <w:szCs w:val="32"/>
          <w:lang w:val="en-US" w:eastAsia="zh-CN" w:bidi="ar"/>
        </w:rPr>
      </w:pPr>
      <w:r>
        <w:rPr>
          <w:rFonts w:hint="default" w:ascii="楷体" w:hAnsi="楷体" w:eastAsia="楷体" w:cs="楷体"/>
          <w:i w:val="0"/>
          <w:iCs w:val="0"/>
          <w:caps w:val="0"/>
          <w:color w:val="333333"/>
          <w:spacing w:val="0"/>
          <w:kern w:val="0"/>
          <w:sz w:val="32"/>
          <w:szCs w:val="32"/>
          <w:lang w:val="en-US" w:eastAsia="zh-CN" w:bidi="ar"/>
        </w:rPr>
        <w:t>部门主要职能</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拟订并组织实施全市国民经济和社会发展战略、中长期规划和年度计划。拟定全市能源发展战略、规划、计划和政策。牵头组织统一规划体系建设。负责市级专项规划、区域规划、空间规划与全市发展规划的统筹衔接。研究拟订全市国民经济和社会发展、经济体制改革和对外开放的有关规章制度，协调解决有关重大问题。受市人民政府委托向市人民代表大会提交国民经济和社会发展计划的报告。</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研究提出加快建设现代化经济体系、推动高质量发展的总体目标、重大任务以及相关政策。组织开展重大战略规划、重大政策、重大工程等评估督导，提出相关调整建议。</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研究提出全市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费政策。参与拟订财政、金融和土地等政策措施。</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研究提出和综合协调全市经济体制改革有关工作，提出相关改革建议。牵头推进供给侧结构性改革。协调推进产权制度和要素市场化配置改革，推动完善基本经济制度和现代市场体系建设，会同相关部门组织实施市场准入负面清单制度。组织拟订综合性经济体制改革方案，协调有关专项改革方案。负责推进能源体制改革，协调能源发展和改革中的重大问题。</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研究提出全市利用外资和境外投资的战略、规划、总量平衡和结构优化的政策。牵头推进实施“一带一区”建设。统筹协调“走出去”有关工作。负责全市全口径外债的总量控制、结构优化和监测工作。</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负责投资综合管理，拟订全市全社会固定资产投资总规模和投资结构的调控目标、政策及措施。统筹安排市级财政性建设资金和投资项目，编制下达政府投资年度计划。规划全市重大建设项目和生产力布局，按权限审批、核准、审核、备案重大项目，审批、管理政府投资项目初步设计概算。拟订并推动落实鼓励民间投资政策措施。研究提出市重点建设项目计划，负责政府投资项目代建制实施的指导、协调和监督管理。指导工程咨询业发展。</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推进落实区域协调发展战略、新型城镇化战略和重大政策，组织拟订相关区域规划和政策。贯彻落实国家西部开发、中部崛起、长江经济带开发建设的政策措施，牵头落实“一带一区”发展战略。组织编制区域规划并协调实施。研究制订并统筹促进市内区域协调发展的战略、规划和重大政策。协调两型社会建设。拟订并组织实施全市易地扶贫搬迁、以工代赈规划和计划。参与研究拟订全市新型城镇化发展战略和重大政策措施。制定开发区发展规划和政策。统筹协调区域合作和对口支援工作。</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组织拟订综合性产业政策，负责协调一二三产业发展的重大问题并统筹衔接相关发展规划和重大政策。协调推进重大基础设施建设。协调农业农村经济发展有关重大问题。统筹全市服务业发展与改革，组织拟订并推动实施服务业发展规划及现代物流业发展规划和重大政策。综合研判消费变动趋势，研究协调解决扩大居民消费中的重大问题，拟订实施促进消费的综合性政策措施。</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推动实施创新驱动发展战略。会同相关部门拟订推进创新创业的规划和政策，提出创新发展和培育经济发展新动能的政策措施。组织拟订战略性新兴产业发展规划政策；会同有关部门组织拟订实施高技术产业发展、产业技术进步规划政策；研究提出新型工业化和产业集群发展的政策措施；实施高新技术产业发展的宏观指导，协调产业升级、重大技术装备推广应用等方面的重大问题。</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跟踪研判涉及经济安全、生态安全、资源安全、科技安全、社会安全等各类风险隐患，提出相关工作建议。承担经济、生态、资源等重点领域国家安全工作协调机制相关工作。承担重要商品总量平衡和宏观调控，提出重要工业品、原材料和重要农产品进出口调控意见。根据经济运行情况对计划进行调整。研究提出全市战略物资储备规划、全市储备品种目录的建议。根据全市储备总体发展规划和品种目录，组织实施全市战略和应急储备物资的收储、轮换和日常管理，落实有关动用计划和指令。</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负责社会发展与国民经济发展的政策衔接，组织拟订社会发展战略、总体规划。协调社会领域事业和产业发展政策及改革重大问题。统筹推进基本公共服务体系建设和收入分配制度改革，研究提出推进就业、完善社会保障与经济协调发展的政策建议。</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推进可持续发展战略，推动生态文明建设和改革，协调生态环境保护与修复、能源资源节约和综合利用等工作。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负责能源行业统计、预测预警；拟订煤炭、电力、石油、天然气、新能源、可再生能源和分布式能源发展规划、计划和政策并组织实施。</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拟订全市价格改革方案和年度计划，研究提出价格调控目标和政策建议，组织实施价格总水平调控。组织起草有关价格收费法规草案和政策。承担问政府管理的重要商品和服务价格管理工作。承担行政事业性收费管理工作。承担价格监测、市场价格形势分析和涉案物价格鉴证工作。负责价格成本调查和监审。</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指导和协调全市公共资源交易平台建设，牵头组织监督公共资源交易活动。牵头开展社会信用体系建设，研究拟订推进社会信用体系建设的规划和政策措施，统筹推进统一的信用信息平台建设，协调有关重大问题。</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default"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会同有关部门拟订推进全市经济建设与国防建设协调发展的战略和规划，协调有关重大问题。推动实施军民融合发展战略，组织编制全市国民经济动员规划，协调和组织实施全市国民经济动员有关工作。</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default"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承担市国防动员委员会、市推动长江经济带发展领导小组、洞庭湖生态经济区建设等有关具体工作。</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default"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完成市委、市政府交办的其他任务。</w:t>
      </w:r>
    </w:p>
    <w:p>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1、收入情况：全年收入</w:t>
      </w:r>
      <w:r>
        <w:rPr>
          <w:rFonts w:hint="eastAsia" w:ascii="仿宋_GB2312" w:hAnsi="Times New Roman" w:eastAsia="仿宋_GB2312" w:cs="仿宋_GB2312"/>
          <w:color w:val="333333"/>
          <w:kern w:val="2"/>
          <w:sz w:val="32"/>
          <w:szCs w:val="32"/>
          <w:shd w:val="clear" w:fill="FFFFFF"/>
          <w:lang w:val="en-US" w:eastAsia="zh-CN" w:bidi="ar"/>
        </w:rPr>
        <w:t>3828.79</w:t>
      </w:r>
      <w:r>
        <w:rPr>
          <w:rFonts w:hint="default" w:ascii="仿宋_GB2312" w:hAnsi="Times New Roman" w:eastAsia="仿宋_GB2312" w:cs="仿宋_GB2312"/>
          <w:color w:val="333333"/>
          <w:kern w:val="2"/>
          <w:sz w:val="32"/>
          <w:szCs w:val="32"/>
          <w:shd w:val="clear" w:fill="FFFFFF"/>
          <w:lang w:val="en-US" w:eastAsia="zh-CN" w:bidi="ar"/>
        </w:rPr>
        <w:t>元，其中：财政拨款</w:t>
      </w:r>
      <w:r>
        <w:rPr>
          <w:rFonts w:hint="eastAsia" w:ascii="仿宋_GB2312" w:hAnsi="Times New Roman" w:eastAsia="仿宋_GB2312" w:cs="仿宋_GB2312"/>
          <w:color w:val="333333"/>
          <w:kern w:val="2"/>
          <w:sz w:val="32"/>
          <w:szCs w:val="32"/>
          <w:shd w:val="clear" w:fill="FFFFFF"/>
          <w:lang w:val="en-US" w:eastAsia="zh-CN" w:bidi="ar"/>
        </w:rPr>
        <w:t>3679.2</w:t>
      </w:r>
      <w:r>
        <w:rPr>
          <w:rFonts w:hint="default" w:ascii="仿宋_GB2312" w:hAnsi="Times New Roman" w:eastAsia="仿宋_GB2312" w:cs="仿宋_GB2312"/>
          <w:color w:val="333333"/>
          <w:kern w:val="2"/>
          <w:sz w:val="32"/>
          <w:szCs w:val="32"/>
          <w:shd w:val="clear" w:fill="FFFFFF"/>
          <w:lang w:val="en-US" w:eastAsia="zh-CN" w:bidi="ar"/>
        </w:rPr>
        <w:t>万元，其他收入</w:t>
      </w:r>
      <w:r>
        <w:rPr>
          <w:rFonts w:hint="eastAsia" w:ascii="仿宋_GB2312" w:hAnsi="Times New Roman" w:eastAsia="仿宋_GB2312" w:cs="仿宋_GB2312"/>
          <w:color w:val="333333"/>
          <w:kern w:val="2"/>
          <w:sz w:val="32"/>
          <w:szCs w:val="32"/>
          <w:shd w:val="clear" w:fill="FFFFFF"/>
          <w:lang w:val="en-US" w:eastAsia="zh-CN" w:bidi="ar"/>
        </w:rPr>
        <w:t>149.59</w:t>
      </w:r>
      <w:r>
        <w:rPr>
          <w:rFonts w:hint="default" w:ascii="仿宋_GB2312" w:hAnsi="Times New Roman" w:eastAsia="仿宋_GB2312" w:cs="仿宋_GB2312"/>
          <w:color w:val="333333"/>
          <w:kern w:val="2"/>
          <w:sz w:val="32"/>
          <w:szCs w:val="32"/>
          <w:shd w:val="clear" w:fill="FFFFFF"/>
          <w:lang w:val="en-US" w:eastAsia="zh-CN" w:bidi="ar"/>
        </w:rPr>
        <w:t>万元。（2）支出情况：全年支出</w:t>
      </w:r>
      <w:r>
        <w:rPr>
          <w:rFonts w:hint="eastAsia" w:ascii="仿宋_GB2312" w:hAnsi="Times New Roman" w:eastAsia="仿宋_GB2312" w:cs="仿宋_GB2312"/>
          <w:color w:val="333333"/>
          <w:kern w:val="2"/>
          <w:sz w:val="32"/>
          <w:szCs w:val="32"/>
          <w:shd w:val="clear" w:fill="FFFFFF"/>
          <w:lang w:val="en-US" w:eastAsia="zh-CN" w:bidi="ar"/>
        </w:rPr>
        <w:t>3828.79</w:t>
      </w:r>
      <w:r>
        <w:rPr>
          <w:rFonts w:hint="default" w:ascii="仿宋_GB2312" w:hAnsi="Times New Roman" w:eastAsia="仿宋_GB2312" w:cs="仿宋_GB2312"/>
          <w:color w:val="333333"/>
          <w:kern w:val="2"/>
          <w:sz w:val="32"/>
          <w:szCs w:val="32"/>
          <w:shd w:val="clear" w:fill="FFFFFF"/>
          <w:lang w:val="en-US" w:eastAsia="zh-CN" w:bidi="ar"/>
        </w:rPr>
        <w:t>万元，其中：基本支出</w:t>
      </w:r>
      <w:r>
        <w:rPr>
          <w:rFonts w:hint="eastAsia" w:ascii="仿宋_GB2312" w:hAnsi="Times New Roman" w:eastAsia="仿宋_GB2312" w:cs="仿宋_GB2312"/>
          <w:color w:val="333333"/>
          <w:kern w:val="2"/>
          <w:sz w:val="32"/>
          <w:szCs w:val="32"/>
          <w:shd w:val="clear" w:fill="FFFFFF"/>
          <w:lang w:val="en-US" w:eastAsia="zh-CN" w:bidi="ar"/>
        </w:rPr>
        <w:t>3068.39</w:t>
      </w:r>
      <w:r>
        <w:rPr>
          <w:rFonts w:hint="default" w:ascii="仿宋_GB2312" w:hAnsi="Times New Roman" w:eastAsia="仿宋_GB2312" w:cs="仿宋_GB2312"/>
          <w:color w:val="333333"/>
          <w:kern w:val="2"/>
          <w:sz w:val="32"/>
          <w:szCs w:val="32"/>
          <w:shd w:val="clear" w:fill="FFFFFF"/>
          <w:lang w:val="en-US" w:eastAsia="zh-CN" w:bidi="ar"/>
        </w:rPr>
        <w:t>万元 （工资福利支出</w:t>
      </w:r>
      <w:r>
        <w:rPr>
          <w:rFonts w:hint="eastAsia" w:ascii="仿宋_GB2312" w:hAnsi="Times New Roman" w:eastAsia="仿宋_GB2312" w:cs="仿宋_GB2312"/>
          <w:color w:val="333333"/>
          <w:kern w:val="2"/>
          <w:sz w:val="32"/>
          <w:szCs w:val="32"/>
          <w:shd w:val="clear" w:fill="FFFFFF"/>
          <w:lang w:val="en-US" w:eastAsia="zh-CN" w:bidi="ar"/>
        </w:rPr>
        <w:t>2557.01</w:t>
      </w:r>
      <w:r>
        <w:rPr>
          <w:rFonts w:hint="default" w:ascii="仿宋_GB2312" w:hAnsi="Times New Roman" w:eastAsia="仿宋_GB2312" w:cs="仿宋_GB2312"/>
          <w:color w:val="333333"/>
          <w:kern w:val="2"/>
          <w:sz w:val="32"/>
          <w:szCs w:val="32"/>
          <w:shd w:val="clear" w:fill="FFFFFF"/>
          <w:lang w:val="en-US" w:eastAsia="zh-CN" w:bidi="ar"/>
        </w:rPr>
        <w:t>万元，公用支出</w:t>
      </w:r>
      <w:r>
        <w:rPr>
          <w:rFonts w:hint="eastAsia" w:ascii="仿宋_GB2312" w:hAnsi="Times New Roman" w:eastAsia="仿宋_GB2312" w:cs="仿宋_GB2312"/>
          <w:color w:val="333333"/>
          <w:kern w:val="2"/>
          <w:sz w:val="32"/>
          <w:szCs w:val="32"/>
          <w:shd w:val="clear" w:fill="FFFFFF"/>
          <w:lang w:val="en-US" w:eastAsia="zh-CN" w:bidi="ar"/>
        </w:rPr>
        <w:t>511.38</w:t>
      </w:r>
      <w:r>
        <w:rPr>
          <w:rFonts w:hint="default" w:ascii="仿宋_GB2312" w:hAnsi="Times New Roman" w:eastAsia="仿宋_GB2312" w:cs="仿宋_GB2312"/>
          <w:color w:val="333333"/>
          <w:kern w:val="2"/>
          <w:sz w:val="32"/>
          <w:szCs w:val="32"/>
          <w:shd w:val="clear" w:fill="FFFFFF"/>
          <w:lang w:val="en-US" w:eastAsia="zh-CN" w:bidi="ar"/>
        </w:rPr>
        <w:t>万元），项目支出</w:t>
      </w:r>
      <w:r>
        <w:rPr>
          <w:rFonts w:hint="eastAsia" w:ascii="仿宋_GB2312" w:hAnsi="Times New Roman" w:eastAsia="仿宋_GB2312" w:cs="仿宋_GB2312"/>
          <w:color w:val="333333"/>
          <w:kern w:val="2"/>
          <w:sz w:val="32"/>
          <w:szCs w:val="32"/>
          <w:shd w:val="clear" w:fill="FFFFFF"/>
          <w:lang w:val="en-US" w:eastAsia="zh-CN" w:bidi="ar"/>
        </w:rPr>
        <w:t>760.4</w:t>
      </w:r>
      <w:r>
        <w:rPr>
          <w:rFonts w:hint="default" w:ascii="仿宋_GB2312" w:hAnsi="Times New Roman" w:eastAsia="仿宋_GB2312" w:cs="仿宋_GB2312"/>
          <w:color w:val="333333"/>
          <w:kern w:val="2"/>
          <w:sz w:val="32"/>
          <w:szCs w:val="32"/>
          <w:shd w:val="clear" w:fill="FFFFFF"/>
          <w:lang w:val="en-US" w:eastAsia="zh-CN" w:bidi="ar"/>
        </w:rPr>
        <w:t>万元。</w:t>
      </w:r>
    </w:p>
    <w:p>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2、三公经费支出情况：202</w:t>
      </w:r>
      <w:r>
        <w:rPr>
          <w:rFonts w:hint="eastAsia" w:ascii="仿宋_GB2312" w:hAnsi="Times New Roman" w:eastAsia="仿宋_GB2312" w:cs="仿宋_GB2312"/>
          <w:color w:val="333333"/>
          <w:kern w:val="2"/>
          <w:sz w:val="32"/>
          <w:szCs w:val="32"/>
          <w:shd w:val="clear" w:fill="FFFFFF"/>
          <w:lang w:val="en-US" w:eastAsia="zh-CN" w:bidi="ar"/>
        </w:rPr>
        <w:t>3</w:t>
      </w:r>
      <w:r>
        <w:rPr>
          <w:rFonts w:hint="default" w:ascii="仿宋_GB2312" w:hAnsi="Times New Roman" w:eastAsia="仿宋_GB2312" w:cs="仿宋_GB2312"/>
          <w:color w:val="333333"/>
          <w:kern w:val="2"/>
          <w:sz w:val="32"/>
          <w:szCs w:val="32"/>
          <w:shd w:val="clear" w:fill="FFFFFF"/>
          <w:lang w:val="en-US" w:eastAsia="zh-CN" w:bidi="ar"/>
        </w:rPr>
        <w:t>年部门预算安排“三公”经费</w:t>
      </w:r>
      <w:r>
        <w:rPr>
          <w:rFonts w:hint="eastAsia" w:ascii="仿宋_GB2312" w:hAnsi="Times New Roman" w:eastAsia="仿宋_GB2312" w:cs="仿宋_GB2312"/>
          <w:color w:val="333333"/>
          <w:kern w:val="2"/>
          <w:sz w:val="32"/>
          <w:szCs w:val="32"/>
          <w:shd w:val="clear" w:fill="FFFFFF"/>
          <w:lang w:val="en-US" w:eastAsia="zh-CN" w:bidi="ar"/>
        </w:rPr>
        <w:t>15</w:t>
      </w:r>
      <w:r>
        <w:rPr>
          <w:rFonts w:hint="default" w:ascii="仿宋_GB2312" w:hAnsi="Times New Roman" w:eastAsia="仿宋_GB2312" w:cs="仿宋_GB2312"/>
          <w:color w:val="333333"/>
          <w:kern w:val="2"/>
          <w:sz w:val="32"/>
          <w:szCs w:val="32"/>
          <w:shd w:val="clear" w:fill="FFFFFF"/>
          <w:lang w:val="en-US" w:eastAsia="zh-CN" w:bidi="ar"/>
        </w:rPr>
        <w:t>万元，实际支出</w:t>
      </w:r>
      <w:r>
        <w:rPr>
          <w:rFonts w:hint="eastAsia" w:ascii="仿宋_GB2312" w:hAnsi="Times New Roman" w:eastAsia="仿宋_GB2312" w:cs="仿宋_GB2312"/>
          <w:color w:val="333333"/>
          <w:kern w:val="2"/>
          <w:sz w:val="32"/>
          <w:szCs w:val="32"/>
          <w:shd w:val="clear" w:fill="FFFFFF"/>
          <w:lang w:val="en-US" w:eastAsia="zh-CN" w:bidi="ar"/>
        </w:rPr>
        <w:t>7.98</w:t>
      </w:r>
      <w:r>
        <w:rPr>
          <w:rFonts w:hint="default" w:ascii="仿宋_GB2312" w:hAnsi="Times New Roman" w:eastAsia="仿宋_GB2312" w:cs="仿宋_GB2312"/>
          <w:color w:val="333333"/>
          <w:kern w:val="2"/>
          <w:sz w:val="32"/>
          <w:szCs w:val="32"/>
          <w:shd w:val="clear" w:fill="FFFFFF"/>
          <w:lang w:val="en-US" w:eastAsia="zh-CN" w:bidi="ar"/>
        </w:rPr>
        <w:t>万元。其中公务接待费</w:t>
      </w:r>
      <w:r>
        <w:rPr>
          <w:rFonts w:hint="eastAsia" w:ascii="仿宋_GB2312" w:hAnsi="Times New Roman" w:eastAsia="仿宋_GB2312" w:cs="仿宋_GB2312"/>
          <w:color w:val="333333"/>
          <w:kern w:val="2"/>
          <w:sz w:val="32"/>
          <w:szCs w:val="32"/>
          <w:shd w:val="clear" w:fill="FFFFFF"/>
          <w:lang w:val="en-US" w:eastAsia="zh-CN" w:bidi="ar"/>
        </w:rPr>
        <w:t>3.64</w:t>
      </w:r>
      <w:r>
        <w:rPr>
          <w:rFonts w:hint="default" w:ascii="仿宋_GB2312" w:hAnsi="Times New Roman" w:eastAsia="仿宋_GB2312" w:cs="仿宋_GB2312"/>
          <w:color w:val="333333"/>
          <w:kern w:val="2"/>
          <w:sz w:val="32"/>
          <w:szCs w:val="32"/>
          <w:shd w:val="clear" w:fill="FFFFFF"/>
          <w:lang w:val="en-US" w:eastAsia="zh-CN" w:bidi="ar"/>
        </w:rPr>
        <w:t>万元，公务用车运行维护费</w:t>
      </w:r>
      <w:r>
        <w:rPr>
          <w:rFonts w:hint="eastAsia" w:ascii="仿宋_GB2312" w:hAnsi="Times New Roman" w:eastAsia="仿宋_GB2312" w:cs="仿宋_GB2312"/>
          <w:color w:val="333333"/>
          <w:kern w:val="2"/>
          <w:sz w:val="32"/>
          <w:szCs w:val="32"/>
          <w:shd w:val="clear" w:fill="FFFFFF"/>
          <w:lang w:val="en-US" w:eastAsia="zh-CN" w:bidi="ar"/>
        </w:rPr>
        <w:t>4.34</w:t>
      </w:r>
      <w:r>
        <w:rPr>
          <w:rFonts w:hint="default" w:ascii="仿宋_GB2312" w:hAnsi="Times New Roman" w:eastAsia="仿宋_GB2312" w:cs="仿宋_GB2312"/>
          <w:color w:val="333333"/>
          <w:kern w:val="2"/>
          <w:sz w:val="32"/>
          <w:szCs w:val="32"/>
          <w:shd w:val="clear" w:fill="FFFFFF"/>
          <w:lang w:val="en-US" w:eastAsia="zh-CN" w:bidi="ar"/>
        </w:rPr>
        <w:t>万元，无因公出国费用。</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全年项目支出</w:t>
      </w:r>
      <w:r>
        <w:rPr>
          <w:rFonts w:hint="eastAsia" w:ascii="仿宋_GB2312" w:hAnsi="Times New Roman" w:eastAsia="仿宋_GB2312" w:cs="仿宋_GB2312"/>
          <w:color w:val="333333"/>
          <w:kern w:val="2"/>
          <w:sz w:val="32"/>
          <w:szCs w:val="32"/>
          <w:shd w:val="clear" w:fill="FFFFFF"/>
          <w:lang w:val="en-US" w:eastAsia="zh-CN" w:bidi="ar"/>
        </w:rPr>
        <w:t>760.4</w:t>
      </w:r>
      <w:r>
        <w:rPr>
          <w:rFonts w:hint="default" w:ascii="仿宋_GB2312" w:hAnsi="Times New Roman" w:eastAsia="仿宋_GB2312" w:cs="仿宋_GB2312"/>
          <w:color w:val="333333"/>
          <w:kern w:val="2"/>
          <w:sz w:val="32"/>
          <w:szCs w:val="32"/>
          <w:shd w:val="clear" w:fill="FFFFFF"/>
          <w:lang w:val="en-US" w:eastAsia="zh-CN" w:bidi="ar"/>
        </w:rPr>
        <w:t>万元，</w:t>
      </w:r>
      <w:r>
        <w:rPr>
          <w:rFonts w:hint="eastAsia" w:ascii="仿宋_GB2312" w:hAnsi="Times New Roman" w:eastAsia="仿宋_GB2312" w:cs="仿宋_GB2312"/>
          <w:color w:val="333333"/>
          <w:kern w:val="2"/>
          <w:sz w:val="32"/>
          <w:szCs w:val="32"/>
          <w:shd w:val="clear" w:fill="FFFFFF"/>
          <w:lang w:val="en-US" w:eastAsia="zh-CN" w:bidi="ar"/>
        </w:rPr>
        <w:t>其中上年结转128.47万元，</w:t>
      </w:r>
      <w:r>
        <w:rPr>
          <w:rFonts w:hint="default" w:ascii="仿宋_GB2312" w:hAnsi="Times New Roman" w:eastAsia="仿宋_GB2312" w:cs="仿宋_GB2312"/>
          <w:color w:val="333333"/>
          <w:kern w:val="2"/>
          <w:sz w:val="32"/>
          <w:szCs w:val="32"/>
          <w:shd w:val="clear" w:fill="FFFFFF"/>
          <w:lang w:val="en-US" w:eastAsia="zh-CN" w:bidi="ar"/>
        </w:rPr>
        <w:t>财政拨款</w:t>
      </w:r>
      <w:r>
        <w:rPr>
          <w:rFonts w:hint="eastAsia" w:ascii="仿宋_GB2312" w:hAnsi="Times New Roman" w:eastAsia="仿宋_GB2312" w:cs="仿宋_GB2312"/>
          <w:color w:val="333333"/>
          <w:kern w:val="2"/>
          <w:sz w:val="32"/>
          <w:szCs w:val="32"/>
          <w:shd w:val="clear" w:fill="FFFFFF"/>
          <w:lang w:val="en-US" w:eastAsia="zh-CN" w:bidi="ar"/>
        </w:rPr>
        <w:t>631.93</w:t>
      </w:r>
      <w:r>
        <w:rPr>
          <w:rFonts w:hint="default" w:ascii="仿宋_GB2312" w:hAnsi="Times New Roman" w:eastAsia="仿宋_GB2312" w:cs="仿宋_GB2312"/>
          <w:color w:val="333333"/>
          <w:kern w:val="2"/>
          <w:sz w:val="32"/>
          <w:szCs w:val="32"/>
          <w:shd w:val="clear" w:fill="FFFFFF"/>
          <w:lang w:val="en-US" w:eastAsia="zh-CN" w:bidi="ar"/>
        </w:rPr>
        <w:t>万元。其中重大项目前期工作经费</w:t>
      </w:r>
      <w:r>
        <w:rPr>
          <w:rFonts w:hint="eastAsia" w:ascii="仿宋_GB2312" w:hAnsi="Times New Roman" w:eastAsia="仿宋_GB2312" w:cs="仿宋_GB2312"/>
          <w:color w:val="333333"/>
          <w:kern w:val="2"/>
          <w:sz w:val="32"/>
          <w:szCs w:val="32"/>
          <w:shd w:val="clear" w:fill="FFFFFF"/>
          <w:lang w:val="en-US" w:eastAsia="zh-CN" w:bidi="ar"/>
        </w:rPr>
        <w:t>161.06</w:t>
      </w:r>
      <w:r>
        <w:rPr>
          <w:rFonts w:hint="default" w:ascii="仿宋_GB2312" w:hAnsi="Times New Roman" w:eastAsia="仿宋_GB2312" w:cs="仿宋_GB2312"/>
          <w:color w:val="333333"/>
          <w:kern w:val="2"/>
          <w:sz w:val="32"/>
          <w:szCs w:val="32"/>
          <w:shd w:val="clear" w:fill="FFFFFF"/>
          <w:lang w:val="en-US" w:eastAsia="zh-CN" w:bidi="ar"/>
        </w:rPr>
        <w:t>万元</w:t>
      </w:r>
      <w:r>
        <w:rPr>
          <w:rFonts w:hint="eastAsia" w:ascii="仿宋_GB2312" w:hAnsi="Times New Roman" w:eastAsia="仿宋_GB2312" w:cs="仿宋_GB2312"/>
          <w:color w:val="333333"/>
          <w:kern w:val="2"/>
          <w:sz w:val="32"/>
          <w:szCs w:val="32"/>
          <w:shd w:val="clear" w:fill="FFFFFF"/>
          <w:lang w:val="en-US" w:eastAsia="zh-CN" w:bidi="ar"/>
        </w:rPr>
        <w:t>(包括常九铁路工作经费、碳达峰工作经费等）</w:t>
      </w:r>
      <w:r>
        <w:rPr>
          <w:rFonts w:hint="default" w:ascii="仿宋_GB2312" w:hAnsi="Times New Roman" w:eastAsia="仿宋_GB2312" w:cs="仿宋_GB2312"/>
          <w:color w:val="333333"/>
          <w:kern w:val="2"/>
          <w:sz w:val="32"/>
          <w:szCs w:val="32"/>
          <w:shd w:val="clear" w:fill="FFFFFF"/>
          <w:lang w:val="en-US" w:eastAsia="zh-CN" w:bidi="ar"/>
        </w:rPr>
        <w:t>，重大项目前期工作经费（评审经费）60万元，重大项目前期工作经费（重点办）36万元。</w:t>
      </w:r>
      <w:r>
        <w:rPr>
          <w:rFonts w:hint="eastAsia" w:ascii="仿宋_GB2312" w:hAnsi="Times New Roman" w:eastAsia="仿宋_GB2312" w:cs="仿宋_GB2312"/>
          <w:color w:val="333333"/>
          <w:kern w:val="2"/>
          <w:sz w:val="32"/>
          <w:szCs w:val="32"/>
          <w:shd w:val="clear" w:fill="FFFFFF"/>
          <w:lang w:val="en-US" w:eastAsia="zh-CN" w:bidi="ar"/>
        </w:rPr>
        <w:t>财经办经费15万元；农产品成本调查经费20万元，粮食储备管理20万元；对口支援50万元；商品粮大省奖励资金70万元；绩效奖励（人员）136.1万元；争资争项考核绩效奖励50万元等</w:t>
      </w:r>
      <w:r>
        <w:rPr>
          <w:rFonts w:hint="default" w:ascii="仿宋_GB2312" w:hAnsi="Times New Roman" w:eastAsia="仿宋_GB2312" w:cs="仿宋_GB2312"/>
          <w:color w:val="333333"/>
          <w:kern w:val="2"/>
          <w:sz w:val="32"/>
          <w:szCs w:val="32"/>
          <w:shd w:val="clear" w:fill="FFFFFF"/>
          <w:lang w:val="en-US" w:eastAsia="zh-CN" w:bidi="ar"/>
        </w:rPr>
        <w:t>。</w:t>
      </w:r>
    </w:p>
    <w:p>
      <w:pPr>
        <w:pStyle w:val="6"/>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我委无政府性基金预算支出</w:t>
      </w:r>
    </w:p>
    <w:p>
      <w:pPr>
        <w:pStyle w:val="6"/>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bookmarkStart w:id="0" w:name="_GoBack"/>
      <w:bookmarkEnd w:id="0"/>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我委无国有资金经营预算支出</w:t>
      </w:r>
    </w:p>
    <w:p>
      <w:pPr>
        <w:pStyle w:val="6"/>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我委无社会保险基金预算支出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202</w:t>
      </w:r>
      <w:r>
        <w:rPr>
          <w:rFonts w:hint="eastAsia" w:ascii="仿宋_GB2312" w:hAnsi="Times New Roman" w:eastAsia="仿宋_GB2312" w:cs="仿宋_GB2312"/>
          <w:color w:val="333333"/>
          <w:kern w:val="2"/>
          <w:sz w:val="32"/>
          <w:szCs w:val="32"/>
          <w:shd w:val="clear" w:fill="FFFFFF"/>
          <w:lang w:val="en-US" w:eastAsia="zh-CN" w:bidi="ar"/>
        </w:rPr>
        <w:t>3</w:t>
      </w:r>
      <w:r>
        <w:rPr>
          <w:rFonts w:hint="default" w:ascii="仿宋_GB2312" w:hAnsi="Times New Roman" w:eastAsia="仿宋_GB2312" w:cs="仿宋_GB2312"/>
          <w:color w:val="333333"/>
          <w:kern w:val="2"/>
          <w:sz w:val="32"/>
          <w:szCs w:val="32"/>
          <w:shd w:val="clear" w:fill="FFFFFF"/>
          <w:lang w:val="en-US" w:eastAsia="zh-CN" w:bidi="ar"/>
        </w:rPr>
        <w:t>年，根据我委年初工作计划和重点工作，围绕市委、市政府的工作部署，积极履行职责，强化管理，较好的完成了年度工作目标，同时加强预算收支的管理，建立健全内部管理制度，严格内部管理流程，部门整体管理得到了提升。202</w:t>
      </w:r>
      <w:r>
        <w:rPr>
          <w:rFonts w:hint="eastAsia" w:ascii="仿宋_GB2312" w:hAnsi="Times New Roman" w:eastAsia="仿宋_GB2312" w:cs="仿宋_GB2312"/>
          <w:color w:val="333333"/>
          <w:kern w:val="2"/>
          <w:sz w:val="32"/>
          <w:szCs w:val="32"/>
          <w:shd w:val="clear" w:fill="FFFFFF"/>
          <w:lang w:val="en-US" w:eastAsia="zh-CN" w:bidi="ar"/>
        </w:rPr>
        <w:t>3</w:t>
      </w:r>
      <w:r>
        <w:rPr>
          <w:rFonts w:hint="default" w:ascii="仿宋_GB2312" w:hAnsi="Times New Roman" w:eastAsia="仿宋_GB2312" w:cs="仿宋_GB2312"/>
          <w:color w:val="333333"/>
          <w:kern w:val="2"/>
          <w:sz w:val="32"/>
          <w:szCs w:val="32"/>
          <w:shd w:val="clear" w:fill="FFFFFF"/>
          <w:lang w:val="en-US" w:eastAsia="zh-CN" w:bidi="ar"/>
        </w:rPr>
        <w:t>年度部门整体支出绩效情况如下：</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1、严格预算支出管理。在支出预算编制上，人员经费按照配置定额，逐人核定编制，公用经费分类分档，按定额编制；根据“总量控制、计划管理”的要求严格控制行政经费，压缩公务费开支，严格控制“三公经费”，资产的配置严格实行政府采购，按照预算科目和项目资金的规定使用财政资金，保障我委整体支出的规范化和制度化。</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2、财务管理上，按照国家相关法律法规，制定了《关于岳阳市发改委公务接待管理规定》、《岳阳市发改委培训费管理实施细则》、《岳阳市发改委会议费管理实施细则》、《岳阳市发改委公务用车管理规定》等七个机关管理制度，并严格按制度执行，保证财政资金的安全和高效运行。</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3、本年度预算配置控制较好，财政供养人员控制在预算编制内，三公经费支出总额较上年有减少，分析原因主要是：我委根据中央和省市有关厉行节约文件精神，严控各项支出，严格落实公务用车管理制度规定，公务接待坚持经费控制、节约简朴原则，最大限度控制和压缩“三公”经费支出。</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4、 预算执行方面，支出总额控制在预算总额以内，基本支出中，财政政策性工资有所追加，本年部门预算未进行相关调整，并按规定管理使用，较好的完成了当年的任务目标，财政拨款支出总体控制较好。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default" w:ascii="仿宋_GB2312" w:hAnsi="Times New Roman" w:eastAsia="仿宋_GB2312" w:cs="仿宋_GB2312"/>
          <w:color w:val="333333"/>
          <w:kern w:val="2"/>
          <w:sz w:val="32"/>
          <w:szCs w:val="32"/>
          <w:shd w:val="clear" w:fill="FFFFFF"/>
          <w:lang w:val="en-US" w:eastAsia="zh-CN" w:bidi="ar"/>
        </w:rPr>
        <w:t>5、预算管理方面，我委制定了切实有效的内部管理制度，执行总体较为有效。</w:t>
      </w:r>
    </w:p>
    <w:p>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一是预算编制有待严格执行。预算编制与实际支出项目有一定差距。</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二是预算拨付资金滞后。有的项目资金和公用经费都是在年末才拨付到位，以至年终资金结存较大。</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一是按照预算规定的项目和用途严格财务审核，经费支出严格按预算规定项目的支出内容进行财务核算，在预算金额内严格控制费用的支出。</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仿宋_GB2312" w:hAnsi="Times New Roman" w:eastAsia="仿宋_GB2312" w:cs="仿宋_GB2312"/>
          <w:color w:val="333333"/>
          <w:kern w:val="2"/>
          <w:sz w:val="32"/>
          <w:szCs w:val="32"/>
          <w:shd w:val="clear" w:fill="FFFFFF"/>
          <w:lang w:val="en-US" w:eastAsia="zh-CN" w:bidi="ar"/>
        </w:rPr>
      </w:pPr>
      <w:r>
        <w:rPr>
          <w:rFonts w:hint="eastAsia" w:ascii="仿宋_GB2312" w:hAnsi="Times New Roman" w:eastAsia="仿宋_GB2312" w:cs="仿宋_GB2312"/>
          <w:color w:val="333333"/>
          <w:kern w:val="2"/>
          <w:sz w:val="32"/>
          <w:szCs w:val="32"/>
          <w:shd w:val="clear" w:fill="FFFFFF"/>
          <w:lang w:val="en-US" w:eastAsia="zh-CN" w:bidi="ar"/>
        </w:rPr>
        <w:t>二是预算分析常态化，定期做好预算支出财务分析，做好部门整体支出预算评价工作。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100</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FF1F7"/>
    <w:multiLevelType w:val="singleLevel"/>
    <w:tmpl w:val="A7DFF1F7"/>
    <w:lvl w:ilvl="0" w:tentative="0">
      <w:start w:val="8"/>
      <w:numFmt w:val="chineseCounting"/>
      <w:suff w:val="nothing"/>
      <w:lvlText w:val="%1、"/>
      <w:lvlJc w:val="left"/>
      <w:rPr>
        <w:rFonts w:hint="eastAsia"/>
      </w:rPr>
    </w:lvl>
  </w:abstractNum>
  <w:abstractNum w:abstractNumId="1">
    <w:nsid w:val="B3F5562A"/>
    <w:multiLevelType w:val="singleLevel"/>
    <w:tmpl w:val="B3F5562A"/>
    <w:lvl w:ilvl="0" w:tentative="0">
      <w:start w:val="1"/>
      <w:numFmt w:val="decimal"/>
      <w:suff w:val="nothing"/>
      <w:lvlText w:val="%1．"/>
      <w:lvlJc w:val="left"/>
      <w:pPr>
        <w:ind w:left="0" w:firstLine="400"/>
      </w:pPr>
      <w:rPr>
        <w:rFonts w:hint="default"/>
      </w:rPr>
    </w:lvl>
  </w:abstractNum>
  <w:abstractNum w:abstractNumId="2">
    <w:nsid w:val="F5CE0AFD"/>
    <w:multiLevelType w:val="singleLevel"/>
    <w:tmpl w:val="F5CE0AFD"/>
    <w:lvl w:ilvl="0" w:tentative="0">
      <w:start w:val="2"/>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abstractNum w:abstractNumId="4">
    <w:nsid w:val="7C9687D3"/>
    <w:multiLevelType w:val="singleLevel"/>
    <w:tmpl w:val="7C9687D3"/>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D94250F"/>
    <w:rsid w:val="10022090"/>
    <w:rsid w:val="12BB482D"/>
    <w:rsid w:val="13E0331D"/>
    <w:rsid w:val="1589123E"/>
    <w:rsid w:val="205D59C1"/>
    <w:rsid w:val="24C724E4"/>
    <w:rsid w:val="369BBC87"/>
    <w:rsid w:val="377B7E35"/>
    <w:rsid w:val="3C1552E6"/>
    <w:rsid w:val="3DDFF1EA"/>
    <w:rsid w:val="47DF7F88"/>
    <w:rsid w:val="59886344"/>
    <w:rsid w:val="59FF3169"/>
    <w:rsid w:val="5D6748DA"/>
    <w:rsid w:val="72902BB8"/>
    <w:rsid w:val="754F6DE3"/>
    <w:rsid w:val="7CD50A21"/>
    <w:rsid w:val="7FBF376C"/>
    <w:rsid w:val="7FFD0EA8"/>
    <w:rsid w:val="7FFF3207"/>
    <w:rsid w:val="B3992913"/>
    <w:rsid w:val="BFFFB642"/>
    <w:rsid w:val="DFEF884A"/>
    <w:rsid w:val="FBBF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2024-03-20T08:36:00Z</dcterms:created>
  <dc:creator>Administrator</dc:creator>
  <cp:lastModifiedBy>Administrator</cp:lastModifiedBy>
  <cp:lastPrinted>2024-07-04T03:54:00Z</cp:lastPrinted>
  <dcterms:modified xsi:type="dcterms:W3CDTF">2024-09-25T08:33:08Z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6182D3A10D564617983F46DEE354AEAF</vt:lpwstr>
  </property>
</Properties>
</file>