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5</w:t>
      </w:r>
    </w:p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</w:p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</w:p>
    <w:p>
      <w:pPr>
        <w:spacing w:line="348" w:lineRule="auto"/>
        <w:rPr>
          <w:rFonts w:hint="eastAsia" w:ascii="宋体" w:hAnsi="宋体" w:eastAsia="宋体" w:cs="宋体"/>
          <w:bCs/>
          <w:sz w:val="44"/>
          <w:szCs w:val="44"/>
        </w:rPr>
      </w:pPr>
    </w:p>
    <w:p>
      <w:pPr>
        <w:spacing w:line="348" w:lineRule="auto"/>
        <w:rPr>
          <w:rFonts w:hint="eastAsia" w:ascii="宋体" w:hAnsi="宋体" w:eastAsia="宋体" w:cs="宋体"/>
          <w:bCs/>
          <w:sz w:val="44"/>
          <w:szCs w:val="44"/>
        </w:rPr>
      </w:pPr>
    </w:p>
    <w:p>
      <w:pPr>
        <w:spacing w:line="348" w:lineRule="auto"/>
        <w:jc w:val="center"/>
        <w:rPr>
          <w:rFonts w:hint="eastAsia" w:ascii="宋体" w:hAnsi="宋体" w:eastAsia="宋体" w:cs="宋体"/>
          <w:bCs/>
          <w:sz w:val="44"/>
          <w:szCs w:val="44"/>
        </w:rPr>
      </w:pPr>
      <w:r>
        <w:rPr>
          <w:rFonts w:hint="eastAsia" w:ascii="宋体" w:hAnsi="宋体" w:eastAsia="宋体" w:cs="宋体"/>
          <w:bCs/>
          <w:sz w:val="44"/>
          <w:szCs w:val="44"/>
        </w:rPr>
        <w:t>20</w:t>
      </w:r>
      <w:r>
        <w:rPr>
          <w:rFonts w:hint="eastAsia" w:ascii="宋体" w:hAnsi="宋体" w:eastAsia="宋体" w:cs="宋体"/>
          <w:bCs/>
          <w:sz w:val="44"/>
          <w:szCs w:val="44"/>
          <w:lang w:val="en-US" w:eastAsia="zh-CN"/>
        </w:rPr>
        <w:t>22</w:t>
      </w:r>
      <w:r>
        <w:rPr>
          <w:rFonts w:hint="eastAsia" w:ascii="宋体" w:hAnsi="宋体" w:eastAsia="宋体" w:cs="宋体"/>
          <w:bCs/>
          <w:sz w:val="44"/>
          <w:szCs w:val="44"/>
        </w:rPr>
        <w:t>年度部门整体支出</w:t>
      </w:r>
    </w:p>
    <w:p>
      <w:pPr>
        <w:spacing w:line="800" w:lineRule="exact"/>
        <w:jc w:val="center"/>
        <w:rPr>
          <w:rFonts w:hint="eastAsia" w:ascii="宋体" w:hAnsi="宋体" w:eastAsia="宋体" w:cs="宋体"/>
          <w:bCs/>
          <w:sz w:val="44"/>
          <w:szCs w:val="44"/>
        </w:rPr>
      </w:pPr>
      <w:r>
        <w:rPr>
          <w:rFonts w:hint="eastAsia" w:ascii="宋体" w:hAnsi="宋体" w:eastAsia="宋体" w:cs="宋体"/>
          <w:bCs/>
          <w:sz w:val="44"/>
          <w:szCs w:val="44"/>
        </w:rPr>
        <w:t>绩效自评报告</w:t>
      </w:r>
    </w:p>
    <w:p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jc w:val="center"/>
        <w:rPr>
          <w:rFonts w:hint="eastAsia" w:eastAsia="仿宋_GB2312"/>
          <w:b/>
          <w:sz w:val="32"/>
        </w:rPr>
      </w:pPr>
    </w:p>
    <w:p>
      <w:pPr>
        <w:jc w:val="center"/>
        <w:rPr>
          <w:rFonts w:hint="eastAsia" w:eastAsia="仿宋_GB2312"/>
          <w:b/>
          <w:sz w:val="32"/>
        </w:rPr>
      </w:pPr>
    </w:p>
    <w:p>
      <w:pPr>
        <w:jc w:val="center"/>
        <w:rPr>
          <w:rFonts w:hint="eastAsia" w:eastAsia="仿宋_GB2312"/>
          <w:b/>
          <w:sz w:val="32"/>
        </w:rPr>
      </w:pPr>
    </w:p>
    <w:p>
      <w:pPr>
        <w:jc w:val="center"/>
        <w:rPr>
          <w:rFonts w:hint="eastAsia" w:eastAsia="仿宋_GB2312"/>
          <w:b/>
          <w:sz w:val="32"/>
        </w:rPr>
      </w:pPr>
    </w:p>
    <w:p>
      <w:pPr>
        <w:spacing w:before="301" w:beforeLines="50" w:line="348" w:lineRule="auto"/>
        <w:ind w:firstLine="480" w:firstLineChars="150"/>
        <w:jc w:val="center"/>
        <w:rPr>
          <w:rFonts w:hint="eastAsia" w:eastAsia="仿宋_GB2312"/>
          <w:sz w:val="32"/>
          <w:szCs w:val="32"/>
        </w:rPr>
      </w:pPr>
    </w:p>
    <w:p>
      <w:pPr>
        <w:spacing w:before="301" w:beforeLines="50" w:line="348" w:lineRule="auto"/>
        <w:ind w:firstLine="480" w:firstLineChars="150"/>
        <w:jc w:val="center"/>
        <w:rPr>
          <w:rFonts w:hint="eastAsia" w:eastAsia="仿宋_GB2312"/>
          <w:sz w:val="32"/>
          <w:szCs w:val="32"/>
          <w:u w:val="single"/>
        </w:rPr>
      </w:pPr>
      <w:r>
        <w:rPr>
          <w:rFonts w:hint="eastAsia" w:eastAsia="仿宋_GB2312"/>
          <w:sz w:val="32"/>
          <w:szCs w:val="32"/>
        </w:rPr>
        <w:t>部门(单位)名称：</w:t>
      </w:r>
      <w:r>
        <w:rPr>
          <w:rFonts w:hint="eastAsia" w:eastAsia="仿宋_GB2312"/>
          <w:sz w:val="32"/>
          <w:szCs w:val="32"/>
          <w:u w:val="single"/>
        </w:rPr>
        <w:t>岳阳市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中心</w:t>
      </w:r>
      <w:r>
        <w:rPr>
          <w:rFonts w:hint="eastAsia" w:eastAsia="仿宋_GB2312"/>
          <w:sz w:val="32"/>
          <w:szCs w:val="32"/>
          <w:u w:val="single"/>
        </w:rPr>
        <w:t>医院</w:t>
      </w:r>
    </w:p>
    <w:p/>
    <w:p/>
    <w:p/>
    <w:p/>
    <w:p/>
    <w:p/>
    <w:p/>
    <w:p/>
    <w:p/>
    <w:p/>
    <w:p/>
    <w:p/>
    <w:p/>
    <w:p/>
    <w:p/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一、部门（单位）基本情况</w:t>
      </w:r>
    </w:p>
    <w:p>
      <w:pPr>
        <w:widowControl/>
        <w:ind w:firstLine="480"/>
        <w:jc w:val="left"/>
        <w:rPr>
          <w:rFonts w:hint="eastAsia" w:eastAsia="仿宋_GB2312"/>
          <w:kern w:val="0"/>
          <w:sz w:val="24"/>
          <w:szCs w:val="24"/>
          <w:lang w:val="en-US" w:eastAsia="zh-CN"/>
        </w:rPr>
      </w:pPr>
      <w:r>
        <w:rPr>
          <w:rFonts w:hint="eastAsia" w:eastAsia="仿宋_GB2312"/>
          <w:kern w:val="0"/>
          <w:sz w:val="24"/>
          <w:szCs w:val="24"/>
          <w:lang w:val="en-US" w:eastAsia="zh-CN"/>
        </w:rPr>
        <w:t>岳阳市中心医院始建于1964年，是一所集医疗、教学、科研、预防、保健、康复于一体的三级甲等综合性医院。现有职工2663人，其中正高职称170人、博士后1人、博士22人、硕士442人。医院编制床位共1929张。全院共开设59个诊疗科目，其中临床类47个，医技类12个。开放病区62个。是中南大学湘雅二医院医疗协作医院、中南大学湘雅医学院临床教学基地，同时还承担着另外12所院校的临床教学工作，是湖南省全科医生转岗培训基地、国家住院医师规范化培训基地、国家药物临床试验机构、国家卫健委脑卒中筛查与防治基地、国际紧急救援网络医院、外国专家定点医疗机构、全国直升机医疗救援基地。医院先后被评为全国文明单位、全国卫生计生系统先进集体，是湖南省区域性医疗中心之一，湖南省首批三级甲等医院。</w:t>
      </w:r>
    </w:p>
    <w:p>
      <w:pPr>
        <w:widowControl/>
        <w:jc w:val="left"/>
        <w:rPr>
          <w:rFonts w:hint="eastAsia" w:eastAsia="仿宋_GB2312"/>
          <w:kern w:val="0"/>
          <w:sz w:val="24"/>
          <w:szCs w:val="24"/>
          <w:lang w:val="en-US" w:eastAsia="zh-CN"/>
        </w:rPr>
      </w:pPr>
    </w:p>
    <w:p>
      <w:pPr>
        <w:widowControl/>
        <w:jc w:val="left"/>
        <w:rPr>
          <w:rFonts w:hint="eastAsia" w:eastAsia="仿宋_GB2312"/>
          <w:kern w:val="0"/>
          <w:sz w:val="24"/>
          <w:szCs w:val="24"/>
          <w:lang w:val="en-US" w:eastAsia="zh-CN"/>
        </w:rPr>
      </w:pPr>
      <w:r>
        <w:rPr>
          <w:rFonts w:hint="eastAsia" w:eastAsia="仿宋_GB2312"/>
          <w:kern w:val="0"/>
          <w:sz w:val="24"/>
          <w:szCs w:val="24"/>
          <w:lang w:val="en-US" w:eastAsia="zh-CN"/>
        </w:rPr>
        <w:t>二、部门（单位）收支情况</w:t>
      </w:r>
    </w:p>
    <w:tbl>
      <w:tblPr>
        <w:tblStyle w:val="3"/>
        <w:tblW w:w="8623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1760"/>
        <w:gridCol w:w="1495"/>
        <w:gridCol w:w="265"/>
        <w:gridCol w:w="1640"/>
        <w:gridCol w:w="620"/>
        <w:gridCol w:w="113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2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单位年度收入预算（万元）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收入合计</w:t>
            </w:r>
          </w:p>
        </w:tc>
        <w:tc>
          <w:tcPr>
            <w:tcW w:w="1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公共财政拨款</w:t>
            </w:r>
          </w:p>
        </w:tc>
        <w:tc>
          <w:tcPr>
            <w:tcW w:w="1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政府性基金拨款</w:t>
            </w:r>
          </w:p>
        </w:tc>
        <w:tc>
          <w:tcPr>
            <w:tcW w:w="19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非税收入拨款</w:t>
            </w:r>
          </w:p>
        </w:tc>
        <w:tc>
          <w:tcPr>
            <w:tcW w:w="17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其他拨款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529</w:t>
            </w:r>
          </w:p>
        </w:tc>
        <w:tc>
          <w:tcPr>
            <w:tcW w:w="1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210</w:t>
            </w:r>
          </w:p>
        </w:tc>
        <w:tc>
          <w:tcPr>
            <w:tcW w:w="1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199</w:t>
            </w:r>
          </w:p>
        </w:tc>
        <w:tc>
          <w:tcPr>
            <w:tcW w:w="17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120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2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支出合计</w:t>
            </w:r>
          </w:p>
        </w:tc>
        <w:tc>
          <w:tcPr>
            <w:tcW w:w="35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基本支出</w:t>
            </w:r>
          </w:p>
        </w:tc>
        <w:tc>
          <w:tcPr>
            <w:tcW w:w="33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项目支出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330</w:t>
            </w:r>
          </w:p>
        </w:tc>
        <w:tc>
          <w:tcPr>
            <w:tcW w:w="35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210</w:t>
            </w:r>
          </w:p>
        </w:tc>
        <w:tc>
          <w:tcPr>
            <w:tcW w:w="33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120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其中</w:t>
            </w:r>
          </w:p>
        </w:tc>
        <w:tc>
          <w:tcPr>
            <w:tcW w:w="691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三公经费预算（万元）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合计</w:t>
            </w:r>
          </w:p>
        </w:tc>
        <w:tc>
          <w:tcPr>
            <w:tcW w:w="35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公务用车运行和购置费</w:t>
            </w:r>
          </w:p>
        </w:tc>
        <w:tc>
          <w:tcPr>
            <w:tcW w:w="2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因公出国（境）费</w:t>
            </w: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公务接待费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5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</w:tbl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部门（单位）整体支出绩效情况</w:t>
      </w:r>
    </w:p>
    <w:tbl>
      <w:tblPr>
        <w:tblStyle w:val="3"/>
        <w:tblW w:w="8587" w:type="dxa"/>
        <w:jc w:val="center"/>
        <w:tblInd w:w="120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1180"/>
        <w:gridCol w:w="1760"/>
        <w:gridCol w:w="3400"/>
        <w:gridCol w:w="175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9" w:hRule="atLeast"/>
          <w:jc w:val="center"/>
        </w:trPr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年度绩效目标</w:t>
            </w:r>
            <w:r>
              <w:rPr>
                <w:rFonts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部门整体支出</w:t>
            </w:r>
          </w:p>
        </w:tc>
        <w:tc>
          <w:tcPr>
            <w:tcW w:w="80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ind w:firstLine="460" w:firstLineChars="192"/>
              <w:rPr>
                <w:sz w:val="24"/>
              </w:rPr>
            </w:pPr>
            <w:r>
              <w:rPr>
                <w:rFonts w:hint="eastAsia"/>
                <w:sz w:val="24"/>
              </w:rPr>
              <w:t>2022年医院资产总额</w:t>
            </w:r>
            <w:r>
              <w:rPr>
                <w:rFonts w:hint="eastAsia"/>
                <w:sz w:val="24"/>
                <w:lang w:val="en-US" w:eastAsia="zh-CN"/>
              </w:rPr>
              <w:t>19.72</w:t>
            </w:r>
            <w:r>
              <w:rPr>
                <w:rFonts w:hint="eastAsia"/>
                <w:sz w:val="24"/>
              </w:rPr>
              <w:t>亿元，净资产</w:t>
            </w:r>
            <w:r>
              <w:rPr>
                <w:rFonts w:hint="eastAsia"/>
                <w:sz w:val="24"/>
                <w:lang w:val="en-US" w:eastAsia="zh-CN"/>
              </w:rPr>
              <w:t>8.6</w:t>
            </w:r>
            <w:r>
              <w:rPr>
                <w:rFonts w:hint="eastAsia"/>
                <w:sz w:val="24"/>
              </w:rPr>
              <w:t>亿元，分别同比增加3.98亿元、1.52亿元，增幅23.14%、21.47 %，药品材料库存802 万元，固定资产原值12.17亿元，医院经济良性发展。</w:t>
            </w:r>
          </w:p>
          <w:p>
            <w:pPr>
              <w:spacing w:line="360" w:lineRule="auto"/>
              <w:ind w:firstLine="460" w:firstLineChars="192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全年总收入</w:t>
            </w:r>
            <w:r>
              <w:rPr>
                <w:rFonts w:hint="eastAsia"/>
                <w:sz w:val="24"/>
                <w:lang w:val="en-US" w:eastAsia="zh-CN"/>
              </w:rPr>
              <w:t>19.4亿元</w:t>
            </w:r>
            <w:r>
              <w:rPr>
                <w:rFonts w:hint="eastAsia"/>
                <w:sz w:val="24"/>
              </w:rPr>
              <w:t>，总支出</w:t>
            </w:r>
            <w:r>
              <w:rPr>
                <w:rFonts w:hint="eastAsia"/>
                <w:sz w:val="24"/>
                <w:lang w:val="en-US" w:eastAsia="zh-CN"/>
              </w:rPr>
              <w:t>18.7亿元</w:t>
            </w:r>
            <w:r>
              <w:rPr>
                <w:rFonts w:hint="eastAsia"/>
                <w:sz w:val="24"/>
              </w:rPr>
              <w:t>，收支总结余6480万，其中医疗亏损3302万，财政科教项目结余9782万</w:t>
            </w:r>
          </w:p>
          <w:p>
            <w:pPr>
              <w:spacing w:line="360" w:lineRule="auto"/>
              <w:ind w:firstLine="460" w:firstLineChars="192"/>
              <w:rPr>
                <w:sz w:val="24"/>
              </w:rPr>
            </w:pPr>
            <w:r>
              <w:rPr>
                <w:rFonts w:hint="eastAsia"/>
                <w:sz w:val="24"/>
              </w:rPr>
              <w:t>全年开放病床2306张，门急诊人次123.5万人次，出院人数93835人，住院病人实际占用67.76万床日。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49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年度绩效指标部门整体支出</w:t>
            </w:r>
          </w:p>
        </w:tc>
        <w:tc>
          <w:tcPr>
            <w:tcW w:w="11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3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  <w:t>指标值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产出指标</w:t>
            </w:r>
            <w:r>
              <w:rPr>
                <w:rFonts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（预期提供的公共产品或服务，包括数量、质量、时效、成本等）</w:t>
            </w:r>
          </w:p>
        </w:tc>
        <w:tc>
          <w:tcPr>
            <w:tcW w:w="1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3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实现医疗收入</w:t>
            </w: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173564万元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3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杜绝重大医疗事故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防范恶性医疗纠纷</w:t>
            </w: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3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完成年工作计划</w:t>
            </w: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3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成本控制在预算范围内</w:t>
            </w: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3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  <w:t>指标值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效益指标</w:t>
            </w:r>
            <w:r>
              <w:rPr>
                <w:rFonts w:eastAsia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（预期可能实现的效益，包括经济效益、社会效益、环境效益、可持续影响以及服务对象满意度等）</w:t>
            </w:r>
          </w:p>
        </w:tc>
        <w:tc>
          <w:tcPr>
            <w:tcW w:w="1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经济效益</w:t>
            </w:r>
          </w:p>
        </w:tc>
        <w:tc>
          <w:tcPr>
            <w:tcW w:w="3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医疗收入</w:t>
            </w: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173564万元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3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优化就医流程、方便病人就医</w:t>
            </w: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逐年提高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环境效益</w:t>
            </w:r>
          </w:p>
        </w:tc>
        <w:tc>
          <w:tcPr>
            <w:tcW w:w="3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污水处理、医疗废物处置达标率</w:t>
            </w: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  <w:lang w:val="en-US" w:eastAsia="zh-CN"/>
              </w:rPr>
              <w:t>100%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可持续影响</w:t>
            </w:r>
          </w:p>
        </w:tc>
        <w:tc>
          <w:tcPr>
            <w:tcW w:w="3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三级公立医院综合改革</w:t>
            </w: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  <w:lang w:val="en-US" w:eastAsia="zh-CN"/>
              </w:rPr>
              <w:t>扎实推进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spacing w:val="-1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3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患者满意度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&gt;=90%</w:t>
            </w: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逐年提高</w:t>
            </w:r>
          </w:p>
        </w:tc>
      </w:tr>
    </w:tbl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</w:p>
    <w:p>
      <w:pPr>
        <w:spacing w:line="560" w:lineRule="exact"/>
        <w:jc w:val="center"/>
        <w:rPr>
          <w:rFonts w:eastAsia="方正小标宋简体"/>
          <w:kern w:val="0"/>
          <w:sz w:val="36"/>
          <w:szCs w:val="36"/>
        </w:rPr>
      </w:pPr>
      <w:r>
        <w:rPr>
          <w:rFonts w:eastAsia="方正小标宋简体"/>
          <w:kern w:val="0"/>
          <w:sz w:val="36"/>
          <w:szCs w:val="36"/>
        </w:rPr>
        <w:t>部门整体支出绩效评价基础数据表</w:t>
      </w:r>
    </w:p>
    <w:p>
      <w:pPr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ind w:left="91"/>
        <w:jc w:val="center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（以2022年对2021年度部门整体支出绩效自评为例）</w:t>
      </w:r>
      <w:r>
        <w:rPr>
          <w:rFonts w:eastAsia="仿宋_GB2312"/>
          <w:kern w:val="0"/>
          <w:sz w:val="24"/>
        </w:rPr>
        <w:tab/>
      </w:r>
    </w:p>
    <w:tbl>
      <w:tblPr>
        <w:tblStyle w:val="3"/>
        <w:tblW w:w="946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5"/>
        <w:gridCol w:w="1189"/>
        <w:gridCol w:w="849"/>
        <w:gridCol w:w="1129"/>
        <w:gridCol w:w="1111"/>
        <w:gridCol w:w="969"/>
        <w:gridCol w:w="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财政供养人员情况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Cs w:val="21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Cs w:val="21"/>
              </w:rPr>
              <w:t>202</w:t>
            </w:r>
            <w:r>
              <w:rPr>
                <w:rFonts w:hint="eastAsia" w:eastAsia="仿宋_GB2312"/>
                <w:b/>
                <w:bCs/>
                <w:kern w:val="0"/>
                <w:szCs w:val="21"/>
                <w:lang w:val="en-US" w:eastAsia="zh-CN"/>
              </w:rPr>
              <w:t>2</w:t>
            </w:r>
            <w:r>
              <w:rPr>
                <w:rFonts w:eastAsia="仿宋_GB2312"/>
                <w:b/>
                <w:bCs/>
                <w:kern w:val="0"/>
                <w:szCs w:val="21"/>
              </w:rPr>
              <w:t>年实际在职人数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Cs w:val="21"/>
              </w:rPr>
              <w:t>控制率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802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2300</w:t>
            </w:r>
            <w:r>
              <w:rPr>
                <w:rFonts w:eastAsia="仿宋_GB2312"/>
                <w:kern w:val="0"/>
                <w:szCs w:val="21"/>
              </w:rPr>
              <w:t>　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经费控制情况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Cs w:val="21"/>
              </w:rPr>
              <w:t>202</w:t>
            </w:r>
            <w:r>
              <w:rPr>
                <w:rFonts w:hint="eastAsia" w:eastAsia="仿宋_GB2312"/>
                <w:b/>
                <w:bCs/>
                <w:kern w:val="0"/>
                <w:szCs w:val="21"/>
                <w:lang w:val="en-US" w:eastAsia="zh-CN"/>
              </w:rPr>
              <w:t>1</w:t>
            </w:r>
            <w:r>
              <w:rPr>
                <w:rFonts w:eastAsia="仿宋_GB2312"/>
                <w:b/>
                <w:bCs/>
                <w:kern w:val="0"/>
                <w:szCs w:val="21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Cs w:val="21"/>
              </w:rPr>
              <w:t>202</w:t>
            </w:r>
            <w:r>
              <w:rPr>
                <w:rFonts w:hint="eastAsia" w:eastAsia="仿宋_GB2312"/>
                <w:b/>
                <w:bCs/>
                <w:kern w:val="0"/>
                <w:szCs w:val="21"/>
                <w:lang w:val="en-US" w:eastAsia="zh-CN"/>
              </w:rPr>
              <w:t>2</w:t>
            </w:r>
            <w:r>
              <w:rPr>
                <w:rFonts w:eastAsia="仿宋_GB2312"/>
                <w:b/>
                <w:bCs/>
                <w:kern w:val="0"/>
                <w:szCs w:val="21"/>
              </w:rPr>
              <w:t>年预算数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Cs w:val="21"/>
              </w:rPr>
              <w:t>202</w:t>
            </w:r>
            <w:r>
              <w:rPr>
                <w:rFonts w:hint="eastAsia" w:eastAsia="仿宋_GB2312"/>
                <w:b/>
                <w:bCs/>
                <w:kern w:val="0"/>
                <w:szCs w:val="21"/>
                <w:lang w:val="en-US" w:eastAsia="zh-CN"/>
              </w:rPr>
              <w:t>2</w:t>
            </w:r>
            <w:r>
              <w:rPr>
                <w:rFonts w:eastAsia="仿宋_GB2312"/>
                <w:b/>
                <w:bCs/>
                <w:kern w:val="0"/>
                <w:szCs w:val="21"/>
              </w:rPr>
              <w:t>年决算数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　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2.65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2.15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20" w:firstLineChars="200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3、市级专项资金</w:t>
            </w:r>
          </w:p>
          <w:p>
            <w:pPr>
              <w:widowControl/>
              <w:ind w:firstLine="630" w:firstLineChars="300"/>
              <w:jc w:val="left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艾滋病防治与救治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219.45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120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132.94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20" w:firstLineChars="200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4、其他事业类发展资金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其中：办公费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　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　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33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楼堂馆所控制情况</w:t>
            </w:r>
            <w:r>
              <w:rPr>
                <w:rFonts w:eastAsia="仿宋_GB2312"/>
                <w:kern w:val="0"/>
                <w:szCs w:val="21"/>
              </w:rPr>
              <w:br w:type="textWrapping"/>
            </w:r>
            <w:r>
              <w:rPr>
                <w:rFonts w:eastAsia="仿宋_GB2312"/>
                <w:kern w:val="0"/>
                <w:szCs w:val="21"/>
              </w:rPr>
              <w:t>（2019年完工项目）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批复规模</w:t>
            </w:r>
            <w:r>
              <w:rPr>
                <w:rFonts w:eastAsia="仿宋_GB2312"/>
                <w:bCs/>
                <w:kern w:val="0"/>
                <w:szCs w:val="21"/>
              </w:rPr>
              <w:br w:type="textWrapping"/>
            </w:r>
            <w:r>
              <w:rPr>
                <w:rFonts w:eastAsia="仿宋_GB2312"/>
                <w:bCs/>
                <w:kern w:val="0"/>
                <w:szCs w:val="21"/>
              </w:rPr>
              <w:t>（</w:t>
            </w:r>
            <w:r>
              <w:rPr>
                <w:rFonts w:eastAsia="Batang"/>
                <w:bCs/>
                <w:kern w:val="0"/>
                <w:szCs w:val="21"/>
              </w:rPr>
              <w:t>㎡</w:t>
            </w:r>
            <w:r>
              <w:rPr>
                <w:rFonts w:eastAsia="仿宋_GB2312"/>
                <w:bCs/>
                <w:kern w:val="0"/>
                <w:szCs w:val="21"/>
              </w:rPr>
              <w:t>）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实际规模（</w:t>
            </w:r>
            <w:r>
              <w:rPr>
                <w:rFonts w:eastAsia="Batang"/>
                <w:bCs/>
                <w:kern w:val="0"/>
                <w:szCs w:val="21"/>
              </w:rPr>
              <w:t>㎡</w:t>
            </w:r>
            <w:r>
              <w:rPr>
                <w:rFonts w:eastAsia="仿宋_GB2312"/>
                <w:bCs/>
                <w:kern w:val="0"/>
                <w:szCs w:val="21"/>
              </w:rPr>
              <w:t>）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规模控制率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预算投资（万元）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实际投资（万元）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投资概算控制率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　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　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　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　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　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  <w:jc w:val="center"/>
        </w:trPr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厉行节约保障措施</w:t>
            </w:r>
          </w:p>
        </w:tc>
        <w:tc>
          <w:tcPr>
            <w:tcW w:w="61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　</w:t>
            </w:r>
          </w:p>
        </w:tc>
      </w:tr>
    </w:tbl>
    <w:p>
      <w:pPr>
        <w:spacing w:line="360" w:lineRule="exact"/>
        <w:rPr>
          <w:rFonts w:ascii="黑体" w:hAnsi="黑体" w:eastAsia="黑体"/>
          <w:sz w:val="32"/>
          <w:szCs w:val="32"/>
        </w:rPr>
      </w:pPr>
      <w:r>
        <w:rPr>
          <w:rFonts w:eastAsia="仿宋_GB2312"/>
          <w:kern w:val="0"/>
          <w:sz w:val="22"/>
        </w:rPr>
        <w:t>说明：“项目支出”需要填报基本支出以外的所有项目支出情况，“公用经费”填报基本支出中的一般商品和服务支出。</w:t>
      </w:r>
      <w:r>
        <w:rPr>
          <w:rFonts w:eastAsia="仿宋_GB2312"/>
          <w:kern w:val="0"/>
          <w:sz w:val="22"/>
        </w:rPr>
        <w:br w:type="page"/>
      </w: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3</w:t>
      </w:r>
    </w:p>
    <w:p>
      <w:pPr>
        <w:widowControl/>
        <w:jc w:val="center"/>
        <w:rPr>
          <w:rFonts w:hint="eastAsia" w:ascii="方正小标宋简体" w:eastAsia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kern w:val="0"/>
          <w:sz w:val="36"/>
          <w:szCs w:val="36"/>
        </w:rPr>
        <w:t>部门整体支出绩效自评表</w:t>
      </w:r>
    </w:p>
    <w:p>
      <w:pPr>
        <w:widowControl/>
        <w:jc w:val="center"/>
        <w:rPr>
          <w:rFonts w:eastAsia="仿宋_GB2312"/>
          <w:color w:val="000000"/>
          <w:kern w:val="0"/>
          <w:szCs w:val="21"/>
        </w:rPr>
      </w:pPr>
      <w:r>
        <w:rPr>
          <w:rFonts w:hint="eastAsia" w:eastAsia="仿宋_GB2312"/>
          <w:color w:val="000000"/>
          <w:kern w:val="0"/>
          <w:szCs w:val="21"/>
        </w:rPr>
        <w:t>（</w:t>
      </w:r>
      <w:r>
        <w:rPr>
          <w:rFonts w:eastAsia="仿宋_GB2312"/>
          <w:color w:val="000000"/>
          <w:kern w:val="0"/>
          <w:szCs w:val="21"/>
        </w:rPr>
        <w:t xml:space="preserve"> </w:t>
      </w:r>
      <w:r>
        <w:rPr>
          <w:rFonts w:hint="eastAsia" w:eastAsia="仿宋_GB2312"/>
          <w:color w:val="000000"/>
          <w:kern w:val="0"/>
          <w:szCs w:val="21"/>
          <w:lang w:val="en-US" w:eastAsia="zh-CN"/>
        </w:rPr>
        <w:t>2022</w:t>
      </w:r>
      <w:r>
        <w:rPr>
          <w:rFonts w:eastAsia="仿宋_GB2312"/>
          <w:color w:val="000000"/>
          <w:kern w:val="0"/>
          <w:szCs w:val="21"/>
        </w:rPr>
        <w:t xml:space="preserve">  </w:t>
      </w:r>
      <w:r>
        <w:rPr>
          <w:rFonts w:hint="eastAsia" w:eastAsia="仿宋_GB2312"/>
          <w:color w:val="000000"/>
          <w:kern w:val="0"/>
          <w:szCs w:val="21"/>
        </w:rPr>
        <w:t>年度）</w:t>
      </w:r>
    </w:p>
    <w:tbl>
      <w:tblPr>
        <w:tblStyle w:val="3"/>
        <w:tblW w:w="103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756"/>
        <w:gridCol w:w="1891"/>
        <w:gridCol w:w="1114"/>
        <w:gridCol w:w="401"/>
        <w:gridCol w:w="1112"/>
        <w:gridCol w:w="916"/>
        <w:gridCol w:w="266"/>
        <w:gridCol w:w="443"/>
        <w:gridCol w:w="898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省级预算部门名称</w:t>
            </w:r>
          </w:p>
        </w:tc>
        <w:tc>
          <w:tcPr>
            <w:tcW w:w="924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岳阳市中心医院</w:t>
            </w: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年度预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算申请</w:t>
            </w:r>
            <w:r>
              <w:rPr>
                <w:rFonts w:eastAsia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年初</w:t>
            </w:r>
          </w:p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预算数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全年预算数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全年</w:t>
            </w:r>
          </w:p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执行数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分值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执行率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529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529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330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2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按收入性质分：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按支出性质分：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2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  其中：  一般公共预算：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210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其中：基本支出：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2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840" w:firstLineChars="40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政府性基金拨款：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630" w:firstLineChars="30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项目支出：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2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纳入专户管理的非税收入拨款：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199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2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470" w:firstLineChars="70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其他资金：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120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52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2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　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绩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偏差原因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分析及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产出指标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(50分)</w:t>
            </w:r>
          </w:p>
        </w:tc>
        <w:tc>
          <w:tcPr>
            <w:tcW w:w="18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数量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实现医疗收入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173564万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180343万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8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8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质量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杜绝重大医疗事故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8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防范恶性医疗纠纷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8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时效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完成工作计划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8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8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成本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成本控制在预算范围内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8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效益指标</w:t>
            </w:r>
          </w:p>
          <w:p>
            <w:pPr>
              <w:widowControl/>
              <w:ind w:firstLine="210" w:firstLineChars="10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（30分）　</w:t>
            </w:r>
          </w:p>
        </w:tc>
        <w:tc>
          <w:tcPr>
            <w:tcW w:w="18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经济效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医疗收入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173564完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180343万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8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8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社会效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优化就医流程、方便病人就医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逐年提高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逐年提高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8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8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生态效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污水处理医疗废物处理达标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8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8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三级公立医院综合改革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扎实推进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扎实推进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扎实推进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8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满意度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（10分）</w:t>
            </w:r>
          </w:p>
        </w:tc>
        <w:tc>
          <w:tcPr>
            <w:tcW w:w="18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患者满意度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＞=90%</w:t>
            </w: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逐年提高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8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5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widowControl/>
        <w:spacing w:line="20" w:lineRule="exact"/>
        <w:jc w:val="left"/>
        <w:rPr>
          <w:rFonts w:hint="eastAsia"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br w:type="page"/>
      </w: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4</w:t>
      </w:r>
    </w:p>
    <w:p>
      <w:pPr>
        <w:widowControl/>
        <w:spacing w:line="600" w:lineRule="exact"/>
        <w:jc w:val="center"/>
        <w:rPr>
          <w:rFonts w:hint="eastAsia" w:ascii="方正小标宋简体" w:eastAsia="方正小标宋简体"/>
          <w:color w:val="000000"/>
          <w:kern w:val="0"/>
          <w:sz w:val="42"/>
          <w:szCs w:val="42"/>
        </w:rPr>
      </w:pPr>
      <w:r>
        <w:rPr>
          <w:rFonts w:hint="eastAsia" w:ascii="方正小标宋简体" w:eastAsia="方正小标宋简体"/>
          <w:color w:val="000000"/>
          <w:kern w:val="0"/>
          <w:sz w:val="42"/>
          <w:szCs w:val="42"/>
        </w:rPr>
        <w:t>项目支出绩效自评表</w:t>
      </w:r>
    </w:p>
    <w:p>
      <w:pPr>
        <w:widowControl/>
        <w:jc w:val="center"/>
        <w:rPr>
          <w:rFonts w:eastAsia="仿宋_GB2312"/>
          <w:color w:val="000000"/>
          <w:kern w:val="0"/>
          <w:szCs w:val="21"/>
        </w:rPr>
      </w:pPr>
      <w:r>
        <w:rPr>
          <w:rFonts w:hint="eastAsia" w:eastAsia="仿宋_GB2312"/>
          <w:color w:val="000000"/>
          <w:kern w:val="0"/>
          <w:szCs w:val="21"/>
        </w:rPr>
        <w:t>（</w:t>
      </w:r>
      <w:r>
        <w:rPr>
          <w:rFonts w:eastAsia="仿宋_GB2312"/>
          <w:color w:val="000000"/>
          <w:kern w:val="0"/>
          <w:szCs w:val="21"/>
        </w:rPr>
        <w:t xml:space="preserve">  </w:t>
      </w:r>
      <w:r>
        <w:rPr>
          <w:rFonts w:hint="eastAsia" w:eastAsia="仿宋_GB2312"/>
          <w:color w:val="000000"/>
          <w:kern w:val="0"/>
          <w:szCs w:val="21"/>
          <w:lang w:val="en-US" w:eastAsia="zh-CN"/>
        </w:rPr>
        <w:t>2022</w:t>
      </w:r>
      <w:r>
        <w:rPr>
          <w:rFonts w:eastAsia="仿宋_GB2312"/>
          <w:color w:val="000000"/>
          <w:kern w:val="0"/>
          <w:szCs w:val="21"/>
        </w:rPr>
        <w:t xml:space="preserve"> </w:t>
      </w:r>
      <w:r>
        <w:rPr>
          <w:rFonts w:hint="eastAsia" w:eastAsia="仿宋_GB2312"/>
          <w:color w:val="000000"/>
          <w:kern w:val="0"/>
          <w:szCs w:val="21"/>
        </w:rPr>
        <w:t>年度）</w:t>
      </w:r>
    </w:p>
    <w:tbl>
      <w:tblPr>
        <w:tblStyle w:val="3"/>
        <w:tblW w:w="985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955"/>
        <w:gridCol w:w="1205"/>
        <w:gridCol w:w="1149"/>
        <w:gridCol w:w="74"/>
        <w:gridCol w:w="1135"/>
        <w:gridCol w:w="1134"/>
        <w:gridCol w:w="828"/>
        <w:gridCol w:w="873"/>
        <w:gridCol w:w="195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项目支</w:t>
            </w:r>
          </w:p>
          <w:p>
            <w:pPr>
              <w:widowControl/>
              <w:spacing w:line="26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出名称</w:t>
            </w:r>
          </w:p>
        </w:tc>
        <w:tc>
          <w:tcPr>
            <w:tcW w:w="877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艾滋病防治与救治</w:t>
            </w: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5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岳阳市卫生与健康委员会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1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岳阳市中心医院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eastAsia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年初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预算数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全年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预算数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全年</w:t>
            </w:r>
          </w:p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执行数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分值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执行率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年度资金总额　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120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132.94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110.78%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其中：当年财政拨款　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120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630" w:firstLineChars="30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上年结转资金　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3.47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630" w:firstLineChars="30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45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2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5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cs="宋体"/>
                <w:bCs/>
                <w:sz w:val="24"/>
              </w:rPr>
            </w:pPr>
            <w:r>
              <w:rPr>
                <w:rFonts w:hint="eastAsia" w:cs="宋体"/>
                <w:bCs/>
                <w:sz w:val="24"/>
              </w:rPr>
              <w:t>1、承担了全市艾滋病的防治与救治工作；2、</w:t>
            </w:r>
            <w:r>
              <w:rPr>
                <w:rFonts w:hint="eastAsia"/>
                <w:sz w:val="24"/>
              </w:rPr>
              <w:t>加大宣传力度，向社会普及和预防艾滋病知识，让更多的艾滋病患者接受医院正规治疗；3、培训基层艾滋病专科医生。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　</w:t>
            </w:r>
          </w:p>
        </w:tc>
        <w:tc>
          <w:tcPr>
            <w:tcW w:w="42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sz w:val="24"/>
              </w:rPr>
              <w:t>完成大部分艾滋病人的防治与救治工作，并以多种形式向社会宣传艾滋病知识，</w:t>
            </w:r>
            <w:r>
              <w:rPr>
                <w:rFonts w:hint="eastAsia" w:ascii="仿宋_GB2312" w:eastAsia="仿宋_GB2312"/>
                <w:sz w:val="24"/>
              </w:rPr>
              <w:t>主动与市疾控及各县区疾控传感科联系，培训基层艾滋病专科医生，均取得良好的社会效益。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绩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偏差原因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分析及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产出指标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(50分)</w:t>
            </w:r>
          </w:p>
        </w:tc>
        <w:tc>
          <w:tcPr>
            <w:tcW w:w="12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>确诊的艾滋病患者住院治疗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sz w:val="18"/>
                <w:szCs w:val="18"/>
              </w:rPr>
              <w:t>危急重并发症的治疗率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sz w:val="18"/>
                <w:szCs w:val="18"/>
              </w:rPr>
              <w:t>艾滋病健康教育率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sz w:val="18"/>
                <w:szCs w:val="18"/>
                <w:lang w:eastAsia="zh-CN"/>
              </w:rPr>
              <w:t>患者治疗时间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一年内完成工作计划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一年内完成工作计划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18"/>
                <w:szCs w:val="18"/>
                <w:lang w:eastAsia="zh-CN"/>
              </w:rPr>
              <w:t>患者治疗费用标准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按病情指标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按病情指标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效益指标</w:t>
            </w:r>
          </w:p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eastAsia="仿宋_GB2312"/>
                <w:color w:val="000000"/>
                <w:kern w:val="0"/>
                <w:szCs w:val="21"/>
              </w:rPr>
              <w:t>0分）</w:t>
            </w:r>
          </w:p>
        </w:tc>
        <w:tc>
          <w:tcPr>
            <w:tcW w:w="12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经济效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不适用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不适用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不适用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社会效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sz w:val="18"/>
                <w:szCs w:val="18"/>
              </w:rPr>
              <w:t>艾滋病防治政策知晓率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sz w:val="18"/>
                <w:szCs w:val="18"/>
              </w:rPr>
              <w:t>艾滋病传播途径知晓率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sz w:val="18"/>
                <w:szCs w:val="18"/>
              </w:rPr>
              <w:t>艾滋病高危行为后的紧急措施知晓率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生态效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不适用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不适用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不适用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18"/>
                <w:szCs w:val="18"/>
                <w:lang w:eastAsia="zh-CN"/>
              </w:rPr>
              <w:t>为和谐社会做贡献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社会和谐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社会和谐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满意度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（10分）</w:t>
            </w:r>
          </w:p>
        </w:tc>
        <w:tc>
          <w:tcPr>
            <w:tcW w:w="12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sz w:val="18"/>
                <w:szCs w:val="18"/>
              </w:rPr>
              <w:t>服务对象满意度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＞=95%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6561C"/>
    <w:multiLevelType w:val="singleLevel"/>
    <w:tmpl w:val="64B6561C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8571BF"/>
    <w:rsid w:val="19B21E51"/>
    <w:rsid w:val="2F733E5F"/>
    <w:rsid w:val="336B7E5C"/>
    <w:rsid w:val="3E6C3CE3"/>
    <w:rsid w:val="41824596"/>
    <w:rsid w:val="42E11F5A"/>
    <w:rsid w:val="489C5D60"/>
    <w:rsid w:val="63DD7A5E"/>
    <w:rsid w:val="64A10AA1"/>
    <w:rsid w:val="660C030D"/>
    <w:rsid w:val="75463348"/>
    <w:rsid w:val="7E3F3F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2023-07-18T08:07:00Z</cp:lastPrinted>
  <dcterms:modified xsi:type="dcterms:W3CDTF">2023-07-19T07:49:33Z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