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F8948">
      <w:pPr>
        <w:pStyle w:val="2"/>
        <w:spacing w:before="147" w:line="224" w:lineRule="auto"/>
        <w:ind w:left="528"/>
        <w:outlineLvl w:val="1"/>
        <w:rPr>
          <w:rFonts w:ascii="Segoe UI Symbol" w:hAnsi="Segoe UI Symbol" w:eastAsia="Segoe UI Symbol" w:cs="Segoe UI Symbol"/>
          <w:color w:val="auto"/>
          <w:spacing w:val="-12"/>
          <w:sz w:val="44"/>
          <w:szCs w:val="44"/>
          <w14:textOutline w14:w="7663" w14:cap="flat" w14:cmpd="sng">
            <w14:solidFill>
              <w14:srgbClr w14:val="0000FF"/>
            </w14:solidFill>
            <w14:prstDash w14:val="solid"/>
            <w14:miter w14:val="0"/>
          </w14:textOutline>
        </w:rPr>
      </w:pPr>
    </w:p>
    <w:p w14:paraId="72027F29">
      <w:pPr>
        <w:pStyle w:val="2"/>
        <w:spacing w:before="147" w:line="224" w:lineRule="auto"/>
        <w:ind w:left="528"/>
        <w:outlineLvl w:val="1"/>
        <w:rPr>
          <w:color w:val="auto"/>
          <w:sz w:val="22"/>
          <w:szCs w:val="22"/>
        </w:rPr>
      </w:pPr>
      <w:r>
        <w:rPr>
          <w:rFonts w:ascii="Segoe UI Symbol" w:hAnsi="Segoe UI Symbol" w:eastAsia="Segoe UI Symbol" w:cs="Segoe UI Symbol"/>
          <w:color w:val="auto"/>
          <w:spacing w:val="-12"/>
          <w:sz w:val="44"/>
          <w:szCs w:val="44"/>
          <w14:textOutline w14:w="7663" w14:cap="flat" w14:cmpd="sng">
            <w14:solidFill>
              <w14:srgbClr w14:val="0000FF"/>
            </w14:solidFill>
            <w14:prstDash w14:val="solid"/>
            <w14:miter w14:val="0"/>
          </w14:textOutline>
        </w:rPr>
        <w:t>☑</w:t>
      </w:r>
      <w:r>
        <w:rPr>
          <w:i w:val="0"/>
          <w:iCs w:val="0"/>
          <w:color w:val="auto"/>
          <w:spacing w:val="-12"/>
          <w:sz w:val="44"/>
          <w:szCs w:val="44"/>
          <w14:textOutline w14:w="7663" w14:cap="flat" w14:cmpd="sng">
            <w14:solidFill>
              <w14:srgbClr w14:val="000000"/>
            </w14:solidFill>
            <w14:prstDash w14:val="solid"/>
            <w14:miter w14:val="0"/>
          </w14:textOutline>
        </w:rPr>
        <w:t>第一章</w:t>
      </w:r>
      <w:r>
        <w:rPr>
          <w:i w:val="0"/>
          <w:iCs w:val="0"/>
          <w:color w:val="auto"/>
          <w:spacing w:val="86"/>
          <w:sz w:val="44"/>
          <w:szCs w:val="44"/>
        </w:rPr>
        <w:t xml:space="preserve"> </w:t>
      </w:r>
      <w:r>
        <w:rPr>
          <w:i w:val="0"/>
          <w:iCs w:val="0"/>
          <w:color w:val="auto"/>
          <w:spacing w:val="-12"/>
          <w:sz w:val="44"/>
          <w:szCs w:val="44"/>
          <w14:textOutline w14:w="7663" w14:cap="flat" w14:cmpd="sng">
            <w14:solidFill>
              <w14:srgbClr w14:val="000000"/>
            </w14:solidFill>
            <w14:prstDash w14:val="solid"/>
            <w14:miter w14:val="0"/>
          </w14:textOutline>
        </w:rPr>
        <w:t>招标公告（未进行资格预审）</w:t>
      </w:r>
      <w:r>
        <w:rPr>
          <w:i w:val="0"/>
          <w:iCs w:val="0"/>
          <w:color w:val="auto"/>
          <w:spacing w:val="-92"/>
          <w:sz w:val="44"/>
          <w:szCs w:val="44"/>
        </w:rPr>
        <w:t xml:space="preserve"> </w:t>
      </w:r>
      <w:r>
        <w:rPr>
          <w:i w:val="0"/>
          <w:iCs w:val="0"/>
          <w:color w:val="auto"/>
          <w:spacing w:val="-12"/>
          <w:position w:val="20"/>
          <w:sz w:val="22"/>
          <w:szCs w:val="22"/>
        </w:rPr>
        <w:t>①</w:t>
      </w:r>
    </w:p>
    <w:p w14:paraId="65DFDF32">
      <w:pPr>
        <w:spacing w:line="325" w:lineRule="auto"/>
        <w:rPr>
          <w:rFonts w:ascii="Arial"/>
          <w:color w:val="auto"/>
          <w:sz w:val="21"/>
        </w:rPr>
      </w:pPr>
    </w:p>
    <w:p w14:paraId="2B4A5C3D">
      <w:pPr>
        <w:spacing w:line="326" w:lineRule="auto"/>
        <w:rPr>
          <w:rFonts w:ascii="Arial"/>
          <w:color w:val="auto"/>
          <w:sz w:val="21"/>
        </w:rPr>
      </w:pPr>
    </w:p>
    <w:p w14:paraId="58C9AC55">
      <w:pPr>
        <w:pStyle w:val="2"/>
        <w:spacing w:line="222" w:lineRule="auto"/>
        <w:ind w:left="439"/>
        <w:jc w:val="center"/>
        <w:rPr>
          <w:color w:val="auto"/>
          <w:sz w:val="13"/>
          <w:szCs w:val="13"/>
        </w:rPr>
      </w:pPr>
      <w:bookmarkStart w:id="1" w:name="_GoBack"/>
      <w:r>
        <w:rPr>
          <w:rFonts w:hint="eastAsia"/>
          <w:color w:val="auto"/>
          <w:spacing w:val="9"/>
          <w:lang w:eastAsia="zh-CN"/>
        </w:rPr>
        <w:t>G107岳阳市改线工程（临湘羊楼司至五里牌段）全过程跟踪审计咨询服务</w:t>
      </w:r>
      <w:r>
        <w:rPr>
          <w:color w:val="auto"/>
          <w:spacing w:val="9"/>
        </w:rPr>
        <w:t>招标公告</w:t>
      </w:r>
      <w:bookmarkEnd w:id="1"/>
      <w:r>
        <w:rPr>
          <w:color w:val="auto"/>
          <w:spacing w:val="9"/>
          <w:position w:val="9"/>
          <w:sz w:val="13"/>
          <w:szCs w:val="13"/>
        </w:rPr>
        <w:t>②</w:t>
      </w:r>
    </w:p>
    <w:p w14:paraId="4F8F3B21">
      <w:pPr>
        <w:spacing w:line="252" w:lineRule="auto"/>
        <w:rPr>
          <w:rFonts w:ascii="Arial"/>
          <w:color w:val="auto"/>
          <w:sz w:val="21"/>
        </w:rPr>
      </w:pPr>
    </w:p>
    <w:p w14:paraId="64A72C7A">
      <w:pPr>
        <w:pStyle w:val="2"/>
        <w:spacing w:before="88" w:line="226" w:lineRule="auto"/>
        <w:ind w:left="47"/>
        <w:outlineLvl w:val="2"/>
        <w:rPr>
          <w:rFonts w:hint="eastAsia" w:ascii="宋体" w:hAnsi="宋体" w:eastAsia="宋体" w:cs="宋体"/>
          <w:color w:val="auto"/>
        </w:rPr>
      </w:pPr>
      <w:r>
        <w:rPr>
          <w:rFonts w:hint="eastAsia" w:ascii="宋体" w:hAnsi="宋体" w:eastAsia="宋体" w:cs="宋体"/>
          <w:b/>
          <w:bCs/>
          <w:color w:val="auto"/>
          <w:spacing w:val="2"/>
        </w:rPr>
        <w:t>1.</w:t>
      </w:r>
      <w:r>
        <w:rPr>
          <w:rFonts w:hint="eastAsia" w:ascii="宋体" w:hAnsi="宋体" w:eastAsia="宋体" w:cs="宋体"/>
          <w:b/>
          <w:bCs/>
          <w:color w:val="auto"/>
          <w:spacing w:val="12"/>
        </w:rPr>
        <w:t xml:space="preserve">  </w:t>
      </w:r>
      <w:r>
        <w:rPr>
          <w:rFonts w:hint="eastAsia" w:ascii="宋体" w:hAnsi="宋体" w:eastAsia="宋体" w:cs="宋体"/>
          <w:color w:val="auto"/>
          <w:spacing w:val="2"/>
          <w14:textOutline w14:w="5050" w14:cap="flat" w14:cmpd="sng">
            <w14:solidFill>
              <w14:srgbClr w14:val="000000"/>
            </w14:solidFill>
            <w14:prstDash w14:val="solid"/>
            <w14:miter w14:val="0"/>
          </w14:textOutline>
        </w:rPr>
        <w:t>招标条件</w:t>
      </w:r>
    </w:p>
    <w:p w14:paraId="4C418CCA">
      <w:pPr>
        <w:spacing w:before="68" w:line="387" w:lineRule="auto"/>
        <w:ind w:left="39" w:firstLine="421"/>
        <w:jc w:val="both"/>
        <w:rPr>
          <w:rFonts w:ascii="宋体" w:hAnsi="宋体" w:eastAsia="宋体" w:cs="宋体"/>
          <w:color w:val="auto"/>
          <w:sz w:val="21"/>
          <w:szCs w:val="21"/>
        </w:rPr>
      </w:pPr>
      <w:r>
        <w:rPr>
          <w:rFonts w:ascii="宋体" w:hAnsi="宋体" w:eastAsia="宋体" w:cs="宋体"/>
          <w:color w:val="auto"/>
          <w:spacing w:val="-3"/>
          <w:sz w:val="21"/>
          <w:szCs w:val="21"/>
        </w:rPr>
        <w:t>本招标项目</w:t>
      </w:r>
      <w:r>
        <w:rPr>
          <w:rFonts w:hint="eastAsia" w:ascii="宋体" w:hAnsi="宋体" w:eastAsia="宋体" w:cs="宋体"/>
          <w:color w:val="auto"/>
          <w:spacing w:val="-3"/>
          <w:sz w:val="21"/>
          <w:szCs w:val="21"/>
          <w:u w:val="single"/>
          <w:lang w:val="en-US" w:eastAsia="zh-CN"/>
        </w:rPr>
        <w:t>G107岳阳市改线工程（临湘羊楼司至五里牌段）</w:t>
      </w:r>
      <w:r>
        <w:rPr>
          <w:rFonts w:ascii="宋体" w:hAnsi="宋体" w:eastAsia="宋体" w:cs="宋体"/>
          <w:color w:val="auto"/>
          <w:spacing w:val="-3"/>
          <w:sz w:val="21"/>
          <w:szCs w:val="21"/>
        </w:rPr>
        <w:t>已由</w:t>
      </w:r>
      <w:r>
        <w:rPr>
          <w:rFonts w:hint="eastAsia" w:ascii="宋体" w:hAnsi="宋体" w:eastAsia="宋体" w:cs="宋体"/>
          <w:color w:val="auto"/>
          <w:spacing w:val="-3"/>
          <w:sz w:val="21"/>
          <w:szCs w:val="21"/>
          <w:u w:val="single"/>
          <w:lang w:val="en-US" w:eastAsia="zh-CN"/>
        </w:rPr>
        <w:t>湖南省发展和改革委员会</w:t>
      </w:r>
      <w:r>
        <w:rPr>
          <w:rFonts w:ascii="宋体" w:hAnsi="宋体" w:eastAsia="宋体" w:cs="宋体"/>
          <w:color w:val="auto"/>
          <w:spacing w:val="-4"/>
          <w:sz w:val="21"/>
          <w:szCs w:val="21"/>
        </w:rPr>
        <w:t>（项目审批、</w:t>
      </w:r>
      <w:r>
        <w:rPr>
          <w:rFonts w:ascii="宋体" w:hAnsi="宋体" w:eastAsia="宋体" w:cs="宋体"/>
          <w:color w:val="auto"/>
          <w:sz w:val="21"/>
          <w:szCs w:val="21"/>
        </w:rPr>
        <w:t>核准或备案机关名称）以</w:t>
      </w:r>
      <w:r>
        <w:rPr>
          <w:rFonts w:hint="eastAsia" w:ascii="宋体" w:hAnsi="宋体" w:eastAsia="宋体" w:cs="宋体"/>
          <w:color w:val="auto"/>
          <w:sz w:val="21"/>
          <w:szCs w:val="21"/>
          <w:u w:val="single"/>
          <w:lang w:eastAsia="zh-CN"/>
        </w:rPr>
        <w:t>《</w:t>
      </w:r>
      <w:r>
        <w:rPr>
          <w:rFonts w:hint="eastAsia" w:ascii="宋体" w:hAnsi="宋体" w:eastAsia="宋体" w:cs="宋体"/>
          <w:color w:val="auto"/>
          <w:spacing w:val="-3"/>
          <w:sz w:val="21"/>
          <w:szCs w:val="21"/>
          <w:u w:val="single"/>
          <w:lang w:val="en-US" w:eastAsia="zh-CN"/>
        </w:rPr>
        <w:t>湖南省发展和改革委员会关于G107岳阳市改线工程(临湘羊楼司至五里牌段)工程可行性研究报告的批复</w:t>
      </w:r>
      <w:r>
        <w:rPr>
          <w:rFonts w:hint="eastAsia" w:ascii="宋体" w:hAnsi="宋体" w:eastAsia="宋体" w:cs="宋体"/>
          <w:color w:val="auto"/>
          <w:sz w:val="21"/>
          <w:szCs w:val="21"/>
          <w:u w:val="single"/>
          <w:lang w:eastAsia="zh-CN"/>
        </w:rPr>
        <w:t>》湘发改基础【</w:t>
      </w:r>
      <w:r>
        <w:rPr>
          <w:rFonts w:hint="eastAsia" w:ascii="宋体" w:hAnsi="宋体" w:eastAsia="宋体" w:cs="宋体"/>
          <w:color w:val="auto"/>
          <w:sz w:val="21"/>
          <w:szCs w:val="21"/>
          <w:u w:val="single"/>
          <w:lang w:val="en-US" w:eastAsia="zh-CN"/>
        </w:rPr>
        <w:t>2024</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425号</w:t>
      </w:r>
      <w:r>
        <w:rPr>
          <w:rFonts w:ascii="宋体" w:hAnsi="宋体" w:eastAsia="宋体" w:cs="宋体"/>
          <w:color w:val="auto"/>
          <w:spacing w:val="-1"/>
          <w:sz w:val="21"/>
          <w:szCs w:val="21"/>
        </w:rPr>
        <w:t>（批文名称及编号）批准建设，项目业主为</w:t>
      </w:r>
      <w:r>
        <w:rPr>
          <w:rFonts w:hint="eastAsia" w:ascii="宋体" w:hAnsi="宋体" w:eastAsia="宋体" w:cs="宋体"/>
          <w:color w:val="auto"/>
          <w:sz w:val="21"/>
          <w:szCs w:val="21"/>
          <w:u w:val="single"/>
          <w:lang w:val="en-US" w:eastAsia="zh-CN"/>
        </w:rPr>
        <w:t>岳阳市恒升交通建设有限公司</w:t>
      </w:r>
      <w:r>
        <w:rPr>
          <w:rFonts w:ascii="宋体" w:hAnsi="宋体" w:eastAsia="宋体" w:cs="宋体"/>
          <w:color w:val="auto"/>
          <w:spacing w:val="-4"/>
          <w:sz w:val="21"/>
          <w:szCs w:val="21"/>
        </w:rPr>
        <w:t>，建设资金来自</w:t>
      </w:r>
      <w:r>
        <w:rPr>
          <w:rFonts w:hint="eastAsia" w:ascii="宋体" w:hAnsi="宋体" w:eastAsia="宋体" w:cs="宋体"/>
          <w:color w:val="auto"/>
          <w:spacing w:val="-4"/>
          <w:sz w:val="21"/>
          <w:szCs w:val="21"/>
          <w:u w:val="single"/>
          <w:lang w:val="en-US" w:eastAsia="zh-CN"/>
        </w:rPr>
        <w:t>国省补助及地方自筹</w:t>
      </w:r>
      <w:r>
        <w:rPr>
          <w:rFonts w:ascii="宋体" w:hAnsi="宋体" w:eastAsia="宋体" w:cs="宋体"/>
          <w:color w:val="auto"/>
          <w:spacing w:val="-5"/>
          <w:sz w:val="21"/>
          <w:szCs w:val="21"/>
        </w:rPr>
        <w:t>（资金来源</w:t>
      </w:r>
      <w:r>
        <w:rPr>
          <w:rFonts w:ascii="宋体" w:hAnsi="宋体" w:eastAsia="宋体" w:cs="宋体"/>
          <w:color w:val="auto"/>
          <w:spacing w:val="2"/>
          <w:sz w:val="21"/>
          <w:szCs w:val="21"/>
        </w:rPr>
        <w:t>）</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7"/>
          <w:sz w:val="21"/>
          <w:szCs w:val="21"/>
          <w:highlight w:val="none"/>
          <w:u w:val="none"/>
          <w:lang w:eastAsia="zh-CN"/>
        </w:rPr>
        <w:t>项目总投资约为</w:t>
      </w:r>
      <w:r>
        <w:rPr>
          <w:rFonts w:hint="eastAsia" w:ascii="宋体" w:hAnsi="宋体" w:eastAsia="宋体" w:cs="宋体"/>
          <w:color w:val="auto"/>
          <w:spacing w:val="7"/>
          <w:sz w:val="21"/>
          <w:szCs w:val="21"/>
          <w:highlight w:val="none"/>
          <w:u w:val="single"/>
          <w:lang w:val="en-US" w:eastAsia="zh-CN"/>
        </w:rPr>
        <w:t>42733.30</w:t>
      </w:r>
      <w:r>
        <w:rPr>
          <w:rFonts w:hint="eastAsia" w:ascii="宋体" w:hAnsi="宋体" w:eastAsia="宋体" w:cs="宋体"/>
          <w:color w:val="auto"/>
          <w:spacing w:val="7"/>
          <w:sz w:val="21"/>
          <w:szCs w:val="21"/>
          <w:highlight w:val="none"/>
          <w:u w:val="none"/>
          <w:lang w:val="en-US" w:eastAsia="zh-CN"/>
        </w:rPr>
        <w:t>万元、建设工程费为</w:t>
      </w:r>
      <w:r>
        <w:rPr>
          <w:rFonts w:hint="eastAsia" w:ascii="宋体" w:hAnsi="宋体" w:eastAsia="宋体" w:cs="宋体"/>
          <w:color w:val="auto"/>
          <w:spacing w:val="7"/>
          <w:sz w:val="21"/>
          <w:szCs w:val="21"/>
          <w:highlight w:val="none"/>
          <w:u w:val="single"/>
          <w:lang w:val="en-US" w:eastAsia="zh-CN"/>
        </w:rPr>
        <w:t>28032.23</w:t>
      </w:r>
      <w:r>
        <w:rPr>
          <w:rFonts w:hint="eastAsia" w:ascii="宋体" w:hAnsi="宋体" w:eastAsia="宋体" w:cs="宋体"/>
          <w:color w:val="auto"/>
          <w:spacing w:val="7"/>
          <w:sz w:val="21"/>
          <w:szCs w:val="21"/>
          <w:highlight w:val="none"/>
          <w:u w:val="none"/>
          <w:lang w:val="en-US" w:eastAsia="zh-CN"/>
        </w:rPr>
        <w:t>万元</w:t>
      </w:r>
      <w:r>
        <w:rPr>
          <w:rFonts w:ascii="宋体" w:hAnsi="宋体" w:eastAsia="宋体" w:cs="宋体"/>
          <w:color w:val="auto"/>
          <w:spacing w:val="2"/>
          <w:sz w:val="21"/>
          <w:szCs w:val="21"/>
        </w:rPr>
        <w:t>，</w:t>
      </w:r>
      <w:r>
        <w:rPr>
          <w:rFonts w:hint="eastAsia" w:ascii="宋体" w:hAnsi="宋体" w:eastAsia="宋体" w:cs="宋体"/>
          <w:color w:val="auto"/>
          <w:spacing w:val="2"/>
          <w:sz w:val="21"/>
          <w:szCs w:val="21"/>
          <w:lang w:val="en-US" w:eastAsia="zh-CN"/>
        </w:rPr>
        <w:t>出资比例为</w:t>
      </w:r>
      <w:r>
        <w:rPr>
          <w:rFonts w:hint="eastAsia" w:ascii="宋体" w:hAnsi="宋体" w:eastAsia="宋体" w:cs="宋体"/>
          <w:color w:val="auto"/>
          <w:spacing w:val="2"/>
          <w:sz w:val="21"/>
          <w:szCs w:val="21"/>
          <w:u w:val="single"/>
          <w:lang w:val="en-US" w:eastAsia="zh-CN"/>
        </w:rPr>
        <w:t>/</w:t>
      </w:r>
      <w:r>
        <w:rPr>
          <w:rFonts w:ascii="宋体" w:hAnsi="宋体" w:eastAsia="宋体" w:cs="宋体"/>
          <w:color w:val="auto"/>
          <w:spacing w:val="-5"/>
          <w:sz w:val="21"/>
          <w:szCs w:val="21"/>
        </w:rPr>
        <w:t>招标人为</w:t>
      </w:r>
      <w:r>
        <w:rPr>
          <w:rFonts w:hint="eastAsia" w:ascii="宋体" w:hAnsi="宋体" w:eastAsia="宋体" w:cs="宋体"/>
          <w:color w:val="auto"/>
          <w:sz w:val="21"/>
          <w:szCs w:val="21"/>
          <w:u w:val="single"/>
          <w:lang w:val="en-US" w:eastAsia="zh-CN"/>
        </w:rPr>
        <w:t>岳阳市恒升交通建设有限公司</w:t>
      </w:r>
      <w:r>
        <w:rPr>
          <w:rFonts w:ascii="宋体" w:hAnsi="宋体" w:eastAsia="宋体" w:cs="宋体"/>
          <w:color w:val="auto"/>
          <w:sz w:val="21"/>
          <w:szCs w:val="21"/>
        </w:rPr>
        <w:t>。项目已具备招</w:t>
      </w:r>
      <w:r>
        <w:rPr>
          <w:rFonts w:ascii="宋体" w:hAnsi="宋体" w:eastAsia="宋体" w:cs="宋体"/>
          <w:color w:val="auto"/>
          <w:spacing w:val="-1"/>
          <w:sz w:val="21"/>
          <w:szCs w:val="21"/>
        </w:rPr>
        <w:t>标条件，现对该项目的</w:t>
      </w:r>
      <w:r>
        <w:rPr>
          <w:rFonts w:hint="eastAsia" w:ascii="宋体" w:hAnsi="宋体" w:eastAsia="宋体" w:cs="宋体"/>
          <w:color w:val="auto"/>
          <w:spacing w:val="-1"/>
          <w:sz w:val="21"/>
          <w:szCs w:val="21"/>
          <w:lang w:val="en-US" w:eastAsia="zh-CN"/>
        </w:rPr>
        <w:t>全过程跟踪审计咨询服务</w:t>
      </w:r>
      <w:r>
        <w:rPr>
          <w:rFonts w:ascii="宋体" w:hAnsi="宋体" w:eastAsia="宋体" w:cs="宋体"/>
          <w:color w:val="auto"/>
          <w:spacing w:val="-1"/>
          <w:sz w:val="21"/>
          <w:szCs w:val="21"/>
        </w:rPr>
        <w:t>进行公开招标</w:t>
      </w:r>
      <w:r>
        <w:rPr>
          <w:rFonts w:hint="eastAsia" w:ascii="宋体" w:hAnsi="宋体" w:eastAsia="宋体" w:cs="宋体"/>
          <w:color w:val="auto"/>
          <w:spacing w:val="-1"/>
          <w:sz w:val="21"/>
          <w:szCs w:val="21"/>
          <w:lang w:eastAsia="zh-CN"/>
        </w:rPr>
        <w:t>。</w:t>
      </w:r>
    </w:p>
    <w:p w14:paraId="31FDF564">
      <w:pPr>
        <w:pStyle w:val="2"/>
        <w:spacing w:before="157" w:line="224" w:lineRule="auto"/>
        <w:ind w:left="35"/>
        <w:outlineLvl w:val="2"/>
        <w:rPr>
          <w:rFonts w:hint="eastAsia" w:ascii="宋体" w:hAnsi="宋体" w:eastAsia="宋体" w:cs="宋体"/>
          <w:color w:val="auto"/>
        </w:rPr>
      </w:pPr>
      <w:r>
        <w:rPr>
          <w:rFonts w:hint="eastAsia" w:ascii="宋体" w:hAnsi="宋体" w:eastAsia="宋体" w:cs="宋体"/>
          <w:b/>
          <w:bCs/>
          <w:color w:val="auto"/>
          <w:spacing w:val="8"/>
        </w:rPr>
        <w:t xml:space="preserve">2.  </w:t>
      </w:r>
      <w:r>
        <w:rPr>
          <w:rFonts w:hint="eastAsia" w:ascii="宋体" w:hAnsi="宋体" w:eastAsia="宋体" w:cs="宋体"/>
          <w:color w:val="auto"/>
          <w:spacing w:val="8"/>
          <w14:textOutline w14:w="5050" w14:cap="flat" w14:cmpd="sng">
            <w14:solidFill>
              <w14:srgbClr w14:val="000000"/>
            </w14:solidFill>
            <w14:prstDash w14:val="solid"/>
            <w14:miter w14:val="0"/>
          </w14:textOutline>
        </w:rPr>
        <w:t>项目概况与招标范围</w:t>
      </w:r>
    </w:p>
    <w:p w14:paraId="64049EB3">
      <w:pPr>
        <w:pStyle w:val="2"/>
        <w:spacing w:before="69" w:line="233" w:lineRule="auto"/>
        <w:ind w:left="508"/>
        <w:rPr>
          <w:rFonts w:ascii="宋体" w:hAnsi="宋体" w:eastAsia="宋体" w:cs="宋体"/>
          <w:snapToGrid w:val="0"/>
          <w:color w:val="auto"/>
          <w:spacing w:val="-1"/>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2.1  建设地点：</w:t>
      </w:r>
      <w:r>
        <w:rPr>
          <w:rFonts w:hint="eastAsia" w:ascii="Arial" w:hAnsi="Arial" w:eastAsia="Arial" w:cs="Arial"/>
          <w:snapToGrid w:val="0"/>
          <w:color w:val="auto"/>
          <w:spacing w:val="9"/>
          <w:kern w:val="0"/>
          <w:sz w:val="21"/>
          <w:szCs w:val="21"/>
          <w:u w:val="single"/>
          <w:lang w:val="en-US" w:eastAsia="en-US" w:bidi="ar-SA"/>
        </w:rPr>
        <w:t>湖南省岳阳市</w:t>
      </w:r>
      <w:r>
        <w:rPr>
          <w:rFonts w:hint="eastAsia" w:ascii="Arial" w:hAnsi="Arial" w:eastAsia="Arial" w:cs="Arial"/>
          <w:snapToGrid w:val="0"/>
          <w:color w:val="auto"/>
          <w:spacing w:val="9"/>
          <w:kern w:val="0"/>
          <w:sz w:val="21"/>
          <w:szCs w:val="21"/>
          <w:u w:val="single"/>
          <w:lang w:val="en-US" w:eastAsia="zh-CN" w:bidi="ar-SA"/>
        </w:rPr>
        <w:t>临湘市</w:t>
      </w:r>
      <w:r>
        <w:rPr>
          <w:rFonts w:hint="eastAsia" w:ascii="Arial" w:hAnsi="Arial" w:eastAsia="Arial" w:cs="Arial"/>
          <w:snapToGrid w:val="0"/>
          <w:color w:val="auto"/>
          <w:spacing w:val="9"/>
          <w:kern w:val="0"/>
          <w:sz w:val="21"/>
          <w:szCs w:val="21"/>
          <w:u w:val="single"/>
          <w:lang w:val="en-US" w:eastAsia="en-US" w:bidi="ar-SA"/>
        </w:rPr>
        <w:t>境内</w:t>
      </w:r>
      <w:r>
        <w:rPr>
          <w:rFonts w:ascii="宋体" w:hAnsi="宋体" w:eastAsia="宋体" w:cs="宋体"/>
          <w:snapToGrid w:val="0"/>
          <w:color w:val="auto"/>
          <w:spacing w:val="-1"/>
          <w:kern w:val="0"/>
          <w:sz w:val="21"/>
          <w:szCs w:val="21"/>
          <w:lang w:val="en-US" w:eastAsia="en-US" w:bidi="ar-SA"/>
        </w:rPr>
        <w:t>。</w:t>
      </w:r>
    </w:p>
    <w:p w14:paraId="18AE139B">
      <w:pPr>
        <w:pStyle w:val="2"/>
        <w:spacing w:before="177" w:line="387" w:lineRule="auto"/>
        <w:ind w:left="37" w:right="15" w:firstLine="471"/>
        <w:jc w:val="both"/>
        <w:rPr>
          <w:rFonts w:ascii="宋体" w:hAnsi="宋体" w:eastAsia="宋体" w:cs="宋体"/>
          <w:snapToGrid w:val="0"/>
          <w:color w:val="auto"/>
          <w:spacing w:val="-1"/>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2.2  项目建设规模及招标范围：</w:t>
      </w:r>
      <w:r>
        <w:rPr>
          <w:rFonts w:hint="eastAsia" w:ascii="宋体" w:hAnsi="宋体" w:eastAsia="宋体" w:cs="宋体"/>
          <w:snapToGrid w:val="0"/>
          <w:color w:val="auto"/>
          <w:spacing w:val="-1"/>
          <w:kern w:val="0"/>
          <w:sz w:val="21"/>
          <w:szCs w:val="21"/>
          <w:lang w:val="en-US" w:eastAsia="en-US" w:bidi="ar-SA"/>
        </w:rPr>
        <w:t>路线起点（K0+000）位于湘鄂两省交界处的临湘市羊楼司镇，接G107老路（桩号K1508+308），路线往西南沿老路布线，经羊楼司镇新屋村，在K6+680位置下穿新屋渡槽，在K7+260附近下穿京港澳高速，继续往老路布线经千针村，终点（K13+114.1）位于临湘五里牌街道最兰坡，与S206省道T字交叉，顺接G107老路（桩号K1521+427）。路线全长13.114km。整体呈东北至西南走向。本项目全线采用一级公路标准建设</w:t>
      </w:r>
      <w:r>
        <w:rPr>
          <w:rFonts w:hint="eastAsia" w:ascii="宋体" w:hAnsi="宋体" w:eastAsia="宋体" w:cs="宋体"/>
          <w:snapToGrid w:val="0"/>
          <w:color w:val="auto"/>
          <w:spacing w:val="-1"/>
          <w:kern w:val="0"/>
          <w:sz w:val="21"/>
          <w:szCs w:val="21"/>
          <w:lang w:val="en-US" w:eastAsia="zh-CN" w:bidi="ar-SA"/>
        </w:rPr>
        <w:t>，</w:t>
      </w:r>
      <w:r>
        <w:rPr>
          <w:rFonts w:hint="eastAsia" w:ascii="宋体" w:hAnsi="宋体" w:eastAsia="宋体" w:cs="宋体"/>
          <w:snapToGrid w:val="0"/>
          <w:color w:val="auto"/>
          <w:spacing w:val="-1"/>
          <w:kern w:val="0"/>
          <w:sz w:val="21"/>
          <w:szCs w:val="21"/>
          <w:lang w:val="en-US" w:eastAsia="en-US" w:bidi="ar-SA"/>
        </w:rPr>
        <w:t>沥青混凝土路面，设计速度80公里/小时。起点至麻子园段（K0+000-K4+720）</w:t>
      </w:r>
      <w:r>
        <w:rPr>
          <w:rFonts w:hint="eastAsia" w:ascii="宋体" w:hAnsi="宋体" w:eastAsia="宋体" w:cs="宋体"/>
          <w:snapToGrid w:val="0"/>
          <w:color w:val="auto"/>
          <w:spacing w:val="-1"/>
          <w:kern w:val="0"/>
          <w:sz w:val="21"/>
          <w:szCs w:val="21"/>
          <w:lang w:val="en-US" w:eastAsia="zh-CN" w:bidi="ar-SA"/>
        </w:rPr>
        <w:t>，</w:t>
      </w:r>
      <w:r>
        <w:rPr>
          <w:rFonts w:hint="eastAsia" w:ascii="宋体" w:hAnsi="宋体" w:eastAsia="宋体" w:cs="宋体"/>
          <w:snapToGrid w:val="0"/>
          <w:color w:val="auto"/>
          <w:spacing w:val="-1"/>
          <w:kern w:val="0"/>
          <w:sz w:val="21"/>
          <w:szCs w:val="21"/>
          <w:lang w:val="en-US" w:eastAsia="en-US" w:bidi="ar-SA"/>
        </w:rPr>
        <w:t>路基宽度23.5米，麻子园至终点段（K4+720-K13+114.1）</w:t>
      </w:r>
      <w:r>
        <w:rPr>
          <w:rFonts w:hint="eastAsia" w:ascii="宋体" w:hAnsi="宋体" w:eastAsia="宋体" w:cs="宋体"/>
          <w:snapToGrid w:val="0"/>
          <w:color w:val="auto"/>
          <w:spacing w:val="-1"/>
          <w:kern w:val="0"/>
          <w:sz w:val="21"/>
          <w:szCs w:val="21"/>
          <w:lang w:val="en-US" w:eastAsia="zh-CN" w:bidi="ar-SA"/>
        </w:rPr>
        <w:t>，</w:t>
      </w:r>
      <w:r>
        <w:rPr>
          <w:rFonts w:hint="eastAsia" w:ascii="宋体" w:hAnsi="宋体" w:eastAsia="宋体" w:cs="宋体"/>
          <w:snapToGrid w:val="0"/>
          <w:color w:val="auto"/>
          <w:spacing w:val="-1"/>
          <w:kern w:val="0"/>
          <w:sz w:val="21"/>
          <w:szCs w:val="21"/>
          <w:lang w:val="en-US" w:eastAsia="en-US" w:bidi="ar-SA"/>
        </w:rPr>
        <w:t>路基宽度30米。路面宽25.5米</w:t>
      </w:r>
      <w:r>
        <w:rPr>
          <w:rFonts w:hint="eastAsia" w:ascii="宋体" w:hAnsi="宋体" w:eastAsia="宋体" w:cs="宋体"/>
          <w:snapToGrid w:val="0"/>
          <w:color w:val="auto"/>
          <w:spacing w:val="-1"/>
          <w:kern w:val="0"/>
          <w:sz w:val="21"/>
          <w:szCs w:val="21"/>
          <w:lang w:val="en-US" w:eastAsia="zh-CN" w:bidi="ar-SA"/>
        </w:rPr>
        <w:t>，</w:t>
      </w:r>
      <w:r>
        <w:rPr>
          <w:rFonts w:hint="eastAsia" w:ascii="宋体" w:hAnsi="宋体" w:eastAsia="宋体" w:cs="宋体"/>
          <w:snapToGrid w:val="0"/>
          <w:color w:val="auto"/>
          <w:spacing w:val="-1"/>
          <w:kern w:val="0"/>
          <w:sz w:val="21"/>
          <w:szCs w:val="21"/>
          <w:lang w:val="en-US" w:eastAsia="en-US" w:bidi="ar-SA"/>
        </w:rPr>
        <w:t>全线共设置桥梁155.08米/2座，其中大桥133.08米/1座，小桥22.0米/座，全线共设置涵洞32道，新建涵洞9道，完全利用涵洞23道。全线桥涵设计汽车荷载等级采用公路-I级。现对该项目G107岳阳市改线工程（临湘羊楼司至五里牌段）(桩号范围) 的路基工程、路面工程、交安工程、桥涵工程、绿化工程等全过程跟踪审计进行公开招标。</w:t>
      </w:r>
    </w:p>
    <w:p w14:paraId="5920EE06">
      <w:pPr>
        <w:tabs>
          <w:tab w:val="left" w:pos="1409"/>
        </w:tabs>
        <w:bidi w:val="0"/>
        <w:jc w:val="left"/>
        <w:rPr>
          <w:color w:val="auto"/>
          <w:sz w:val="21"/>
          <w:szCs w:val="21"/>
        </w:rPr>
      </w:pPr>
      <w:r>
        <w:rPr>
          <w:color w:val="auto"/>
          <w:spacing w:val="-1"/>
          <w:sz w:val="21"/>
          <w:szCs w:val="21"/>
        </w:rPr>
        <w:t>本次咨询服务招标工程共分为</w:t>
      </w:r>
      <w:r>
        <w:rPr>
          <w:color w:val="auto"/>
          <w:spacing w:val="-24"/>
          <w:sz w:val="21"/>
          <w:szCs w:val="21"/>
          <w:u w:val="single"/>
        </w:rPr>
        <w:t xml:space="preserve"> </w:t>
      </w:r>
      <w:r>
        <w:rPr>
          <w:rFonts w:ascii="Times New Roman" w:hAnsi="Times New Roman" w:eastAsia="Times New Roman" w:cs="Times New Roman"/>
          <w:color w:val="auto"/>
          <w:spacing w:val="-1"/>
          <w:sz w:val="21"/>
          <w:szCs w:val="21"/>
          <w:u w:val="single"/>
        </w:rPr>
        <w:t xml:space="preserve">1 </w:t>
      </w:r>
      <w:r>
        <w:rPr>
          <w:color w:val="auto"/>
          <w:spacing w:val="-1"/>
          <w:sz w:val="21"/>
          <w:szCs w:val="21"/>
        </w:rPr>
        <w:t>个标段。其标段划分及工程内容等见下表。</w:t>
      </w:r>
    </w:p>
    <w:p w14:paraId="21C76F5A">
      <w:pPr>
        <w:spacing w:line="43" w:lineRule="auto"/>
        <w:rPr>
          <w:rFonts w:ascii="Arial"/>
          <w:color w:val="auto"/>
          <w:sz w:val="2"/>
        </w:rPr>
      </w:pPr>
    </w:p>
    <w:tbl>
      <w:tblPr>
        <w:tblStyle w:val="8"/>
        <w:tblW w:w="919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1143"/>
        <w:gridCol w:w="1106"/>
        <w:gridCol w:w="1106"/>
        <w:gridCol w:w="5841"/>
      </w:tblGrid>
      <w:tr w14:paraId="01CDA66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1670" w:hRule="atLeast"/>
          <w:jc w:val="center"/>
        </w:trPr>
        <w:tc>
          <w:tcPr>
            <w:tcW w:w="1143" w:type="dxa"/>
            <w:vAlign w:val="center"/>
          </w:tcPr>
          <w:p w14:paraId="7E717171">
            <w:pPr>
              <w:spacing w:before="78" w:line="220" w:lineRule="auto"/>
              <w:jc w:val="center"/>
              <w:rPr>
                <w:rFonts w:ascii="宋体" w:hAnsi="宋体" w:eastAsia="宋体" w:cs="宋体"/>
                <w:color w:val="auto"/>
                <w:spacing w:val="0"/>
                <w:w w:val="98"/>
                <w:sz w:val="21"/>
                <w:szCs w:val="21"/>
              </w:rPr>
            </w:pPr>
            <w:r>
              <w:rPr>
                <w:rFonts w:hint="eastAsia" w:ascii="宋体" w:hAnsi="宋体" w:eastAsia="宋体" w:cs="宋体"/>
                <w:color w:val="auto"/>
                <w:spacing w:val="0"/>
                <w:sz w:val="21"/>
                <w:szCs w:val="21"/>
              </w:rPr>
              <w:t>标段号</w:t>
            </w:r>
          </w:p>
        </w:tc>
        <w:tc>
          <w:tcPr>
            <w:tcW w:w="1106" w:type="dxa"/>
            <w:vAlign w:val="center"/>
          </w:tcPr>
          <w:p w14:paraId="106EA7A6">
            <w:pPr>
              <w:spacing w:before="78" w:line="22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桩号</w:t>
            </w:r>
          </w:p>
        </w:tc>
        <w:tc>
          <w:tcPr>
            <w:tcW w:w="1106" w:type="dxa"/>
            <w:vAlign w:val="center"/>
          </w:tcPr>
          <w:p w14:paraId="7BA87DAC">
            <w:pPr>
              <w:spacing w:before="78" w:line="220" w:lineRule="auto"/>
              <w:jc w:val="center"/>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长度</w:t>
            </w:r>
          </w:p>
          <w:p w14:paraId="3FA08982">
            <w:pPr>
              <w:spacing w:before="78" w:line="220" w:lineRule="auto"/>
              <w:jc w:val="center"/>
              <w:rPr>
                <w:rFonts w:ascii="宋体" w:hAnsi="宋体" w:eastAsia="宋体" w:cs="宋体"/>
                <w:color w:val="auto"/>
                <w:spacing w:val="0"/>
                <w:w w:val="98"/>
                <w:sz w:val="21"/>
                <w:szCs w:val="21"/>
              </w:rPr>
            </w:pPr>
            <w:r>
              <w:rPr>
                <w:rFonts w:hint="eastAsia" w:ascii="宋体" w:hAnsi="宋体" w:eastAsia="宋体" w:cs="宋体"/>
                <w:color w:val="auto"/>
                <w:spacing w:val="0"/>
                <w:sz w:val="21"/>
                <w:szCs w:val="21"/>
              </w:rPr>
              <w:t>（Km）</w:t>
            </w:r>
          </w:p>
        </w:tc>
        <w:tc>
          <w:tcPr>
            <w:tcW w:w="5841" w:type="dxa"/>
            <w:vAlign w:val="center"/>
          </w:tcPr>
          <w:p w14:paraId="57A09E8E">
            <w:pPr>
              <w:spacing w:before="78" w:line="220" w:lineRule="auto"/>
              <w:jc w:val="center"/>
              <w:rPr>
                <w:rFonts w:ascii="宋体" w:hAnsi="宋体" w:eastAsia="宋体" w:cs="宋体"/>
                <w:color w:val="auto"/>
                <w:spacing w:val="0"/>
                <w:sz w:val="21"/>
                <w:szCs w:val="21"/>
              </w:rPr>
            </w:pPr>
            <w:r>
              <w:rPr>
                <w:rFonts w:ascii="宋体" w:hAnsi="宋体" w:eastAsia="宋体" w:cs="宋体"/>
                <w:color w:val="auto"/>
                <w:spacing w:val="0"/>
                <w:w w:val="98"/>
                <w:sz w:val="21"/>
                <w:szCs w:val="21"/>
              </w:rPr>
              <w:t>招标范围</w:t>
            </w:r>
          </w:p>
        </w:tc>
      </w:tr>
      <w:tr w14:paraId="276C2A2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184" w:hRule="atLeast"/>
          <w:jc w:val="center"/>
        </w:trPr>
        <w:tc>
          <w:tcPr>
            <w:tcW w:w="1143" w:type="dxa"/>
            <w:vAlign w:val="center"/>
          </w:tcPr>
          <w:p w14:paraId="59BD939C">
            <w:pPr>
              <w:spacing w:before="78" w:line="228" w:lineRule="auto"/>
              <w:ind w:left="7" w:right="35" w:firstLine="10"/>
              <w:jc w:val="center"/>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w:t>
            </w:r>
          </w:p>
        </w:tc>
        <w:tc>
          <w:tcPr>
            <w:tcW w:w="1106" w:type="dxa"/>
            <w:vAlign w:val="center"/>
          </w:tcPr>
          <w:p w14:paraId="4682410C">
            <w:pPr>
              <w:spacing w:before="78" w:line="228" w:lineRule="auto"/>
              <w:ind w:left="7" w:right="35" w:firstLine="10"/>
              <w:jc w:val="center"/>
              <w:rPr>
                <w:rFonts w:hint="eastAsia" w:ascii="宋体" w:hAnsi="宋体" w:eastAsia="宋体" w:cs="宋体"/>
                <w:color w:val="auto"/>
                <w:spacing w:val="0"/>
                <w:sz w:val="21"/>
                <w:szCs w:val="21"/>
                <w:lang w:eastAsia="zh-CN"/>
              </w:rPr>
            </w:pPr>
            <w:r>
              <w:rPr>
                <w:rFonts w:hint="eastAsia" w:ascii="宋体" w:hAnsi="宋体" w:eastAsia="宋体" w:cs="宋体"/>
                <w:snapToGrid w:val="0"/>
                <w:color w:val="auto"/>
                <w:spacing w:val="0"/>
                <w:kern w:val="0"/>
                <w:sz w:val="21"/>
                <w:szCs w:val="21"/>
                <w:lang w:val="en-US" w:eastAsia="en-US" w:bidi="ar-SA"/>
              </w:rPr>
              <w:t>K0+000</w:t>
            </w:r>
            <w:r>
              <w:rPr>
                <w:rFonts w:hint="eastAsia" w:ascii="宋体" w:hAnsi="宋体" w:eastAsia="宋体" w:cs="宋体"/>
                <w:snapToGrid w:val="0"/>
                <w:color w:val="auto"/>
                <w:spacing w:val="0"/>
                <w:kern w:val="0"/>
                <w:sz w:val="21"/>
                <w:szCs w:val="21"/>
                <w:lang w:val="en-US" w:eastAsia="zh-CN" w:bidi="ar-SA"/>
              </w:rPr>
              <w:t>—</w:t>
            </w:r>
            <w:r>
              <w:rPr>
                <w:rFonts w:hint="eastAsia" w:ascii="宋体" w:hAnsi="宋体" w:eastAsia="宋体" w:cs="宋体"/>
                <w:snapToGrid w:val="0"/>
                <w:color w:val="auto"/>
                <w:spacing w:val="0"/>
                <w:kern w:val="0"/>
                <w:sz w:val="21"/>
                <w:szCs w:val="21"/>
                <w:lang w:val="en-US" w:eastAsia="en-US" w:bidi="ar-SA"/>
              </w:rPr>
              <w:t>K13+114.1</w:t>
            </w:r>
          </w:p>
        </w:tc>
        <w:tc>
          <w:tcPr>
            <w:tcW w:w="1106" w:type="dxa"/>
            <w:vAlign w:val="center"/>
          </w:tcPr>
          <w:p w14:paraId="15F64C95">
            <w:pPr>
              <w:spacing w:before="78" w:line="228" w:lineRule="auto"/>
              <w:ind w:left="7" w:right="35" w:firstLine="10"/>
              <w:jc w:val="center"/>
              <w:rPr>
                <w:rFonts w:ascii="Times New Roman" w:hAnsi="Times New Roman" w:eastAsia="Times New Roman" w:cs="Times New Roman"/>
                <w:color w:val="auto"/>
                <w:spacing w:val="0"/>
                <w:sz w:val="21"/>
                <w:szCs w:val="21"/>
              </w:rPr>
            </w:pPr>
            <w:r>
              <w:rPr>
                <w:rFonts w:hint="eastAsia" w:ascii="宋体" w:hAnsi="宋体" w:eastAsia="宋体" w:cs="宋体"/>
                <w:color w:val="auto"/>
                <w:spacing w:val="0"/>
                <w:sz w:val="21"/>
                <w:szCs w:val="21"/>
                <w:highlight w:val="none"/>
                <w:lang w:val="en-US" w:eastAsia="zh-CN"/>
              </w:rPr>
              <w:t>13.114</w:t>
            </w:r>
          </w:p>
        </w:tc>
        <w:tc>
          <w:tcPr>
            <w:tcW w:w="5841" w:type="dxa"/>
            <w:vAlign w:val="top"/>
          </w:tcPr>
          <w:p w14:paraId="532CAED0">
            <w:pPr>
              <w:spacing w:before="79" w:line="360" w:lineRule="auto"/>
              <w:ind w:right="106" w:firstLine="210" w:firstLineChars="100"/>
              <w:jc w:val="both"/>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G107岳阳市改线工程（临湘羊楼司至五里牌段）全过程跟踪审计咨询服务工作（包括但不限于施工类，监理、监测、检测等服务类，以及设备采购等所有造价咨询工作），具体包括但不限于：</w:t>
            </w:r>
          </w:p>
          <w:p w14:paraId="7C4C8C79">
            <w:pPr>
              <w:spacing w:before="79" w:line="360" w:lineRule="auto"/>
              <w:ind w:right="106" w:firstLine="210" w:firstLineChars="100"/>
              <w:jc w:val="both"/>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施工阶段：①开工准备审计；②隐蔽工程审计；③材料、设备采购审计；④合同审计；⑤工程现场管理审计；⑥工程进度款审计；⑦工程变更、签证及价款调整审计；⑧质量、安全、工期审计；⑨监理管理审计。</w:t>
            </w:r>
          </w:p>
          <w:p w14:paraId="7515D431">
            <w:pPr>
              <w:spacing w:before="79" w:line="360" w:lineRule="auto"/>
              <w:ind w:right="106" w:firstLine="210" w:firstLineChars="100"/>
              <w:jc w:val="both"/>
              <w:rPr>
                <w:rFonts w:ascii="宋体" w:hAnsi="宋体" w:eastAsia="宋体" w:cs="宋体"/>
                <w:color w:val="auto"/>
                <w:spacing w:val="0"/>
                <w:sz w:val="21"/>
                <w:szCs w:val="21"/>
              </w:rPr>
            </w:pPr>
            <w:r>
              <w:rPr>
                <w:rFonts w:hint="eastAsia" w:ascii="宋体" w:hAnsi="宋体" w:eastAsia="宋体" w:cs="宋体"/>
                <w:color w:val="auto"/>
                <w:spacing w:val="0"/>
                <w:sz w:val="21"/>
                <w:szCs w:val="21"/>
                <w:highlight w:val="none"/>
                <w:lang w:val="en-US" w:eastAsia="zh-CN"/>
              </w:rPr>
              <w:t>2、竣工阶段：①竣工验收审计；②竣工结算审计；③竣工财务决算审计。</w:t>
            </w:r>
          </w:p>
        </w:tc>
      </w:tr>
    </w:tbl>
    <w:p w14:paraId="2C488E34">
      <w:pPr>
        <w:spacing w:line="278" w:lineRule="auto"/>
        <w:rPr>
          <w:rFonts w:ascii="Arial"/>
          <w:color w:val="auto"/>
          <w:sz w:val="21"/>
        </w:rPr>
      </w:pPr>
    </w:p>
    <w:p w14:paraId="0ED4F172">
      <w:pPr>
        <w:pStyle w:val="2"/>
        <w:spacing w:before="187" w:line="442" w:lineRule="exact"/>
        <w:ind w:right="18"/>
        <w:jc w:val="center"/>
        <w:rPr>
          <w:rFonts w:hint="eastAsia" w:ascii="宋体" w:hAnsi="宋体" w:eastAsia="宋体" w:cs="宋体"/>
          <w:color w:val="auto"/>
          <w:sz w:val="21"/>
          <w:szCs w:val="21"/>
        </w:rPr>
      </w:pPr>
      <w:r>
        <w:rPr>
          <w:rFonts w:hint="eastAsia" w:ascii="宋体" w:hAnsi="宋体" w:eastAsia="宋体" w:cs="宋体"/>
          <w:color w:val="auto"/>
          <w:spacing w:val="-9"/>
          <w:position w:val="18"/>
          <w:sz w:val="21"/>
          <w:szCs w:val="21"/>
        </w:rPr>
        <w:t>本次招标咨询服务期限为：</w:t>
      </w:r>
      <w:r>
        <w:rPr>
          <w:rFonts w:hint="eastAsia" w:ascii="宋体" w:hAnsi="宋体" w:eastAsia="宋体" w:cs="宋体"/>
          <w:color w:val="auto"/>
          <w:spacing w:val="-9"/>
          <w:position w:val="18"/>
          <w:sz w:val="21"/>
          <w:szCs w:val="21"/>
        </w:rPr>
        <w:t>本项目合同签订之日起，至本项目结算审核工作完成，</w:t>
      </w:r>
      <w:r>
        <w:rPr>
          <w:rFonts w:hint="eastAsia" w:ascii="宋体" w:hAnsi="宋体" w:eastAsia="宋体" w:cs="宋体"/>
          <w:color w:val="auto"/>
          <w:spacing w:val="-2"/>
          <w:position w:val="17"/>
          <w:sz w:val="21"/>
          <w:szCs w:val="21"/>
        </w:rPr>
        <w:t>暂定</w:t>
      </w:r>
      <w:r>
        <w:rPr>
          <w:rFonts w:hint="eastAsia" w:ascii="宋体" w:hAnsi="宋体" w:eastAsia="宋体" w:cs="宋体"/>
          <w:color w:val="auto"/>
          <w:spacing w:val="-2"/>
          <w:position w:val="17"/>
          <w:sz w:val="21"/>
          <w:szCs w:val="21"/>
          <w:lang w:val="en-US" w:eastAsia="zh-CN"/>
        </w:rPr>
        <w:t>630</w:t>
      </w:r>
      <w:r>
        <w:rPr>
          <w:rFonts w:hint="eastAsia" w:ascii="宋体" w:hAnsi="宋体" w:eastAsia="宋体" w:cs="宋体"/>
          <w:color w:val="auto"/>
          <w:spacing w:val="-2"/>
          <w:position w:val="17"/>
          <w:sz w:val="21"/>
          <w:szCs w:val="21"/>
        </w:rPr>
        <w:t>日历天</w:t>
      </w:r>
    </w:p>
    <w:p w14:paraId="1DD85C61">
      <w:pPr>
        <w:pStyle w:val="2"/>
        <w:spacing w:before="157" w:line="225" w:lineRule="auto"/>
        <w:ind w:left="33"/>
        <w:outlineLvl w:val="2"/>
        <w:rPr>
          <w:rFonts w:hint="eastAsia" w:ascii="宋体" w:hAnsi="宋体" w:eastAsia="宋体" w:cs="宋体"/>
          <w:color w:val="auto"/>
        </w:rPr>
      </w:pPr>
      <w:r>
        <w:rPr>
          <w:rFonts w:hint="eastAsia" w:ascii="宋体" w:hAnsi="宋体" w:eastAsia="宋体" w:cs="宋体"/>
          <w:b/>
          <w:bCs/>
          <w:color w:val="auto"/>
          <w:spacing w:val="7"/>
        </w:rPr>
        <w:t xml:space="preserve">3.  </w:t>
      </w:r>
      <w:r>
        <w:rPr>
          <w:rFonts w:hint="eastAsia" w:ascii="宋体" w:hAnsi="宋体" w:eastAsia="宋体" w:cs="宋体"/>
          <w:color w:val="auto"/>
          <w:spacing w:val="7"/>
          <w14:textOutline w14:w="5050" w14:cap="flat" w14:cmpd="sng">
            <w14:solidFill>
              <w14:srgbClr w14:val="000000"/>
            </w14:solidFill>
            <w14:prstDash w14:val="solid"/>
            <w14:miter w14:val="0"/>
          </w14:textOutline>
        </w:rPr>
        <w:t>投标人资格要求</w:t>
      </w:r>
    </w:p>
    <w:p w14:paraId="4CD57737">
      <w:pPr>
        <w:spacing w:line="416" w:lineRule="auto"/>
        <w:rPr>
          <w:rFonts w:ascii="Arial"/>
          <w:color w:val="auto"/>
          <w:sz w:val="21"/>
        </w:rPr>
      </w:pPr>
    </w:p>
    <w:p w14:paraId="184811C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00" w:firstLineChars="100"/>
        <w:textAlignment w:val="baseline"/>
        <w:rPr>
          <w:rFonts w:hint="eastAsia" w:ascii="宋体" w:hAnsi="宋体" w:eastAsia="宋体" w:cs="宋体"/>
          <w:color w:val="auto"/>
          <w:spacing w:val="-5"/>
          <w:position w:val="17"/>
          <w:sz w:val="21"/>
          <w:szCs w:val="21"/>
          <w:u w:val="single"/>
          <w:lang w:val="en-US" w:eastAsia="zh-CN"/>
        </w:rPr>
      </w:pPr>
      <w:r>
        <w:rPr>
          <w:rFonts w:hint="eastAsia" w:ascii="宋体" w:hAnsi="宋体" w:eastAsia="宋体" w:cs="宋体"/>
          <w:color w:val="auto"/>
          <w:spacing w:val="-5"/>
          <w:position w:val="17"/>
          <w:sz w:val="21"/>
          <w:szCs w:val="21"/>
          <w:lang w:val="en-US" w:eastAsia="zh-CN"/>
        </w:rPr>
        <w:t>3.1  本次招标要求投标人须</w:t>
      </w:r>
      <w:r>
        <w:rPr>
          <w:rFonts w:hint="eastAsia" w:ascii="宋体" w:hAnsi="宋体" w:eastAsia="宋体" w:cs="宋体"/>
          <w:color w:val="auto"/>
          <w:spacing w:val="-5"/>
          <w:position w:val="17"/>
          <w:sz w:val="21"/>
          <w:szCs w:val="21"/>
          <w:u w:val="single"/>
          <w:lang w:val="en-US" w:eastAsia="zh-CN"/>
        </w:rPr>
        <w:t>具备独立法人资格， 持有有效的企业法人营业执照（或事业单位法人证书）资质、近五年（2019年12月1日至投标截止之日前一日） 具有1个建安工程费用不低于2.8亿元的公路工程的工程结算审核（审计）或全过程造价咨询或全过程跟踪审计业绩，并在人员等方面具有相应的咨询服务能力。</w:t>
      </w:r>
    </w:p>
    <w:p w14:paraId="0B06716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00" w:firstLineChars="100"/>
        <w:textAlignment w:val="baseline"/>
        <w:rPr>
          <w:rFonts w:hint="eastAsia" w:ascii="宋体" w:hAnsi="宋体" w:eastAsia="宋体" w:cs="宋体"/>
          <w:color w:val="auto"/>
          <w:spacing w:val="-5"/>
          <w:position w:val="17"/>
          <w:sz w:val="21"/>
          <w:szCs w:val="21"/>
          <w:lang w:val="en-US" w:eastAsia="zh-CN"/>
        </w:rPr>
      </w:pPr>
      <w:r>
        <w:rPr>
          <w:rFonts w:hint="eastAsia" w:ascii="宋体" w:hAnsi="宋体" w:eastAsia="宋体" w:cs="宋体"/>
          <w:color w:val="auto"/>
          <w:spacing w:val="-5"/>
          <w:position w:val="17"/>
          <w:sz w:val="21"/>
          <w:szCs w:val="21"/>
          <w:lang w:val="en-US" w:eastAsia="zh-CN"/>
        </w:rPr>
        <w:t>3.2 拟任项目负责人应</w:t>
      </w:r>
      <w:r>
        <w:rPr>
          <w:rFonts w:hint="eastAsia" w:ascii="宋体" w:hAnsi="宋体" w:eastAsia="宋体" w:cs="宋体"/>
          <w:color w:val="auto"/>
          <w:spacing w:val="-5"/>
          <w:position w:val="17"/>
          <w:sz w:val="21"/>
          <w:szCs w:val="21"/>
          <w:u w:val="single"/>
          <w:lang w:val="en-US" w:eastAsia="zh-CN"/>
        </w:rPr>
        <w:t>具有交通运输部公路工程造价人员资格证书（甲级）或国家一级注册造价工程师证书（交通运输工程专业），注册单位名称须与投标人名称一致；同时具有公路工程或工程造价相关专业高级及以上技术职称。近五年（2019 年12月1日至投标截止之日前一日）作为项目负责人或技术负责人主持过1个建安工程费用不低于2.8亿元的公路工程的工程结算审核（审计）或全过程造价咨询或全过程跟踪审计业绩。提供至投标截止时间前连续六个月社保证明。</w:t>
      </w:r>
    </w:p>
    <w:p w14:paraId="6A0E405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00" w:firstLineChars="100"/>
        <w:textAlignment w:val="baseline"/>
        <w:rPr>
          <w:rFonts w:hint="eastAsia" w:ascii="宋体" w:hAnsi="宋体" w:eastAsia="宋体" w:cs="宋体"/>
          <w:color w:val="auto"/>
          <w:spacing w:val="-5"/>
          <w:position w:val="17"/>
          <w:sz w:val="21"/>
          <w:szCs w:val="21"/>
          <w:lang w:val="en-US" w:eastAsia="zh-CN"/>
        </w:rPr>
      </w:pPr>
      <w:r>
        <w:rPr>
          <w:rFonts w:hint="eastAsia" w:ascii="宋体" w:hAnsi="宋体" w:eastAsia="宋体" w:cs="宋体"/>
          <w:color w:val="auto"/>
          <w:spacing w:val="-5"/>
          <w:position w:val="17"/>
          <w:sz w:val="21"/>
          <w:szCs w:val="21"/>
          <w:lang w:val="en-US" w:eastAsia="zh-CN"/>
        </w:rPr>
        <w:t>3.3  本次招标不接受联合体投标。联合体投标的，联合体所有成员数量不得超过/家，且应满</w:t>
      </w:r>
    </w:p>
    <w:p w14:paraId="25A78DF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200" w:firstLineChars="100"/>
        <w:textAlignment w:val="baseline"/>
        <w:rPr>
          <w:rFonts w:hint="eastAsia" w:ascii="宋体" w:hAnsi="宋体" w:eastAsia="宋体" w:cs="宋体"/>
          <w:color w:val="auto"/>
          <w:spacing w:val="-5"/>
          <w:position w:val="17"/>
          <w:sz w:val="21"/>
          <w:szCs w:val="21"/>
          <w:lang w:val="en-US" w:eastAsia="zh-CN"/>
        </w:rPr>
      </w:pPr>
      <w:r>
        <w:rPr>
          <w:rFonts w:hint="eastAsia" w:ascii="宋体" w:hAnsi="宋体" w:eastAsia="宋体" w:cs="宋体"/>
          <w:color w:val="auto"/>
          <w:spacing w:val="-5"/>
          <w:position w:val="17"/>
          <w:sz w:val="21"/>
          <w:szCs w:val="21"/>
          <w:lang w:val="en-US" w:eastAsia="zh-CN"/>
        </w:rPr>
        <w:t>足下列要求：/。</w:t>
      </w:r>
    </w:p>
    <w:p w14:paraId="30CFEEC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04" w:firstLineChars="100"/>
        <w:textAlignment w:val="baseline"/>
        <w:rPr>
          <w:rFonts w:hint="eastAsia" w:ascii="宋体" w:hAnsi="宋体" w:eastAsia="宋体" w:cs="宋体"/>
          <w:color w:val="auto"/>
          <w:sz w:val="11"/>
          <w:szCs w:val="11"/>
        </w:rPr>
      </w:pPr>
      <w:r>
        <w:rPr>
          <w:rFonts w:hint="eastAsia" w:ascii="宋体" w:hAnsi="宋体" w:eastAsia="宋体" w:cs="宋体"/>
          <w:color w:val="auto"/>
          <w:spacing w:val="-3"/>
          <w:sz w:val="21"/>
          <w:szCs w:val="21"/>
        </w:rPr>
        <w:t>3.</w:t>
      </w:r>
      <w:r>
        <w:rPr>
          <w:rFonts w:hint="eastAsia" w:ascii="宋体" w:hAnsi="宋体" w:eastAsia="宋体" w:cs="宋体"/>
          <w:color w:val="auto"/>
          <w:spacing w:val="-3"/>
          <w:sz w:val="21"/>
          <w:szCs w:val="21"/>
          <w:lang w:val="en-US" w:eastAsia="zh-CN"/>
        </w:rPr>
        <w:t>4</w:t>
      </w:r>
      <w:r>
        <w:rPr>
          <w:rFonts w:hint="eastAsia" w:ascii="宋体" w:hAnsi="宋体" w:eastAsia="宋体" w:cs="宋体"/>
          <w:color w:val="auto"/>
          <w:spacing w:val="-3"/>
          <w:sz w:val="21"/>
          <w:szCs w:val="21"/>
        </w:rPr>
        <w:t xml:space="preserve">  每个投标人可在本次招标中对</w:t>
      </w:r>
      <w:r>
        <w:rPr>
          <w:rFonts w:hint="eastAsia" w:ascii="宋体" w:hAnsi="宋体" w:eastAsia="宋体" w:cs="宋体"/>
          <w:color w:val="auto"/>
          <w:spacing w:val="-3"/>
          <w:sz w:val="21"/>
          <w:szCs w:val="21"/>
          <w:u w:val="single"/>
        </w:rPr>
        <w:t>/</w:t>
      </w:r>
      <w:r>
        <w:rPr>
          <w:rFonts w:hint="eastAsia" w:ascii="宋体" w:hAnsi="宋体" w:eastAsia="宋体" w:cs="宋体"/>
          <w:color w:val="auto"/>
          <w:spacing w:val="-3"/>
          <w:sz w:val="21"/>
          <w:szCs w:val="21"/>
        </w:rPr>
        <w:t>个标段投标，每个投标人允许中</w:t>
      </w:r>
      <w:r>
        <w:rPr>
          <w:rFonts w:hint="eastAsia" w:ascii="宋体" w:hAnsi="宋体" w:eastAsia="宋体" w:cs="宋体"/>
          <w:color w:val="auto"/>
          <w:spacing w:val="-3"/>
          <w:sz w:val="21"/>
          <w:szCs w:val="21"/>
          <w:u w:val="single"/>
        </w:rPr>
        <w:t>/</w:t>
      </w:r>
      <w:r>
        <w:rPr>
          <w:rFonts w:hint="eastAsia" w:ascii="宋体" w:hAnsi="宋体" w:eastAsia="宋体" w:cs="宋体"/>
          <w:color w:val="auto"/>
          <w:spacing w:val="-3"/>
          <w:sz w:val="21"/>
          <w:szCs w:val="21"/>
        </w:rPr>
        <w:t>个标。</w:t>
      </w:r>
    </w:p>
    <w:p w14:paraId="14EA4FA8">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202" w:firstLineChars="1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3.</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 xml:space="preserve">  与招标人存在利害关系且可能影响招标公正性的单位，不得参加投标。单位负责人</w:t>
      </w:r>
      <w:r>
        <w:rPr>
          <w:rFonts w:hint="eastAsia" w:ascii="宋体" w:hAnsi="宋体" w:eastAsia="宋体" w:cs="宋体"/>
          <w:color w:val="auto"/>
          <w:spacing w:val="-37"/>
          <w:position w:val="8"/>
          <w:sz w:val="11"/>
          <w:szCs w:val="11"/>
        </w:rPr>
        <w:t xml:space="preserve"> </w:t>
      </w:r>
      <w:r>
        <w:rPr>
          <w:rFonts w:hint="eastAsia" w:ascii="宋体" w:hAnsi="宋体" w:eastAsia="宋体" w:cs="宋体"/>
          <w:color w:val="auto"/>
          <w:spacing w:val="-4"/>
          <w:sz w:val="21"/>
          <w:szCs w:val="21"/>
        </w:rPr>
        <w:t>为同</w:t>
      </w:r>
      <w:r>
        <w:rPr>
          <w:rFonts w:hint="eastAsia" w:ascii="宋体" w:hAnsi="宋体" w:eastAsia="宋体" w:cs="宋体"/>
          <w:color w:val="auto"/>
          <w:spacing w:val="-3"/>
          <w:sz w:val="21"/>
          <w:szCs w:val="21"/>
        </w:rPr>
        <w:t>一人或者存在控股</w:t>
      </w:r>
      <w:r>
        <w:rPr>
          <w:rFonts w:hint="eastAsia" w:ascii="宋体" w:hAnsi="宋体" w:eastAsia="宋体" w:cs="宋体"/>
          <w:color w:val="auto"/>
          <w:spacing w:val="-20"/>
          <w:position w:val="8"/>
          <w:sz w:val="11"/>
          <w:szCs w:val="11"/>
        </w:rPr>
        <w:t xml:space="preserve"> </w:t>
      </w:r>
      <w:r>
        <w:rPr>
          <w:rFonts w:hint="eastAsia" w:ascii="宋体" w:hAnsi="宋体" w:eastAsia="宋体" w:cs="宋体"/>
          <w:color w:val="auto"/>
          <w:spacing w:val="-3"/>
          <w:sz w:val="21"/>
          <w:szCs w:val="21"/>
        </w:rPr>
        <w:t>、管理关系的不同单位（即利益相关人</w:t>
      </w:r>
      <w:r>
        <w:rPr>
          <w:rFonts w:hint="eastAsia" w:ascii="宋体" w:hAnsi="宋体" w:eastAsia="宋体" w:cs="宋体"/>
          <w:color w:val="auto"/>
          <w:spacing w:val="9"/>
          <w:sz w:val="21"/>
          <w:szCs w:val="21"/>
        </w:rPr>
        <w:t>），</w:t>
      </w:r>
      <w:r>
        <w:rPr>
          <w:rFonts w:hint="eastAsia" w:ascii="宋体" w:hAnsi="宋体" w:eastAsia="宋体" w:cs="宋体"/>
          <w:color w:val="auto"/>
          <w:spacing w:val="-3"/>
          <w:sz w:val="21"/>
          <w:szCs w:val="21"/>
        </w:rPr>
        <w:t>不得参加同一标段投标，否则相关投标均无效。</w:t>
      </w:r>
    </w:p>
    <w:p w14:paraId="63EE24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208" w:firstLineChars="1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3.</w:t>
      </w:r>
      <w:r>
        <w:rPr>
          <w:rFonts w:hint="eastAsia" w:ascii="宋体" w:hAnsi="宋体" w:eastAsia="宋体" w:cs="宋体"/>
          <w:color w:val="auto"/>
          <w:spacing w:val="-1"/>
          <w:sz w:val="21"/>
          <w:szCs w:val="21"/>
          <w:lang w:val="en-US" w:eastAsia="zh-CN"/>
        </w:rPr>
        <w:t>6</w:t>
      </w:r>
      <w:r>
        <w:rPr>
          <w:rFonts w:hint="eastAsia" w:ascii="宋体" w:hAnsi="宋体" w:eastAsia="宋体" w:cs="宋体"/>
          <w:color w:val="auto"/>
          <w:spacing w:val="-1"/>
          <w:sz w:val="21"/>
          <w:szCs w:val="21"/>
        </w:rPr>
        <w:t xml:space="preserve">  招标人不接受在全国企业信用信息公示系统（</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"http://www.gsxt.gov.cn" </w:instrText>
      </w:r>
      <w:r>
        <w:rPr>
          <w:rFonts w:hint="eastAsia" w:ascii="宋体" w:hAnsi="宋体" w:eastAsia="宋体" w:cs="宋体"/>
          <w:color w:val="auto"/>
        </w:rPr>
        <w:fldChar w:fldCharType="separate"/>
      </w:r>
      <w:r>
        <w:rPr>
          <w:rFonts w:hint="eastAsia" w:ascii="宋体" w:hAnsi="宋体" w:eastAsia="宋体" w:cs="宋体"/>
          <w:color w:val="auto"/>
          <w:spacing w:val="-1"/>
          <w:sz w:val="21"/>
          <w:szCs w:val="21"/>
        </w:rPr>
        <w:t>http:</w:t>
      </w:r>
      <w:r>
        <w:rPr>
          <w:rFonts w:hint="eastAsia" w:ascii="宋体" w:hAnsi="宋体" w:eastAsia="宋体" w:cs="宋体"/>
          <w:color w:val="auto"/>
          <w:spacing w:val="-2"/>
          <w:sz w:val="21"/>
          <w:szCs w:val="21"/>
        </w:rPr>
        <w:t>//www.gsxt.gov.cn</w:t>
      </w:r>
      <w:r>
        <w:rPr>
          <w:rFonts w:hint="eastAsia" w:ascii="宋体" w:hAnsi="宋体" w:eastAsia="宋体" w:cs="宋体"/>
          <w:color w:val="auto"/>
          <w:spacing w:val="-2"/>
          <w:sz w:val="21"/>
          <w:szCs w:val="21"/>
        </w:rPr>
        <w:fldChar w:fldCharType="end"/>
      </w:r>
      <w:r>
        <w:rPr>
          <w:rFonts w:hint="eastAsia" w:ascii="宋体" w:hAnsi="宋体" w:eastAsia="宋体" w:cs="宋体"/>
          <w:color w:val="auto"/>
          <w:spacing w:val="-2"/>
          <w:sz w:val="21"/>
          <w:szCs w:val="21"/>
        </w:rPr>
        <w:t>）中被列入严重违法</w:t>
      </w:r>
      <w:r>
        <w:rPr>
          <w:rFonts w:hint="eastAsia" w:ascii="宋体" w:hAnsi="宋体" w:eastAsia="宋体" w:cs="宋体"/>
          <w:color w:val="auto"/>
          <w:sz w:val="21"/>
          <w:szCs w:val="21"/>
        </w:rPr>
        <w:t>失信企业名单的或在“</w:t>
      </w:r>
      <w:r>
        <w:rPr>
          <w:rFonts w:hint="eastAsia" w:ascii="宋体" w:hAnsi="宋体" w:eastAsia="宋体" w:cs="宋体"/>
          <w:color w:val="auto"/>
          <w:spacing w:val="-37"/>
          <w:sz w:val="21"/>
          <w:szCs w:val="21"/>
        </w:rPr>
        <w:t xml:space="preserve"> </w:t>
      </w:r>
      <w:r>
        <w:rPr>
          <w:rFonts w:hint="eastAsia" w:ascii="宋体" w:hAnsi="宋体" w:eastAsia="宋体" w:cs="宋体"/>
          <w:color w:val="auto"/>
          <w:sz w:val="21"/>
          <w:szCs w:val="21"/>
        </w:rPr>
        <w:t>信用中国”网站（www.creditchi</w:t>
      </w:r>
      <w:r>
        <w:rPr>
          <w:rFonts w:hint="eastAsia" w:ascii="宋体" w:hAnsi="宋体" w:eastAsia="宋体" w:cs="宋体"/>
          <w:color w:val="auto"/>
          <w:spacing w:val="-1"/>
          <w:sz w:val="21"/>
          <w:szCs w:val="21"/>
        </w:rPr>
        <w:t>na.gov.cn）中被列入失信被执行人名单的投</w:t>
      </w:r>
      <w:r>
        <w:rPr>
          <w:rFonts w:hint="eastAsia" w:ascii="宋体" w:hAnsi="宋体" w:eastAsia="宋体" w:cs="宋体"/>
          <w:color w:val="auto"/>
          <w:spacing w:val="-5"/>
          <w:sz w:val="21"/>
          <w:szCs w:val="21"/>
        </w:rPr>
        <w:t>标人投标。</w:t>
      </w:r>
    </w:p>
    <w:p w14:paraId="751F2874">
      <w:pPr>
        <w:pStyle w:val="2"/>
        <w:spacing w:before="156" w:line="224" w:lineRule="auto"/>
        <w:ind w:left="35"/>
        <w:outlineLvl w:val="2"/>
        <w:rPr>
          <w:color w:val="auto"/>
        </w:rPr>
      </w:pPr>
      <w:r>
        <w:rPr>
          <w:rFonts w:ascii="Times New Roman" w:hAnsi="Times New Roman" w:eastAsia="Times New Roman" w:cs="Times New Roman"/>
          <w:b/>
          <w:bCs/>
          <w:color w:val="auto"/>
          <w:spacing w:val="7"/>
        </w:rPr>
        <w:t xml:space="preserve">4.  </w:t>
      </w:r>
      <w:r>
        <w:rPr>
          <w:color w:val="auto"/>
          <w:spacing w:val="7"/>
          <w14:textOutline w14:w="5050" w14:cap="flat" w14:cmpd="sng">
            <w14:solidFill>
              <w14:srgbClr w14:val="000000"/>
            </w14:solidFill>
            <w14:prstDash w14:val="solid"/>
            <w14:miter w14:val="0"/>
          </w14:textOutline>
        </w:rPr>
        <w:t>招标文件的获取</w:t>
      </w:r>
    </w:p>
    <w:p w14:paraId="71E09E48">
      <w:pPr>
        <w:spacing w:line="379" w:lineRule="auto"/>
        <w:rPr>
          <w:rFonts w:ascii="Arial"/>
          <w:color w:val="auto"/>
          <w:sz w:val="21"/>
        </w:rPr>
      </w:pPr>
    </w:p>
    <w:p w14:paraId="112D21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根据规定，本项目只接受网上报名。凡有意参加投标者，请登录岳阳市公共资源交易网，并在岳阳市公共资源交易中心窗口办理CA数字证书，办理完成CA数字</w:t>
      </w:r>
      <w:r>
        <w:rPr>
          <w:rFonts w:hint="eastAsia" w:ascii="宋体" w:hAnsi="宋体" w:eastAsia="宋体" w:cs="宋体"/>
          <w:color w:val="auto"/>
          <w:sz w:val="21"/>
          <w:szCs w:val="21"/>
          <w:highlight w:val="none"/>
        </w:rPr>
        <w:t>认证后，请于</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9:00</w:t>
      </w:r>
      <w:r>
        <w:rPr>
          <w:rFonts w:hint="eastAsia" w:ascii="宋体" w:hAnsi="宋体" w:eastAsia="宋体" w:cs="宋体"/>
          <w:color w:val="auto"/>
          <w:sz w:val="21"/>
          <w:szCs w:val="21"/>
          <w:highlight w:val="none"/>
        </w:rPr>
        <w:t>时至2024年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日17时30分（北京时间，下同）</w:t>
      </w:r>
      <w:r>
        <w:rPr>
          <w:rFonts w:hint="eastAsia" w:ascii="宋体" w:hAnsi="宋体" w:eastAsia="宋体" w:cs="宋体"/>
          <w:color w:val="auto"/>
          <w:sz w:val="21"/>
          <w:szCs w:val="21"/>
          <w:highlight w:val="none"/>
        </w:rPr>
        <w:t>，通过互</w:t>
      </w:r>
      <w:r>
        <w:rPr>
          <w:rFonts w:hint="eastAsia" w:ascii="宋体" w:hAnsi="宋体" w:eastAsia="宋体" w:cs="宋体"/>
          <w:color w:val="auto"/>
          <w:sz w:val="21"/>
          <w:szCs w:val="21"/>
          <w:highlight w:val="none"/>
        </w:rPr>
        <w:t>联网使用CA数字证书登录岳阳市公共资源交易网电子交易系统（以下简称：“电子交易平台”，网址：http://222.242.228.197:8083/TPBidder/memberLogin），选择所投类别进行报名后下载招标文件、图纸等相关资料，完成报名。联合体投标的，由联合体牵头人完成报名、招标文件等资料下载。</w:t>
      </w:r>
    </w:p>
    <w:p w14:paraId="4A55A2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应及时关注网上相关招标信息，如有遗漏招标人概不负责，所造成的投标失败或损失由投标人自行负责。凡资料不全、投标人与其证照不符、超过招标文件下载购买时间、未按规定从湖南省公共资源交易中心进场交易系统下载招标文件的，招标人将拒收其投标。</w:t>
      </w:r>
    </w:p>
    <w:p w14:paraId="46D82B97">
      <w:pPr>
        <w:spacing w:line="360" w:lineRule="auto"/>
        <w:ind w:left="4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招标文件每套售价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元，售后不退。</w:t>
      </w:r>
    </w:p>
    <w:p w14:paraId="7C782000">
      <w:pPr>
        <w:pStyle w:val="2"/>
        <w:spacing w:before="152" w:line="225" w:lineRule="auto"/>
        <w:ind w:left="38"/>
        <w:outlineLvl w:val="2"/>
        <w:rPr>
          <w:color w:val="auto"/>
        </w:rPr>
      </w:pPr>
      <w:r>
        <w:rPr>
          <w:rFonts w:ascii="Times New Roman" w:hAnsi="Times New Roman" w:eastAsia="Times New Roman" w:cs="Times New Roman"/>
          <w:b/>
          <w:bCs/>
          <w:color w:val="auto"/>
          <w:spacing w:val="8"/>
        </w:rPr>
        <w:t xml:space="preserve">5.  </w:t>
      </w:r>
      <w:r>
        <w:rPr>
          <w:color w:val="auto"/>
          <w:spacing w:val="8"/>
          <w14:textOutline w14:w="5050" w14:cap="flat" w14:cmpd="sng">
            <w14:solidFill>
              <w14:srgbClr w14:val="000000"/>
            </w14:solidFill>
            <w14:prstDash w14:val="solid"/>
            <w14:miter w14:val="0"/>
          </w14:textOutline>
        </w:rPr>
        <w:t>投标文件的递交及相关事宜</w:t>
      </w:r>
    </w:p>
    <w:p w14:paraId="2B7695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rPr>
      </w:pPr>
    </w:p>
    <w:p w14:paraId="4C8B8707">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46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5.1</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 xml:space="preserve"> 招标人将于下列时间和地点组织进行工程现场踏勘并召开投标预备会。</w:t>
      </w:r>
    </w:p>
    <w:p w14:paraId="6BADB870">
      <w:pPr>
        <w:keepNext w:val="0"/>
        <w:keepLines w:val="0"/>
        <w:pageBreakBefore w:val="0"/>
        <w:widowControl/>
        <w:kinsoku w:val="0"/>
        <w:wordWrap/>
        <w:overflowPunct/>
        <w:topLinePunct w:val="0"/>
        <w:autoSpaceDE w:val="0"/>
        <w:autoSpaceDN w:val="0"/>
        <w:bidi w:val="0"/>
        <w:adjustRightInd w:val="0"/>
        <w:snapToGrid w:val="0"/>
        <w:spacing w:before="121" w:line="360" w:lineRule="auto"/>
        <w:ind w:right="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踏勘现场时间</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u w:val="single"/>
        </w:rPr>
        <w:t xml:space="preserve">  /   </w:t>
      </w:r>
      <w:r>
        <w:rPr>
          <w:rFonts w:hint="eastAsia" w:ascii="宋体" w:hAnsi="宋体" w:eastAsia="宋体" w:cs="宋体"/>
          <w:color w:val="auto"/>
          <w:spacing w:val="-10"/>
          <w:sz w:val="21"/>
          <w:szCs w:val="21"/>
          <w:highlight w:val="none"/>
        </w:rPr>
        <w:t>年</w:t>
      </w:r>
      <w:r>
        <w:rPr>
          <w:rFonts w:hint="eastAsia" w:ascii="宋体" w:hAnsi="宋体" w:eastAsia="宋体" w:cs="宋体"/>
          <w:color w:val="auto"/>
          <w:spacing w:val="-10"/>
          <w:sz w:val="21"/>
          <w:szCs w:val="21"/>
          <w:highlight w:val="none"/>
          <w:u w:val="single"/>
        </w:rPr>
        <w:t xml:space="preserve">  / </w:t>
      </w:r>
      <w:r>
        <w:rPr>
          <w:rFonts w:hint="eastAsia" w:ascii="宋体" w:hAnsi="宋体" w:eastAsia="宋体" w:cs="宋体"/>
          <w:color w:val="auto"/>
          <w:spacing w:val="-10"/>
          <w:sz w:val="21"/>
          <w:szCs w:val="21"/>
          <w:highlight w:val="none"/>
        </w:rPr>
        <w:t xml:space="preserve"> 月</w:t>
      </w:r>
      <w:r>
        <w:rPr>
          <w:rFonts w:hint="eastAsia" w:ascii="宋体" w:hAnsi="宋体" w:eastAsia="宋体" w:cs="宋体"/>
          <w:color w:val="auto"/>
          <w:spacing w:val="-10"/>
          <w:sz w:val="21"/>
          <w:szCs w:val="21"/>
          <w:highlight w:val="none"/>
          <w:u w:val="single"/>
        </w:rPr>
        <w:t xml:space="preserve">  / </w:t>
      </w:r>
      <w:r>
        <w:rPr>
          <w:rFonts w:hint="eastAsia" w:ascii="宋体" w:hAnsi="宋体" w:eastAsia="宋体" w:cs="宋体"/>
          <w:color w:val="auto"/>
          <w:spacing w:val="-10"/>
          <w:sz w:val="21"/>
          <w:szCs w:val="21"/>
          <w:highlight w:val="none"/>
        </w:rPr>
        <w:t xml:space="preserve"> 日</w:t>
      </w:r>
      <w:r>
        <w:rPr>
          <w:rFonts w:hint="eastAsia" w:ascii="宋体" w:hAnsi="宋体" w:eastAsia="宋体" w:cs="宋体"/>
          <w:color w:val="auto"/>
          <w:spacing w:val="-10"/>
          <w:sz w:val="21"/>
          <w:szCs w:val="21"/>
          <w:highlight w:val="none"/>
          <w:u w:val="single"/>
        </w:rPr>
        <w:t xml:space="preserve"> /  </w:t>
      </w:r>
      <w:r>
        <w:rPr>
          <w:rFonts w:hint="eastAsia" w:ascii="宋体" w:hAnsi="宋体" w:eastAsia="宋体" w:cs="宋体"/>
          <w:color w:val="auto"/>
          <w:spacing w:val="-10"/>
          <w:sz w:val="21"/>
          <w:szCs w:val="21"/>
          <w:highlight w:val="none"/>
        </w:rPr>
        <w:t xml:space="preserve"> 时</w:t>
      </w:r>
      <w:r>
        <w:rPr>
          <w:rFonts w:hint="eastAsia" w:ascii="宋体" w:hAnsi="宋体" w:eastAsia="宋体" w:cs="宋体"/>
          <w:color w:val="auto"/>
          <w:spacing w:val="-10"/>
          <w:sz w:val="21"/>
          <w:szCs w:val="21"/>
          <w:highlight w:val="none"/>
          <w:u w:val="single"/>
        </w:rPr>
        <w:t xml:space="preserve">  / </w:t>
      </w:r>
      <w:r>
        <w:rPr>
          <w:rFonts w:hint="eastAsia" w:ascii="宋体" w:hAnsi="宋体" w:eastAsia="宋体" w:cs="宋体"/>
          <w:color w:val="auto"/>
          <w:spacing w:val="-10"/>
          <w:sz w:val="21"/>
          <w:szCs w:val="21"/>
          <w:highlight w:val="none"/>
        </w:rPr>
        <w:t xml:space="preserve"> 分，集中地点：</w:t>
      </w:r>
      <w:r>
        <w:rPr>
          <w:rFonts w:hint="eastAsia" w:ascii="宋体" w:hAnsi="宋体" w:eastAsia="宋体" w:cs="宋体"/>
          <w:color w:val="auto"/>
          <w:spacing w:val="-10"/>
          <w:sz w:val="21"/>
          <w:szCs w:val="21"/>
          <w:highlight w:val="none"/>
          <w:u w:val="single"/>
        </w:rPr>
        <w:t xml:space="preserve">      /     </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 xml:space="preserve"> </w:t>
      </w:r>
    </w:p>
    <w:p w14:paraId="40E4F0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szCs w:val="21"/>
        </w:rPr>
      </w:pPr>
      <w:r>
        <w:rPr>
          <w:rFonts w:hint="eastAsia" w:ascii="宋体" w:hAnsi="宋体" w:eastAsia="宋体" w:cs="宋体"/>
          <w:color w:val="auto"/>
          <w:spacing w:val="6"/>
          <w:sz w:val="21"/>
          <w:szCs w:val="21"/>
          <w:highlight w:val="none"/>
        </w:rPr>
        <w:t>投标预备会时间</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u w:val="single"/>
        </w:rPr>
        <w:t xml:space="preserve">   /  </w:t>
      </w:r>
      <w:r>
        <w:rPr>
          <w:rFonts w:hint="eastAsia" w:ascii="宋体" w:hAnsi="宋体" w:eastAsia="宋体" w:cs="宋体"/>
          <w:color w:val="auto"/>
          <w:spacing w:val="-8"/>
          <w:sz w:val="21"/>
          <w:szCs w:val="21"/>
          <w:highlight w:val="none"/>
        </w:rPr>
        <w:t>年</w:t>
      </w:r>
      <w:r>
        <w:rPr>
          <w:rFonts w:hint="eastAsia" w:ascii="宋体" w:hAnsi="宋体" w:eastAsia="宋体" w:cs="宋体"/>
          <w:color w:val="auto"/>
          <w:spacing w:val="-8"/>
          <w:sz w:val="21"/>
          <w:szCs w:val="21"/>
          <w:highlight w:val="none"/>
          <w:u w:val="single"/>
        </w:rPr>
        <w:t xml:space="preserve"> /  </w:t>
      </w:r>
      <w:r>
        <w:rPr>
          <w:rFonts w:hint="eastAsia" w:ascii="宋体" w:hAnsi="宋体" w:eastAsia="宋体" w:cs="宋体"/>
          <w:color w:val="auto"/>
          <w:spacing w:val="-8"/>
          <w:sz w:val="21"/>
          <w:szCs w:val="21"/>
          <w:highlight w:val="none"/>
        </w:rPr>
        <w:t xml:space="preserve"> 月</w:t>
      </w:r>
      <w:r>
        <w:rPr>
          <w:rFonts w:hint="eastAsia" w:ascii="宋体" w:hAnsi="宋体" w:eastAsia="宋体" w:cs="宋体"/>
          <w:color w:val="auto"/>
          <w:spacing w:val="-8"/>
          <w:sz w:val="21"/>
          <w:szCs w:val="21"/>
          <w:highlight w:val="none"/>
          <w:u w:val="single"/>
        </w:rPr>
        <w:t xml:space="preserve"> /  </w:t>
      </w:r>
      <w:r>
        <w:rPr>
          <w:rFonts w:hint="eastAsia" w:ascii="宋体" w:hAnsi="宋体" w:eastAsia="宋体" w:cs="宋体"/>
          <w:color w:val="auto"/>
          <w:spacing w:val="-8"/>
          <w:sz w:val="21"/>
          <w:szCs w:val="21"/>
          <w:highlight w:val="none"/>
        </w:rPr>
        <w:t xml:space="preserve"> 日</w:t>
      </w:r>
      <w:r>
        <w:rPr>
          <w:rFonts w:hint="eastAsia" w:ascii="宋体" w:hAnsi="宋体" w:eastAsia="宋体" w:cs="宋体"/>
          <w:color w:val="auto"/>
          <w:spacing w:val="-8"/>
          <w:sz w:val="21"/>
          <w:szCs w:val="21"/>
          <w:highlight w:val="none"/>
          <w:u w:val="single"/>
        </w:rPr>
        <w:t xml:space="preserve">  / </w:t>
      </w:r>
      <w:r>
        <w:rPr>
          <w:rFonts w:hint="eastAsia" w:ascii="宋体" w:hAnsi="宋体" w:eastAsia="宋体" w:cs="宋体"/>
          <w:color w:val="auto"/>
          <w:spacing w:val="-8"/>
          <w:sz w:val="21"/>
          <w:szCs w:val="21"/>
          <w:highlight w:val="none"/>
        </w:rPr>
        <w:t xml:space="preserve"> 时</w:t>
      </w:r>
      <w:r>
        <w:rPr>
          <w:rFonts w:hint="eastAsia" w:ascii="宋体" w:hAnsi="宋体" w:eastAsia="宋体" w:cs="宋体"/>
          <w:color w:val="auto"/>
          <w:spacing w:val="-8"/>
          <w:sz w:val="21"/>
          <w:szCs w:val="21"/>
          <w:highlight w:val="none"/>
          <w:u w:val="single"/>
        </w:rPr>
        <w:t xml:space="preserve">  / </w:t>
      </w:r>
      <w:r>
        <w:rPr>
          <w:rFonts w:hint="eastAsia" w:ascii="宋体" w:hAnsi="宋体" w:eastAsia="宋体" w:cs="宋体"/>
          <w:color w:val="auto"/>
          <w:spacing w:val="-8"/>
          <w:sz w:val="21"/>
          <w:szCs w:val="21"/>
          <w:highlight w:val="none"/>
        </w:rPr>
        <w:t xml:space="preserve"> 分，地点：</w:t>
      </w:r>
      <w:r>
        <w:rPr>
          <w:rFonts w:hint="eastAsia" w:ascii="宋体" w:hAnsi="宋体" w:eastAsia="宋体" w:cs="宋体"/>
          <w:color w:val="auto"/>
          <w:spacing w:val="-8"/>
          <w:sz w:val="21"/>
          <w:szCs w:val="21"/>
          <w:highlight w:val="none"/>
          <w:u w:val="single"/>
        </w:rPr>
        <w:t xml:space="preserve">     /       </w:t>
      </w:r>
      <w:r>
        <w:rPr>
          <w:rFonts w:hint="eastAsia" w:ascii="宋体" w:hAnsi="宋体" w:eastAsia="宋体" w:cs="宋体"/>
          <w:color w:val="auto"/>
          <w:spacing w:val="-8"/>
          <w:sz w:val="21"/>
          <w:szCs w:val="21"/>
          <w:highlight w:val="none"/>
        </w:rPr>
        <w:t>。</w:t>
      </w:r>
    </w:p>
    <w:p w14:paraId="534742C7">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投标文件递交的截止时间（投标截止时间，下同）为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日9时30分</w:t>
      </w:r>
      <w:r>
        <w:rPr>
          <w:rFonts w:hint="eastAsia" w:ascii="宋体" w:hAnsi="宋体" w:eastAsia="宋体" w:cs="宋体"/>
          <w:color w:val="auto"/>
          <w:sz w:val="21"/>
          <w:szCs w:val="21"/>
          <w:highlight w:val="none"/>
        </w:rPr>
        <w:t>，请投标人在岳阳市公共资源交易网（http://ggzy.yueyang.gov.cn）下载电子投标文件制作工具编制投标文件。投标人应在投标截止时间前通过电子招标投标交易平台递交数据电文形式的投标文件。逾期送达的投标文件，电子招标投标交易平台予以拒收。</w:t>
      </w:r>
    </w:p>
    <w:p w14:paraId="7CE7B846">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电子投标文件的解密截止时间为</w:t>
      </w:r>
      <w:r>
        <w:rPr>
          <w:rFonts w:hint="eastAsia" w:ascii="宋体" w:hAnsi="宋体" w:eastAsia="宋体" w:cs="宋体"/>
          <w:color w:val="auto"/>
          <w:spacing w:val="0"/>
          <w:sz w:val="21"/>
          <w:szCs w:val="21"/>
          <w:highlight w:val="none"/>
        </w:rPr>
        <w:t>202</w:t>
      </w: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年</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月</w:t>
      </w:r>
      <w:r>
        <w:rPr>
          <w:rFonts w:hint="eastAsia" w:ascii="宋体" w:hAnsi="宋体" w:eastAsia="宋体" w:cs="宋体"/>
          <w:color w:val="auto"/>
          <w:spacing w:val="0"/>
          <w:sz w:val="21"/>
          <w:szCs w:val="21"/>
          <w:highlight w:val="none"/>
          <w:lang w:val="en-US" w:eastAsia="zh-CN"/>
        </w:rPr>
        <w:t>23</w:t>
      </w:r>
      <w:r>
        <w:rPr>
          <w:rFonts w:hint="eastAsia" w:ascii="宋体" w:hAnsi="宋体" w:eastAsia="宋体" w:cs="宋体"/>
          <w:color w:val="auto"/>
          <w:spacing w:val="0"/>
          <w:sz w:val="21"/>
          <w:szCs w:val="21"/>
          <w:highlight w:val="none"/>
        </w:rPr>
        <w:t>日</w:t>
      </w:r>
      <w:r>
        <w:rPr>
          <w:rFonts w:hint="eastAsia" w:ascii="宋体" w:hAnsi="宋体" w:eastAsia="宋体" w:cs="宋体"/>
          <w:snapToGrid w:val="0"/>
          <w:color w:val="auto"/>
          <w:spacing w:val="0"/>
          <w:kern w:val="0"/>
          <w:sz w:val="21"/>
          <w:szCs w:val="21"/>
          <w:lang w:val="en-US" w:eastAsia="zh-CN" w:bidi="ar-SA"/>
        </w:rPr>
        <w:t>10时00分</w:t>
      </w:r>
      <w:r>
        <w:rPr>
          <w:rFonts w:hint="eastAsia" w:ascii="宋体" w:hAnsi="宋体" w:eastAsia="宋体" w:cs="宋体"/>
          <w:color w:val="auto"/>
          <w:sz w:val="21"/>
          <w:szCs w:val="21"/>
          <w:highlight w:val="none"/>
        </w:rPr>
        <w:t>（投标截止时间后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请投标人确保投标文件如期解密。在开标现场解密的，请投标人自备解密电脑和网络,投标人如遇到操作问题，请咨询市公共资源交易中心信息技术科0730-2966692。</w:t>
      </w:r>
    </w:p>
    <w:p w14:paraId="0854690C">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投标保证金的递交：</w:t>
      </w:r>
    </w:p>
    <w:p w14:paraId="361EEFF9">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（1）投标保证金的金额（人民币）：</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万</w:t>
      </w:r>
      <w:r>
        <w:rPr>
          <w:rFonts w:hint="eastAsia" w:ascii="宋体" w:hAnsi="宋体" w:eastAsia="宋体" w:cs="宋体"/>
          <w:color w:val="auto"/>
          <w:sz w:val="21"/>
          <w:szCs w:val="21"/>
          <w:highlight w:val="none"/>
          <w:u w:val="single"/>
          <w:lang w:val="en-US" w:eastAsia="zh-CN"/>
        </w:rPr>
        <w:t>陆</w:t>
      </w:r>
      <w:r>
        <w:rPr>
          <w:rFonts w:hint="eastAsia" w:ascii="宋体" w:hAnsi="宋体" w:eastAsia="宋体" w:cs="宋体"/>
          <w:color w:val="auto"/>
          <w:sz w:val="21"/>
          <w:szCs w:val="21"/>
          <w:highlight w:val="none"/>
          <w:u w:val="single"/>
          <w:lang w:eastAsia="zh-CN"/>
        </w:rPr>
        <w:t>仟</w:t>
      </w:r>
      <w:r>
        <w:rPr>
          <w:rFonts w:hint="eastAsia" w:ascii="宋体" w:hAnsi="宋体" w:eastAsia="宋体" w:cs="宋体"/>
          <w:color w:val="auto"/>
          <w:sz w:val="21"/>
          <w:szCs w:val="21"/>
          <w:highlight w:val="none"/>
          <w:u w:val="single"/>
        </w:rPr>
        <w:t>元整（￥</w:t>
      </w:r>
      <w:r>
        <w:rPr>
          <w:rFonts w:hint="eastAsia" w:ascii="宋体" w:hAnsi="宋体" w:eastAsia="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rPr>
        <w:t>000.00元）</w:t>
      </w:r>
      <w:r>
        <w:rPr>
          <w:rFonts w:hint="eastAsia" w:ascii="宋体" w:hAnsi="宋体" w:eastAsia="宋体" w:cs="宋体"/>
          <w:color w:val="auto"/>
          <w:sz w:val="21"/>
          <w:szCs w:val="21"/>
          <w:highlight w:val="none"/>
        </w:rPr>
        <w:t>。</w:t>
      </w:r>
    </w:p>
    <w:p w14:paraId="06C6780F">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（2）投标保证金到账截止时间：</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分（北京时间）</w:t>
      </w:r>
      <w:r>
        <w:rPr>
          <w:rFonts w:hint="eastAsia" w:ascii="宋体" w:hAnsi="宋体" w:eastAsia="宋体" w:cs="宋体"/>
          <w:color w:val="auto"/>
          <w:sz w:val="21"/>
          <w:szCs w:val="21"/>
          <w:highlight w:val="none"/>
        </w:rPr>
        <w:t>前到账，以银行到账或保险保函投保成功时间为准。</w:t>
      </w:r>
    </w:p>
    <w:p w14:paraId="2F6D322A">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（3）缴纳方式：货币方式缴纳、电子保函或银行保函。</w:t>
      </w:r>
    </w:p>
    <w:p w14:paraId="31649548">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（3.1）货币方式缴纳：</w:t>
      </w:r>
    </w:p>
    <w:p w14:paraId="78945C6C">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投标保证金必须是从投标人单位的基本账户以银行转账、电汇、银行汇票或网银转账的方式一次性按时、准确、足额转入投标保证金生成的子账号中。招标人不接受以现金或单位结算通卡方式提交投标保证金。</w:t>
      </w:r>
    </w:p>
    <w:p w14:paraId="35F2CEB0">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账户名：岳阳市公共资源交易中心</w:t>
      </w:r>
    </w:p>
    <w:p w14:paraId="3965BC0A">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开户行：投标人在网上可自行选择保证金专户银行账户</w:t>
      </w:r>
    </w:p>
    <w:p w14:paraId="71F809E7">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账号：投标保证金子账户的获取(具有投标资格有意参加投标的，须在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9:00</w:t>
      </w:r>
      <w:r>
        <w:rPr>
          <w:rFonts w:hint="eastAsia" w:ascii="宋体" w:hAnsi="宋体" w:eastAsia="宋体" w:cs="宋体"/>
          <w:color w:val="auto"/>
          <w:sz w:val="21"/>
          <w:szCs w:val="21"/>
          <w:highlight w:val="none"/>
          <w:u w:val="single"/>
        </w:rPr>
        <w:t>时至202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日17时30分</w:t>
      </w:r>
      <w:r>
        <w:rPr>
          <w:rFonts w:hint="eastAsia" w:ascii="宋体" w:hAnsi="宋体" w:eastAsia="宋体" w:cs="宋体"/>
          <w:color w:val="auto"/>
          <w:sz w:val="21"/>
          <w:szCs w:val="21"/>
          <w:highlight w:val="none"/>
        </w:rPr>
        <w:t>前获取该子账号）</w:t>
      </w:r>
      <w:r>
        <w:rPr>
          <w:rFonts w:hint="eastAsia" w:ascii="宋体" w:hAnsi="宋体" w:eastAsia="宋体" w:cs="宋体"/>
          <w:color w:val="auto"/>
          <w:sz w:val="21"/>
          <w:szCs w:val="21"/>
          <w:highlight w:val="none"/>
          <w:lang w:eastAsia="zh-CN"/>
        </w:rPr>
        <w:t>。</w:t>
      </w:r>
    </w:p>
    <w:p w14:paraId="68AC7370">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在岳阳市公共资源交易网（http://ggzy.yueyang.gov.cn/）选择“电子交易平台登录”（首次登入需注册，完成注册并绑定投标人CA等相关手续后进入交易系统），投标人选择对应项目进行投标操作，生成对应本项目（标段）的投标保证金子账号。该账号为投标人缴纳本项目（标段）投标保证金的唯一账号，请注意保密（投标人必须办理湖南CA数字证书才能完成登入及后续操作）。</w:t>
      </w:r>
    </w:p>
    <w:p w14:paraId="137B3B18">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2）投标人在提交保证金时，应按照随机获取的保证金子账号信息准确填写银行账单（投标保证金只能从投标人的银行基本户转出），投标人可通过登入系统查询保证金到账及退还情况。</w:t>
      </w:r>
    </w:p>
    <w:p w14:paraId="33AF53CA">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（3.2）电子保函</w:t>
      </w:r>
    </w:p>
    <w:p w14:paraId="389C1738">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1）投标保证金采用保证保险方式的，由保险公司开具投标保证保险的采用电子保险保单形式，投标人应登录岳阳市公共资源交易网，线上办理投保手续。</w:t>
      </w:r>
    </w:p>
    <w:p w14:paraId="1EAE61F3">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2）投标人可通过银行一般户、支付宝、微信等支付方式支付保费，完成投标保证金提交。</w:t>
      </w:r>
    </w:p>
    <w:p w14:paraId="2B7B0955">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3）工程建设投标保证保险投保人操作流程详见岳阳市公共资源交易中心网站服务指南</w:t>
      </w:r>
      <w:r>
        <w:rPr>
          <w:rFonts w:hint="eastAsia" w:ascii="宋体" w:hAnsi="宋体" w:eastAsia="宋体" w:cs="宋体"/>
          <w:color w:val="auto"/>
          <w:sz w:val="21"/>
          <w:szCs w:val="21"/>
          <w:highlight w:val="none"/>
          <w:lang w:eastAsia="zh-CN"/>
        </w:rPr>
        <w:t>。</w:t>
      </w:r>
    </w:p>
    <w:p w14:paraId="4E747B5D">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）采用电子保函的，投标人需在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日时至202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日17时30分</w:t>
      </w:r>
      <w:r>
        <w:rPr>
          <w:rFonts w:hint="eastAsia" w:ascii="宋体" w:hAnsi="宋体" w:eastAsia="宋体" w:cs="宋体"/>
          <w:color w:val="auto"/>
          <w:sz w:val="21"/>
          <w:szCs w:val="21"/>
          <w:highlight w:val="none"/>
        </w:rPr>
        <w:t>前选定电子保函作为保证方式。</w:t>
      </w:r>
    </w:p>
    <w:p w14:paraId="16FAE75C">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（3.3）采用银行保函的，出具保函的银行级别：</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en-US" w:eastAsia="zh-CN"/>
        </w:rPr>
        <w:t>，</w:t>
      </w:r>
    </w:p>
    <w:p w14:paraId="1B99EACE">
      <w:pPr>
        <w:pStyle w:val="2"/>
        <w:keepNext w:val="0"/>
        <w:keepLines w:val="0"/>
        <w:pageBreakBefore w:val="0"/>
        <w:widowControl/>
        <w:tabs>
          <w:tab w:val="left" w:pos="2395"/>
          <w:tab w:val="left" w:pos="3139"/>
          <w:tab w:val="left" w:pos="3744"/>
          <w:tab w:val="left" w:pos="3907"/>
          <w:tab w:val="left" w:pos="6269"/>
          <w:tab w:val="left" w:pos="8173"/>
          <w:tab w:val="left" w:pos="8677"/>
          <w:tab w:val="left" w:pos="9159"/>
        </w:tabs>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3"/>
          <w:szCs w:val="23"/>
          <w:highlight w:val="none"/>
        </w:rPr>
      </w:pPr>
      <w:r>
        <w:rPr>
          <w:rFonts w:hint="eastAsia" w:ascii="宋体" w:hAnsi="宋体" w:eastAsia="宋体" w:cs="宋体"/>
          <w:color w:val="auto"/>
          <w:sz w:val="21"/>
          <w:szCs w:val="21"/>
          <w:highlight w:val="none"/>
        </w:rPr>
        <w:t>保函必须由投标人的基本账户的银行开具(联合体投标的，由牵头人开立基本账户的银行开具)，银行保函原件和银行查询授权书在递交投标文件时单独密封递交，其复印件装订在投标文件中</w:t>
      </w:r>
      <w:r>
        <w:rPr>
          <w:rFonts w:hint="eastAsia" w:ascii="宋体" w:hAnsi="宋体" w:eastAsia="宋体" w:cs="宋体"/>
          <w:color w:val="auto"/>
          <w:sz w:val="21"/>
          <w:szCs w:val="21"/>
          <w:highlight w:val="none"/>
          <w:lang w:eastAsia="zh-CN"/>
        </w:rPr>
        <w:t>，投标保证金采用保证保险的有效期应当与投标有效期一致</w:t>
      </w:r>
      <w:r>
        <w:rPr>
          <w:rFonts w:hint="eastAsia" w:ascii="宋体" w:hAnsi="宋体" w:eastAsia="宋体" w:cs="宋体"/>
          <w:color w:val="auto"/>
          <w:sz w:val="21"/>
          <w:szCs w:val="21"/>
          <w:highlight w:val="none"/>
        </w:rPr>
        <w:t>。</w:t>
      </w:r>
    </w:p>
    <w:p w14:paraId="491FDE1D">
      <w:pPr>
        <w:pStyle w:val="2"/>
        <w:spacing w:before="171" w:line="224" w:lineRule="auto"/>
        <w:ind w:left="39"/>
        <w:outlineLvl w:val="2"/>
        <w:rPr>
          <w:color w:val="auto"/>
        </w:rPr>
      </w:pPr>
      <w:r>
        <w:rPr>
          <w:rFonts w:ascii="Times New Roman" w:hAnsi="Times New Roman" w:eastAsia="Times New Roman" w:cs="Times New Roman"/>
          <w:b/>
          <w:bCs/>
          <w:color w:val="auto"/>
          <w:spacing w:val="1"/>
        </w:rPr>
        <w:t>6</w:t>
      </w:r>
      <w:r>
        <w:rPr>
          <w:rFonts w:ascii="Times New Roman" w:hAnsi="Times New Roman" w:eastAsia="Times New Roman" w:cs="Times New Roman"/>
          <w:b/>
          <w:bCs/>
          <w:color w:val="auto"/>
          <w:spacing w:val="-26"/>
        </w:rPr>
        <w:t xml:space="preserve"> </w:t>
      </w:r>
      <w:r>
        <w:rPr>
          <w:color w:val="auto"/>
          <w:spacing w:val="1"/>
          <w14:textOutline w14:w="5050" w14:cap="flat" w14:cmpd="sng">
            <w14:solidFill>
              <w14:srgbClr w14:val="000000"/>
            </w14:solidFill>
            <w14:prstDash w14:val="solid"/>
            <w14:miter w14:val="0"/>
          </w14:textOutline>
        </w:rPr>
        <w:t>．评标办法</w:t>
      </w:r>
    </w:p>
    <w:p w14:paraId="014D90EB">
      <w:pPr>
        <w:spacing w:line="379" w:lineRule="auto"/>
        <w:rPr>
          <w:rFonts w:ascii="Arial"/>
          <w:color w:val="auto"/>
          <w:sz w:val="21"/>
        </w:rPr>
      </w:pPr>
    </w:p>
    <w:p w14:paraId="60B62CF2">
      <w:pPr>
        <w:pStyle w:val="2"/>
        <w:spacing w:before="69" w:line="219" w:lineRule="auto"/>
        <w:ind w:left="355"/>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本项目评标办法采用</w:t>
      </w:r>
      <w:r>
        <w:rPr>
          <w:rFonts w:hint="eastAsia" w:ascii="宋体" w:hAnsi="宋体" w:eastAsia="宋体" w:cs="宋体"/>
          <w:color w:val="auto"/>
          <w:spacing w:val="-1"/>
          <w:sz w:val="21"/>
          <w:szCs w:val="21"/>
        </w:rPr>
        <w:t>综合评估法</w:t>
      </w:r>
      <w:r>
        <w:rPr>
          <w:rFonts w:hint="eastAsia" w:ascii="宋体" w:hAnsi="宋体" w:eastAsia="宋体" w:cs="宋体"/>
          <w:color w:val="auto"/>
          <w:spacing w:val="-1"/>
          <w:sz w:val="21"/>
          <w:szCs w:val="21"/>
        </w:rPr>
        <w:t>。</w:t>
      </w:r>
    </w:p>
    <w:p w14:paraId="1351D296">
      <w:pPr>
        <w:pStyle w:val="2"/>
        <w:spacing w:before="69" w:line="219" w:lineRule="auto"/>
        <w:ind w:left="355"/>
        <w:rPr>
          <w:rFonts w:hint="eastAsia" w:ascii="宋体" w:hAnsi="宋体" w:eastAsia="宋体" w:cs="宋体"/>
          <w:color w:val="auto"/>
          <w:spacing w:val="-1"/>
          <w:sz w:val="21"/>
          <w:szCs w:val="21"/>
        </w:rPr>
      </w:pPr>
    </w:p>
    <w:p w14:paraId="5BD72675">
      <w:pPr>
        <w:pStyle w:val="2"/>
        <w:numPr>
          <w:ilvl w:val="0"/>
          <w:numId w:val="1"/>
        </w:numPr>
        <w:spacing w:before="159" w:line="224" w:lineRule="auto"/>
        <w:ind w:left="38"/>
        <w:outlineLvl w:val="2"/>
        <w:rPr>
          <w:color w:val="auto"/>
          <w:spacing w:val="6"/>
          <w14:textOutline w14:w="5050" w14:cap="flat" w14:cmpd="sng">
            <w14:solidFill>
              <w14:srgbClr w14:val="000000"/>
            </w14:solidFill>
            <w14:prstDash w14:val="solid"/>
            <w14:miter w14:val="0"/>
          </w14:textOutline>
        </w:rPr>
      </w:pPr>
      <w:r>
        <w:rPr>
          <w:rFonts w:ascii="Times New Roman" w:hAnsi="Times New Roman" w:eastAsia="Times New Roman" w:cs="Times New Roman"/>
          <w:b/>
          <w:bCs/>
          <w:color w:val="auto"/>
          <w:spacing w:val="12"/>
        </w:rPr>
        <w:t xml:space="preserve"> </w:t>
      </w:r>
      <w:r>
        <w:rPr>
          <w:color w:val="auto"/>
          <w:spacing w:val="6"/>
          <w14:textOutline w14:w="5050" w14:cap="flat" w14:cmpd="sng">
            <w14:solidFill>
              <w14:srgbClr w14:val="000000"/>
            </w14:solidFill>
            <w14:prstDash w14:val="solid"/>
            <w14:miter w14:val="0"/>
          </w14:textOutline>
        </w:rPr>
        <w:t>发布公告的媒介</w:t>
      </w:r>
    </w:p>
    <w:p w14:paraId="6FCF0A96">
      <w:pPr>
        <w:pStyle w:val="2"/>
        <w:tabs>
          <w:tab w:val="left" w:pos="2395"/>
          <w:tab w:val="left" w:pos="3139"/>
          <w:tab w:val="left" w:pos="3744"/>
          <w:tab w:val="left" w:pos="3907"/>
          <w:tab w:val="left" w:pos="6269"/>
          <w:tab w:val="left" w:pos="8173"/>
          <w:tab w:val="left" w:pos="8677"/>
          <w:tab w:val="left" w:pos="9159"/>
        </w:tabs>
        <w:spacing w:line="40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本次招标公告同时在湖南省招标投标监管网、岳阳市交通运输局网、岳阳市公共资源交易网发布。</w:t>
      </w:r>
    </w:p>
    <w:p w14:paraId="30416C72">
      <w:pPr>
        <w:pStyle w:val="2"/>
        <w:spacing w:before="88" w:line="227" w:lineRule="auto"/>
        <w:ind w:left="38"/>
        <w:outlineLvl w:val="2"/>
        <w:rPr>
          <w:color w:val="auto"/>
        </w:rPr>
      </w:pPr>
      <w:r>
        <w:rPr>
          <w:rFonts w:ascii="Times New Roman" w:hAnsi="Times New Roman" w:eastAsia="Times New Roman" w:cs="Times New Roman"/>
          <w:b/>
          <w:bCs/>
          <w:color w:val="auto"/>
          <w:spacing w:val="-3"/>
        </w:rPr>
        <w:t>8.</w:t>
      </w:r>
      <w:r>
        <w:rPr>
          <w:rFonts w:ascii="Times New Roman" w:hAnsi="Times New Roman" w:eastAsia="Times New Roman" w:cs="Times New Roman"/>
          <w:b/>
          <w:bCs/>
          <w:color w:val="auto"/>
          <w:spacing w:val="20"/>
        </w:rPr>
        <w:t xml:space="preserve">  </w:t>
      </w:r>
      <w:r>
        <w:rPr>
          <w:color w:val="auto"/>
          <w:spacing w:val="-3"/>
          <w14:textOutline w14:w="5050" w14:cap="flat" w14:cmpd="sng">
            <w14:solidFill>
              <w14:srgbClr w14:val="000000"/>
            </w14:solidFill>
            <w14:prstDash w14:val="solid"/>
            <w14:miter w14:val="0"/>
          </w14:textOutline>
        </w:rPr>
        <w:t>附件</w:t>
      </w:r>
    </w:p>
    <w:p w14:paraId="61F80929">
      <w:pPr>
        <w:spacing w:line="412" w:lineRule="auto"/>
        <w:rPr>
          <w:rFonts w:ascii="Arial"/>
          <w:color w:val="auto"/>
          <w:sz w:val="21"/>
        </w:rPr>
      </w:pPr>
    </w:p>
    <w:p w14:paraId="06EFB79F">
      <w:pPr>
        <w:pStyle w:val="2"/>
        <w:spacing w:before="69" w:line="219" w:lineRule="auto"/>
        <w:ind w:left="471"/>
        <w:rPr>
          <w:rFonts w:hint="eastAsia" w:ascii="宋体" w:hAnsi="宋体" w:eastAsia="宋体" w:cs="宋体"/>
          <w:color w:val="auto"/>
          <w:sz w:val="21"/>
          <w:szCs w:val="21"/>
        </w:rPr>
      </w:pPr>
      <w:r>
        <w:rPr>
          <w:rFonts w:hint="eastAsia" w:ascii="宋体" w:hAnsi="宋体" w:eastAsia="宋体" w:cs="宋体"/>
          <w:color w:val="auto"/>
          <w:spacing w:val="-2"/>
          <w:sz w:val="21"/>
          <w:szCs w:val="21"/>
        </w:rPr>
        <w:t>附件</w:t>
      </w:r>
      <w:r>
        <w:rPr>
          <w:rFonts w:hint="eastAsia" w:ascii="宋体" w:hAnsi="宋体" w:eastAsia="宋体" w:cs="宋体"/>
          <w:color w:val="auto"/>
          <w:spacing w:val="-27"/>
          <w:sz w:val="21"/>
          <w:szCs w:val="21"/>
        </w:rPr>
        <w:t xml:space="preserve"> </w:t>
      </w:r>
      <w:r>
        <w:rPr>
          <w:rFonts w:hint="eastAsia" w:ascii="宋体" w:hAnsi="宋体" w:eastAsia="宋体" w:cs="宋体"/>
          <w:color w:val="auto"/>
          <w:spacing w:val="-2"/>
          <w:sz w:val="21"/>
          <w:szCs w:val="21"/>
        </w:rPr>
        <w:t>1：资格审查条件要求（详见第二章 投标人须知之附</w:t>
      </w:r>
      <w:r>
        <w:rPr>
          <w:rFonts w:hint="eastAsia" w:ascii="宋体" w:hAnsi="宋体" w:eastAsia="宋体" w:cs="宋体"/>
          <w:color w:val="auto"/>
          <w:spacing w:val="-3"/>
          <w:sz w:val="21"/>
          <w:szCs w:val="21"/>
        </w:rPr>
        <w:t>录）</w:t>
      </w:r>
    </w:p>
    <w:p w14:paraId="572B12E2">
      <w:pPr>
        <w:pStyle w:val="2"/>
        <w:spacing w:before="192" w:line="214" w:lineRule="auto"/>
        <w:ind w:left="471"/>
        <w:rPr>
          <w:rFonts w:hint="eastAsia" w:ascii="宋体" w:hAnsi="宋体" w:eastAsia="宋体" w:cs="宋体"/>
          <w:color w:val="auto"/>
          <w:sz w:val="21"/>
          <w:szCs w:val="21"/>
        </w:rPr>
      </w:pPr>
      <w:r>
        <w:rPr>
          <w:rFonts w:hint="eastAsia" w:ascii="宋体" w:hAnsi="宋体" w:eastAsia="宋体" w:cs="宋体"/>
          <w:color w:val="auto"/>
          <w:spacing w:val="-1"/>
          <w:sz w:val="21"/>
          <w:szCs w:val="21"/>
        </w:rPr>
        <w:t>附件</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1"/>
          <w:sz w:val="21"/>
          <w:szCs w:val="21"/>
        </w:rPr>
        <w:t>2：评标办法(详见第三章 评标办法)</w:t>
      </w:r>
    </w:p>
    <w:p w14:paraId="45E9F0B0">
      <w:pPr>
        <w:pStyle w:val="2"/>
        <w:spacing w:before="198" w:line="219" w:lineRule="auto"/>
        <w:ind w:left="471"/>
        <w:rPr>
          <w:rFonts w:hint="eastAsia" w:ascii="宋体" w:hAnsi="宋体" w:eastAsia="宋体" w:cs="宋体"/>
          <w:color w:val="auto"/>
          <w:sz w:val="21"/>
          <w:szCs w:val="21"/>
        </w:rPr>
      </w:pPr>
      <w:r>
        <w:rPr>
          <w:rFonts w:hint="eastAsia" w:ascii="宋体" w:hAnsi="宋体" w:eastAsia="宋体" w:cs="宋体"/>
          <w:color w:val="auto"/>
          <w:spacing w:val="-5"/>
          <w:sz w:val="21"/>
          <w:szCs w:val="21"/>
        </w:rPr>
        <w:t>附件</w:t>
      </w:r>
      <w:r>
        <w:rPr>
          <w:rFonts w:hint="eastAsia" w:ascii="宋体" w:hAnsi="宋体" w:eastAsia="宋体" w:cs="宋体"/>
          <w:color w:val="auto"/>
          <w:spacing w:val="-38"/>
          <w:sz w:val="21"/>
          <w:szCs w:val="21"/>
        </w:rPr>
        <w:t xml:space="preserve"> </w:t>
      </w:r>
      <w:r>
        <w:rPr>
          <w:rFonts w:hint="eastAsia" w:ascii="宋体" w:hAnsi="宋体" w:eastAsia="宋体" w:cs="宋体"/>
          <w:color w:val="auto"/>
          <w:spacing w:val="-5"/>
          <w:sz w:val="21"/>
          <w:szCs w:val="21"/>
        </w:rPr>
        <w:t>3：项目概况</w:t>
      </w:r>
    </w:p>
    <w:p w14:paraId="4BD0AC31">
      <w:pPr>
        <w:pStyle w:val="2"/>
        <w:spacing w:before="153" w:line="238" w:lineRule="auto"/>
        <w:ind w:left="37"/>
        <w:outlineLvl w:val="2"/>
        <w:rPr>
          <w:color w:val="auto"/>
        </w:rPr>
      </w:pPr>
      <w:r>
        <w:rPr>
          <w:rFonts w:ascii="Times New Roman" w:hAnsi="Times New Roman" w:eastAsia="Times New Roman" w:cs="Times New Roman"/>
          <w:b/>
          <w:bCs/>
          <w:color w:val="auto"/>
          <w:spacing w:val="3"/>
        </w:rPr>
        <w:t>9.</w:t>
      </w:r>
      <w:r>
        <w:rPr>
          <w:rFonts w:ascii="Times New Roman" w:hAnsi="Times New Roman" w:eastAsia="Times New Roman" w:cs="Times New Roman"/>
          <w:b/>
          <w:bCs/>
          <w:color w:val="auto"/>
          <w:spacing w:val="14"/>
        </w:rPr>
        <w:t xml:space="preserve">  </w:t>
      </w:r>
      <w:r>
        <w:rPr>
          <w:color w:val="auto"/>
          <w:spacing w:val="3"/>
          <w14:textOutline w14:w="5050" w14:cap="flat" w14:cmpd="sng">
            <w14:solidFill>
              <w14:srgbClr w14:val="000000"/>
            </w14:solidFill>
            <w14:prstDash w14:val="solid"/>
            <w14:miter w14:val="0"/>
          </w14:textOutline>
        </w:rPr>
        <w:t>联系方式</w:t>
      </w:r>
    </w:p>
    <w:p w14:paraId="17E0C5D4">
      <w:pPr>
        <w:spacing w:line="402" w:lineRule="auto"/>
        <w:rPr>
          <w:rFonts w:ascii="Arial"/>
          <w:color w:val="auto"/>
          <w:sz w:val="21"/>
        </w:rPr>
      </w:pPr>
    </w:p>
    <w:p w14:paraId="79A9C048">
      <w:pPr>
        <w:spacing w:before="188" w:line="221" w:lineRule="auto"/>
        <w:ind w:right="21"/>
        <w:jc w:val="center"/>
        <w:rPr>
          <w:rFonts w:hint="eastAsia" w:ascii="宋体" w:hAnsi="宋体" w:eastAsia="宋体" w:cs="宋体"/>
          <w:color w:val="auto"/>
          <w:spacing w:val="-3"/>
          <w:sz w:val="21"/>
          <w:szCs w:val="21"/>
        </w:rPr>
      </w:pPr>
      <w:r>
        <w:rPr>
          <w:rFonts w:hint="eastAsia" w:ascii="宋体" w:hAnsi="宋体" w:eastAsia="宋体" w:cs="宋体"/>
          <w:color w:val="auto"/>
          <w:spacing w:val="-2"/>
          <w:sz w:val="21"/>
          <w:szCs w:val="21"/>
          <w:lang w:val="en-US" w:eastAsia="zh-CN"/>
        </w:rPr>
        <w:t xml:space="preserve">  </w:t>
      </w:r>
      <w:r>
        <w:rPr>
          <w:rFonts w:hint="eastAsia" w:ascii="宋体" w:hAnsi="宋体" w:eastAsia="宋体" w:cs="宋体"/>
          <w:color w:val="auto"/>
          <w:spacing w:val="-2"/>
          <w:sz w:val="21"/>
          <w:szCs w:val="21"/>
        </w:rPr>
        <w:t>招 标 人：</w:t>
      </w:r>
      <w:r>
        <w:rPr>
          <w:rFonts w:hint="eastAsia" w:ascii="宋体" w:hAnsi="宋体" w:eastAsia="宋体" w:cs="宋体"/>
          <w:color w:val="auto"/>
          <w:spacing w:val="-2"/>
          <w:sz w:val="21"/>
          <w:szCs w:val="21"/>
          <w:lang w:eastAsia="zh-CN"/>
        </w:rPr>
        <w:t>岳阳市恒升交通建设有限公司</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2"/>
          <w:sz w:val="21"/>
          <w:szCs w:val="21"/>
          <w:lang w:val="en-US" w:eastAsia="zh-CN"/>
        </w:rPr>
        <w:t xml:space="preserve">  </w:t>
      </w:r>
      <w:r>
        <w:rPr>
          <w:rFonts w:hint="eastAsia" w:ascii="宋体" w:hAnsi="宋体" w:eastAsia="宋体" w:cs="宋体"/>
          <w:color w:val="auto"/>
          <w:spacing w:val="-2"/>
          <w:sz w:val="21"/>
          <w:szCs w:val="21"/>
        </w:rPr>
        <w:t>招标代理机构</w:t>
      </w:r>
      <w:r>
        <w:rPr>
          <w:rFonts w:hint="eastAsia" w:ascii="宋体" w:hAnsi="宋体" w:eastAsia="宋体" w:cs="宋体"/>
          <w:color w:val="auto"/>
          <w:spacing w:val="-3"/>
          <w:sz w:val="21"/>
          <w:szCs w:val="21"/>
        </w:rPr>
        <w:t>：</w:t>
      </w:r>
      <w:r>
        <w:rPr>
          <w:rFonts w:hint="eastAsia" w:ascii="宋体" w:hAnsi="宋体" w:eastAsia="宋体" w:cs="宋体"/>
          <w:color w:val="auto"/>
          <w:spacing w:val="-3"/>
          <w:sz w:val="21"/>
          <w:szCs w:val="21"/>
          <w:lang w:val="en-US" w:eastAsia="zh-CN"/>
        </w:rPr>
        <w:t>湖南华夏工程咨询</w:t>
      </w:r>
      <w:r>
        <w:rPr>
          <w:rFonts w:hint="eastAsia" w:ascii="宋体" w:hAnsi="宋体" w:eastAsia="宋体" w:cs="宋体"/>
          <w:color w:val="auto"/>
          <w:spacing w:val="-3"/>
          <w:sz w:val="21"/>
          <w:szCs w:val="21"/>
        </w:rPr>
        <w:t>有限公司</w:t>
      </w:r>
    </w:p>
    <w:p w14:paraId="7507DE09">
      <w:pPr>
        <w:keepNext w:val="0"/>
        <w:keepLines w:val="0"/>
        <w:pageBreakBefore w:val="0"/>
        <w:widowControl/>
        <w:kinsoku w:val="0"/>
        <w:wordWrap/>
        <w:overflowPunct/>
        <w:topLinePunct w:val="0"/>
        <w:autoSpaceDE w:val="0"/>
        <w:autoSpaceDN w:val="0"/>
        <w:bidi w:val="0"/>
        <w:adjustRightInd w:val="0"/>
        <w:snapToGrid w:val="0"/>
        <w:spacing w:before="188" w:line="221" w:lineRule="auto"/>
        <w:ind w:left="6076" w:leftChars="200" w:right="23" w:hanging="5656" w:hangingChars="2800"/>
        <w:jc w:val="both"/>
        <w:textAlignment w:val="baseline"/>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4"/>
          <w:sz w:val="21"/>
          <w:szCs w:val="21"/>
        </w:rPr>
        <w:t>地    址：</w:t>
      </w:r>
      <w:r>
        <w:rPr>
          <w:rFonts w:hint="eastAsia" w:ascii="宋体" w:hAnsi="宋体" w:eastAsia="宋体" w:cs="宋体"/>
          <w:color w:val="auto"/>
          <w:spacing w:val="-4"/>
          <w:sz w:val="21"/>
          <w:szCs w:val="21"/>
          <w:lang w:eastAsia="zh-CN"/>
        </w:rPr>
        <w:t>岳阳市五里牌东路</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4"/>
          <w:sz w:val="21"/>
          <w:szCs w:val="21"/>
          <w:lang w:val="en-US" w:eastAsia="zh-CN"/>
        </w:rPr>
        <w:t xml:space="preserve">        </w:t>
      </w:r>
      <w:r>
        <w:rPr>
          <w:rFonts w:hint="eastAsia" w:ascii="宋体" w:hAnsi="宋体" w:eastAsia="宋体" w:cs="宋体"/>
          <w:color w:val="auto"/>
          <w:spacing w:val="-4"/>
          <w:sz w:val="21"/>
          <w:szCs w:val="21"/>
        </w:rPr>
        <w:t>地    址：</w:t>
      </w:r>
      <w:r>
        <w:rPr>
          <w:rFonts w:hint="eastAsia" w:ascii="宋体" w:hAnsi="宋体" w:eastAsia="宋体" w:cs="宋体"/>
          <w:color w:val="auto"/>
          <w:spacing w:val="-43"/>
          <w:sz w:val="21"/>
          <w:szCs w:val="21"/>
        </w:rPr>
        <w:t xml:space="preserve"> </w:t>
      </w:r>
      <w:r>
        <w:rPr>
          <w:rFonts w:hint="eastAsia" w:ascii="宋体" w:hAnsi="宋体" w:eastAsia="宋体" w:cs="宋体"/>
          <w:color w:val="auto"/>
          <w:spacing w:val="-3"/>
          <w:sz w:val="21"/>
          <w:szCs w:val="21"/>
          <w:lang w:val="en-US" w:eastAsia="zh-CN"/>
        </w:rPr>
        <w:t>岳阳市岳阳楼区白石岭北路411号301-306</w:t>
      </w:r>
    </w:p>
    <w:p w14:paraId="7C6A02BB">
      <w:pPr>
        <w:spacing w:before="186" w:line="221" w:lineRule="auto"/>
        <w:ind w:left="475"/>
        <w:rPr>
          <w:rFonts w:hint="eastAsia" w:ascii="宋体" w:hAnsi="宋体" w:eastAsia="宋体" w:cs="宋体"/>
          <w:color w:val="auto"/>
          <w:sz w:val="21"/>
          <w:szCs w:val="21"/>
          <w:lang w:val="en-US" w:eastAsia="zh-CN"/>
        </w:rPr>
      </w:pPr>
      <w:r>
        <w:rPr>
          <w:rFonts w:hint="eastAsia" w:ascii="宋体" w:hAnsi="宋体" w:eastAsia="宋体" w:cs="宋体"/>
          <w:color w:val="auto"/>
          <w:spacing w:val="-8"/>
          <w:sz w:val="21"/>
          <w:szCs w:val="21"/>
        </w:rPr>
        <w:t>邮政编码：</w:t>
      </w:r>
      <w:r>
        <w:rPr>
          <w:rFonts w:hint="eastAsia" w:ascii="宋体" w:hAnsi="宋体" w:eastAsia="宋体" w:cs="宋体"/>
          <w:color w:val="auto"/>
          <w:spacing w:val="-8"/>
          <w:sz w:val="21"/>
          <w:szCs w:val="21"/>
        </w:rPr>
        <w:t>41</w:t>
      </w:r>
      <w:r>
        <w:rPr>
          <w:rFonts w:hint="eastAsia" w:ascii="宋体" w:hAnsi="宋体" w:eastAsia="宋体" w:cs="宋体"/>
          <w:color w:val="auto"/>
          <w:spacing w:val="-8"/>
          <w:sz w:val="21"/>
          <w:szCs w:val="21"/>
          <w:lang w:val="en-US" w:eastAsia="zh-CN"/>
        </w:rPr>
        <w:t>4000</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8"/>
          <w:sz w:val="21"/>
          <w:szCs w:val="21"/>
          <w:lang w:val="en-US" w:eastAsia="zh-CN"/>
        </w:rPr>
        <w:t xml:space="preserve">              </w:t>
      </w:r>
      <w:r>
        <w:rPr>
          <w:rFonts w:hint="eastAsia" w:ascii="宋体" w:hAnsi="宋体" w:eastAsia="宋体" w:cs="宋体"/>
          <w:color w:val="auto"/>
          <w:spacing w:val="-9"/>
          <w:sz w:val="21"/>
          <w:szCs w:val="21"/>
        </w:rPr>
        <w:t xml:space="preserve">邮政编码： </w:t>
      </w:r>
      <w:r>
        <w:rPr>
          <w:rFonts w:hint="eastAsia" w:ascii="宋体" w:hAnsi="宋体" w:eastAsia="宋体" w:cs="宋体"/>
          <w:color w:val="auto"/>
          <w:spacing w:val="-9"/>
          <w:sz w:val="21"/>
          <w:szCs w:val="21"/>
        </w:rPr>
        <w:t>41</w:t>
      </w:r>
      <w:r>
        <w:rPr>
          <w:rFonts w:hint="eastAsia" w:ascii="宋体" w:hAnsi="宋体" w:eastAsia="宋体" w:cs="宋体"/>
          <w:color w:val="auto"/>
          <w:spacing w:val="-9"/>
          <w:sz w:val="21"/>
          <w:szCs w:val="21"/>
          <w:lang w:val="en-US" w:eastAsia="zh-CN"/>
        </w:rPr>
        <w:t>4000</w:t>
      </w:r>
    </w:p>
    <w:p w14:paraId="05E18A2D">
      <w:pPr>
        <w:spacing w:before="191" w:line="220" w:lineRule="auto"/>
        <w:ind w:left="460"/>
        <w:rPr>
          <w:rFonts w:hint="eastAsia" w:ascii="宋体" w:hAnsi="宋体" w:eastAsia="宋体" w:cs="宋体"/>
          <w:color w:val="auto"/>
          <w:sz w:val="21"/>
          <w:szCs w:val="21"/>
          <w:lang w:eastAsia="zh-CN"/>
        </w:rPr>
      </w:pPr>
      <w:r>
        <w:rPr>
          <w:rFonts w:hint="eastAsia" w:ascii="宋体" w:hAnsi="宋体" w:eastAsia="宋体" w:cs="宋体"/>
          <w:color w:val="auto"/>
          <w:spacing w:val="-14"/>
          <w:sz w:val="21"/>
          <w:szCs w:val="21"/>
        </w:rPr>
        <w:t>联 系</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4"/>
          <w:sz w:val="21"/>
          <w:szCs w:val="21"/>
        </w:rPr>
        <w:t>人：</w:t>
      </w:r>
      <w:r>
        <w:rPr>
          <w:rFonts w:hint="eastAsia" w:ascii="宋体" w:hAnsi="宋体" w:eastAsia="宋体" w:cs="宋体"/>
          <w:color w:val="auto"/>
          <w:spacing w:val="-28"/>
          <w:sz w:val="21"/>
          <w:szCs w:val="21"/>
        </w:rPr>
        <w:t xml:space="preserve"> </w:t>
      </w:r>
      <w:r>
        <w:rPr>
          <w:rFonts w:hint="eastAsia" w:ascii="宋体" w:hAnsi="宋体" w:eastAsia="宋体" w:cs="宋体"/>
          <w:color w:val="auto"/>
          <w:spacing w:val="0"/>
          <w:sz w:val="21"/>
          <w:szCs w:val="21"/>
          <w:lang w:eastAsia="zh-CN"/>
        </w:rPr>
        <w:t>方晔</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14"/>
          <w:sz w:val="21"/>
          <w:szCs w:val="21"/>
        </w:rPr>
        <w:t>联</w:t>
      </w:r>
      <w:r>
        <w:rPr>
          <w:rFonts w:hint="eastAsia" w:ascii="宋体" w:hAnsi="宋体" w:eastAsia="宋体" w:cs="宋体"/>
          <w:color w:val="auto"/>
          <w:spacing w:val="16"/>
          <w:sz w:val="21"/>
          <w:szCs w:val="21"/>
        </w:rPr>
        <w:t xml:space="preserve"> </w:t>
      </w:r>
      <w:r>
        <w:rPr>
          <w:rFonts w:hint="eastAsia" w:ascii="宋体" w:hAnsi="宋体" w:eastAsia="宋体" w:cs="宋体"/>
          <w:color w:val="auto"/>
          <w:spacing w:val="-14"/>
          <w:sz w:val="21"/>
          <w:szCs w:val="21"/>
        </w:rPr>
        <w:t>系</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14"/>
          <w:sz w:val="21"/>
          <w:szCs w:val="21"/>
        </w:rPr>
        <w:t xml:space="preserve">人： </w:t>
      </w:r>
      <w:r>
        <w:rPr>
          <w:rFonts w:hint="eastAsia" w:ascii="宋体" w:hAnsi="宋体" w:eastAsia="宋体" w:cs="宋体"/>
          <w:color w:val="auto"/>
          <w:spacing w:val="-14"/>
          <w:sz w:val="21"/>
          <w:szCs w:val="21"/>
          <w:lang w:val="en-US" w:eastAsia="zh-CN"/>
        </w:rPr>
        <w:t xml:space="preserve">陈旖旎 </w:t>
      </w:r>
    </w:p>
    <w:p w14:paraId="7B089189">
      <w:pPr>
        <w:spacing w:before="191" w:line="223" w:lineRule="auto"/>
        <w:ind w:left="484"/>
        <w:rPr>
          <w:rFonts w:hint="default" w:ascii="宋体" w:hAnsi="宋体" w:eastAsia="宋体" w:cs="宋体"/>
          <w:color w:val="auto"/>
          <w:sz w:val="21"/>
          <w:szCs w:val="21"/>
          <w:lang w:val="en-US" w:eastAsia="zh-CN"/>
        </w:rPr>
      </w:pPr>
      <w:r>
        <w:rPr>
          <w:rFonts w:hint="eastAsia" w:ascii="宋体" w:hAnsi="宋体" w:eastAsia="宋体" w:cs="宋体"/>
          <w:color w:val="auto"/>
          <w:spacing w:val="-5"/>
          <w:sz w:val="21"/>
          <w:szCs w:val="21"/>
        </w:rPr>
        <w:t>电    话：</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0"/>
          <w:sz w:val="21"/>
          <w:szCs w:val="21"/>
          <w:lang w:val="en-US" w:eastAsia="zh-CN"/>
        </w:rPr>
        <w:t>15773015990</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6"/>
          <w:sz w:val="21"/>
          <w:szCs w:val="21"/>
          <w:lang w:val="en-US" w:eastAsia="zh-CN"/>
        </w:rPr>
        <w:t xml:space="preserve"> </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6"/>
          <w:sz w:val="21"/>
          <w:szCs w:val="21"/>
          <w:lang w:val="en-US" w:eastAsia="zh-CN"/>
        </w:rPr>
        <w:t xml:space="preserve">   </w:t>
      </w:r>
      <w:r>
        <w:rPr>
          <w:rFonts w:hint="eastAsia" w:ascii="宋体" w:hAnsi="宋体" w:eastAsia="宋体" w:cs="宋体"/>
          <w:color w:val="auto"/>
          <w:spacing w:val="-6"/>
          <w:sz w:val="21"/>
          <w:szCs w:val="21"/>
        </w:rPr>
        <w:t>电    话：</w:t>
      </w:r>
      <w:r>
        <w:rPr>
          <w:rFonts w:hint="eastAsia" w:ascii="宋体" w:hAnsi="宋体" w:eastAsia="宋体" w:cs="宋体"/>
          <w:color w:val="auto"/>
          <w:spacing w:val="-14"/>
          <w:sz w:val="21"/>
          <w:szCs w:val="21"/>
          <w:lang w:val="en-US" w:eastAsia="zh-CN"/>
        </w:rPr>
        <w:t>15388914497</w:t>
      </w:r>
    </w:p>
    <w:p w14:paraId="6192B2F6">
      <w:pPr>
        <w:spacing w:before="183" w:line="234" w:lineRule="auto"/>
        <w:ind w:left="458"/>
        <w:rPr>
          <w:rFonts w:hint="eastAsia" w:ascii="宋体" w:hAnsi="宋体" w:eastAsia="宋体" w:cs="宋体"/>
          <w:color w:val="auto"/>
          <w:sz w:val="21"/>
          <w:szCs w:val="21"/>
        </w:rPr>
      </w:pPr>
      <w:r>
        <w:rPr>
          <w:rFonts w:hint="eastAsia" w:ascii="宋体" w:hAnsi="宋体" w:eastAsia="宋体" w:cs="宋体"/>
          <w:color w:val="auto"/>
          <w:spacing w:val="-14"/>
          <w:sz w:val="21"/>
          <w:szCs w:val="21"/>
        </w:rPr>
        <w:t xml:space="preserve">传  </w:t>
      </w:r>
      <w:r>
        <w:rPr>
          <w:rFonts w:hint="eastAsia" w:ascii="宋体" w:hAnsi="宋体" w:eastAsia="宋体" w:cs="宋体"/>
          <w:color w:val="auto"/>
          <w:spacing w:val="-14"/>
          <w:sz w:val="21"/>
          <w:szCs w:val="21"/>
          <w:lang w:val="en-US" w:eastAsia="zh-CN"/>
        </w:rPr>
        <w:t xml:space="preserve"> </w:t>
      </w:r>
      <w:r>
        <w:rPr>
          <w:rFonts w:hint="eastAsia" w:ascii="宋体" w:hAnsi="宋体" w:eastAsia="宋体" w:cs="宋体"/>
          <w:color w:val="auto"/>
          <w:spacing w:val="-14"/>
          <w:sz w:val="21"/>
          <w:szCs w:val="21"/>
        </w:rPr>
        <w:t xml:space="preserve">  真：</w:t>
      </w:r>
      <w:r>
        <w:rPr>
          <w:rFonts w:hint="eastAsia" w:ascii="宋体" w:hAnsi="宋体" w:eastAsia="宋体" w:cs="宋体"/>
          <w:color w:val="auto"/>
          <w:spacing w:val="-28"/>
          <w:sz w:val="21"/>
          <w:szCs w:val="21"/>
        </w:rPr>
        <w:t xml:space="preserve"> </w:t>
      </w:r>
      <w:r>
        <w:rPr>
          <w:rFonts w:hint="eastAsia" w:ascii="宋体" w:hAnsi="宋体" w:eastAsia="宋体" w:cs="宋体"/>
          <w:color w:val="auto"/>
          <w:spacing w:val="-19"/>
          <w:w w:val="98"/>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pacing w:val="-6"/>
          <w:sz w:val="21"/>
          <w:szCs w:val="21"/>
        </w:rPr>
        <w:t>传    真</w:t>
      </w:r>
      <w:r>
        <w:rPr>
          <w:rFonts w:hint="eastAsia" w:ascii="宋体" w:hAnsi="宋体" w:eastAsia="宋体" w:cs="宋体"/>
          <w:color w:val="auto"/>
          <w:spacing w:val="-19"/>
          <w:w w:val="98"/>
          <w:sz w:val="21"/>
          <w:szCs w:val="21"/>
        </w:rPr>
        <w:t>：</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19"/>
          <w:w w:val="98"/>
          <w:sz w:val="21"/>
          <w:szCs w:val="21"/>
        </w:rPr>
        <w:t>/</w:t>
      </w:r>
    </w:p>
    <w:p w14:paraId="62C8A11B">
      <w:pPr>
        <w:spacing w:before="177" w:line="234" w:lineRule="auto"/>
        <w:ind w:left="484"/>
        <w:rPr>
          <w:rFonts w:hint="eastAsia" w:ascii="宋体" w:hAnsi="宋体" w:eastAsia="宋体" w:cs="宋体"/>
          <w:color w:val="auto"/>
          <w:sz w:val="21"/>
          <w:szCs w:val="21"/>
        </w:rPr>
      </w:pPr>
      <w:r>
        <w:rPr>
          <w:rFonts w:hint="eastAsia" w:ascii="宋体" w:hAnsi="宋体" w:eastAsia="宋体" w:cs="宋体"/>
          <w:color w:val="auto"/>
          <w:spacing w:val="-14"/>
          <w:sz w:val="21"/>
          <w:szCs w:val="21"/>
        </w:rPr>
        <w:t>电子邮件：</w:t>
      </w:r>
      <w:r>
        <w:rPr>
          <w:rFonts w:hint="eastAsia" w:ascii="宋体" w:hAnsi="宋体" w:eastAsia="宋体" w:cs="宋体"/>
          <w:color w:val="auto"/>
          <w:spacing w:val="0"/>
          <w:sz w:val="21"/>
          <w:szCs w:val="21"/>
        </w:rPr>
        <w:t>519751000</w:t>
      </w:r>
      <w:r>
        <w:rPr>
          <w:rFonts w:hint="eastAsia" w:ascii="宋体" w:hAnsi="宋体" w:eastAsia="宋体" w:cs="宋体"/>
          <w:color w:val="auto"/>
          <w:spacing w:val="-1"/>
          <w:sz w:val="21"/>
          <w:szCs w:val="21"/>
          <w:lang w:val="en-US" w:eastAsia="zh-CN"/>
        </w:rPr>
        <w:t>@qq.com</w:t>
      </w:r>
      <w:r>
        <w:rPr>
          <w:rFonts w:hint="eastAsia" w:ascii="宋体" w:hAnsi="宋体" w:eastAsia="宋体" w:cs="宋体"/>
          <w:color w:val="auto"/>
          <w:spacing w:val="0"/>
          <w:sz w:val="21"/>
          <w:szCs w:val="21"/>
        </w:rPr>
        <w:t xml:space="preserve"> </w:t>
      </w:r>
      <w:r>
        <w:rPr>
          <w:rFonts w:hint="eastAsia" w:ascii="宋体" w:hAnsi="宋体" w:eastAsia="宋体" w:cs="宋体"/>
          <w:color w:val="auto"/>
          <w:spacing w:val="-14"/>
          <w:sz w:val="21"/>
          <w:szCs w:val="21"/>
        </w:rPr>
        <w:t xml:space="preserve">            </w:t>
      </w:r>
      <w:r>
        <w:rPr>
          <w:rFonts w:hint="eastAsia" w:ascii="宋体" w:hAnsi="宋体" w:eastAsia="宋体" w:cs="宋体"/>
          <w:color w:val="auto"/>
          <w:spacing w:val="-14"/>
          <w:sz w:val="21"/>
          <w:szCs w:val="21"/>
          <w:lang w:val="en-US" w:eastAsia="zh-CN"/>
        </w:rPr>
        <w:t xml:space="preserve"> </w:t>
      </w:r>
      <w:r>
        <w:rPr>
          <w:rFonts w:hint="eastAsia" w:ascii="宋体" w:hAnsi="宋体" w:eastAsia="宋体" w:cs="宋体"/>
          <w:color w:val="auto"/>
          <w:spacing w:val="-14"/>
          <w:sz w:val="21"/>
          <w:szCs w:val="21"/>
        </w:rPr>
        <w:t xml:space="preserve"> </w:t>
      </w:r>
      <w:r>
        <w:rPr>
          <w:rFonts w:hint="eastAsia" w:ascii="宋体" w:hAnsi="宋体" w:eastAsia="宋体" w:cs="宋体"/>
          <w:color w:val="auto"/>
          <w:spacing w:val="-14"/>
          <w:sz w:val="21"/>
          <w:szCs w:val="21"/>
          <w:lang w:val="en-US" w:eastAsia="zh-CN"/>
        </w:rPr>
        <w:t xml:space="preserve"> </w:t>
      </w:r>
      <w:r>
        <w:rPr>
          <w:rFonts w:hint="eastAsia" w:ascii="宋体" w:hAnsi="宋体" w:eastAsia="宋体" w:cs="宋体"/>
          <w:color w:val="auto"/>
          <w:spacing w:val="-14"/>
          <w:sz w:val="21"/>
          <w:szCs w:val="21"/>
        </w:rPr>
        <w:t>电子邮件：</w:t>
      </w:r>
      <w:r>
        <w:rPr>
          <w:rFonts w:hint="eastAsia" w:ascii="宋体" w:hAnsi="宋体" w:eastAsia="宋体" w:cs="宋体"/>
          <w:color w:val="auto"/>
          <w:spacing w:val="-1"/>
          <w:sz w:val="21"/>
          <w:szCs w:val="21"/>
          <w:lang w:val="en-US" w:eastAsia="zh-CN"/>
        </w:rPr>
        <w:t>283029278@qq.com</w:t>
      </w:r>
      <w:r>
        <w:rPr>
          <w:rFonts w:hint="eastAsia" w:ascii="宋体" w:hAnsi="宋体" w:eastAsia="宋体" w:cs="宋体"/>
          <w:color w:val="auto"/>
          <w:spacing w:val="-14"/>
          <w:sz w:val="21"/>
          <w:szCs w:val="21"/>
          <w:lang w:val="en-US" w:eastAsia="zh-CN"/>
        </w:rPr>
        <w:t xml:space="preserve">                                      </w:t>
      </w:r>
    </w:p>
    <w:p w14:paraId="7FF97FAC">
      <w:pPr>
        <w:spacing w:before="174"/>
        <w:ind w:left="476"/>
        <w:rPr>
          <w:rFonts w:hint="eastAsia" w:ascii="宋体" w:hAnsi="宋体" w:eastAsia="宋体" w:cs="宋体"/>
          <w:color w:val="auto"/>
          <w:sz w:val="21"/>
          <w:szCs w:val="21"/>
        </w:rPr>
      </w:pPr>
      <w:r>
        <w:rPr>
          <w:rFonts w:hint="eastAsia" w:ascii="宋体" w:hAnsi="宋体" w:eastAsia="宋体" w:cs="宋体"/>
          <w:color w:val="auto"/>
          <w:spacing w:val="-26"/>
          <w:sz w:val="21"/>
          <w:szCs w:val="21"/>
        </w:rPr>
        <w:t>网</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26"/>
          <w:sz w:val="21"/>
          <w:szCs w:val="21"/>
        </w:rPr>
        <w:t>址：</w:t>
      </w:r>
      <w:r>
        <w:rPr>
          <w:rFonts w:hint="eastAsia" w:ascii="宋体" w:hAnsi="宋体" w:eastAsia="宋体" w:cs="宋体"/>
          <w:color w:val="auto"/>
          <w:spacing w:val="-27"/>
          <w:sz w:val="21"/>
          <w:szCs w:val="21"/>
        </w:rPr>
        <w:t xml:space="preserve"> </w:t>
      </w:r>
      <w:r>
        <w:rPr>
          <w:rFonts w:hint="eastAsia" w:ascii="宋体" w:hAnsi="宋体" w:eastAsia="宋体" w:cs="宋体"/>
          <w:color w:val="auto"/>
          <w:spacing w:val="-26"/>
          <w:sz w:val="21"/>
          <w:szCs w:val="21"/>
        </w:rPr>
        <w:t>/</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
          <w:sz w:val="21"/>
          <w:szCs w:val="21"/>
          <w:lang w:val="en-US" w:eastAsia="zh-CN"/>
        </w:rPr>
        <w:t xml:space="preserve">              </w:t>
      </w:r>
      <w:r>
        <w:rPr>
          <w:rFonts w:hint="eastAsia" w:ascii="宋体" w:hAnsi="宋体" w:eastAsia="宋体" w:cs="宋体"/>
          <w:color w:val="auto"/>
          <w:spacing w:val="-26"/>
          <w:sz w:val="21"/>
          <w:szCs w:val="21"/>
        </w:rPr>
        <w:t>网</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26"/>
          <w:sz w:val="21"/>
          <w:szCs w:val="21"/>
        </w:rPr>
        <w:t>址：</w:t>
      </w:r>
      <w:r>
        <w:rPr>
          <w:rFonts w:hint="eastAsia" w:ascii="宋体" w:hAnsi="宋体" w:eastAsia="宋体" w:cs="宋体"/>
          <w:color w:val="auto"/>
          <w:spacing w:val="-30"/>
          <w:sz w:val="21"/>
          <w:szCs w:val="21"/>
        </w:rPr>
        <w:t xml:space="preserve"> </w:t>
      </w:r>
      <w:r>
        <w:rPr>
          <w:rFonts w:hint="eastAsia" w:ascii="宋体" w:hAnsi="宋体" w:eastAsia="宋体" w:cs="宋体"/>
          <w:color w:val="auto"/>
          <w:spacing w:val="-26"/>
          <w:sz w:val="21"/>
          <w:szCs w:val="21"/>
        </w:rPr>
        <w:t>/</w:t>
      </w:r>
    </w:p>
    <w:p w14:paraId="7B72F613">
      <w:pPr>
        <w:spacing w:before="164" w:line="235" w:lineRule="auto"/>
        <w:ind w:left="460"/>
        <w:rPr>
          <w:rFonts w:hint="eastAsia" w:ascii="宋体" w:hAnsi="宋体" w:eastAsia="宋体" w:cs="宋体"/>
          <w:color w:val="auto"/>
          <w:sz w:val="21"/>
          <w:szCs w:val="21"/>
        </w:rPr>
      </w:pPr>
      <w:r>
        <w:rPr>
          <w:rFonts w:hint="eastAsia" w:ascii="宋体" w:hAnsi="宋体" w:eastAsia="宋体" w:cs="宋体"/>
          <w:color w:val="auto"/>
          <w:spacing w:val="-21"/>
          <w:sz w:val="21"/>
          <w:szCs w:val="21"/>
        </w:rPr>
        <w:t>开户银行：</w:t>
      </w:r>
      <w:r>
        <w:rPr>
          <w:rFonts w:hint="eastAsia" w:ascii="宋体" w:hAnsi="宋体" w:eastAsia="宋体" w:cs="宋体"/>
          <w:color w:val="auto"/>
          <w:spacing w:val="53"/>
          <w:sz w:val="21"/>
          <w:szCs w:val="21"/>
        </w:rPr>
        <w:t xml:space="preserve"> </w:t>
      </w:r>
      <w:r>
        <w:rPr>
          <w:rFonts w:hint="eastAsia" w:ascii="宋体" w:hAnsi="宋体" w:eastAsia="宋体" w:cs="宋体"/>
          <w:color w:val="auto"/>
          <w:spacing w:val="-21"/>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pacing w:val="-21"/>
          <w:sz w:val="21"/>
          <w:szCs w:val="21"/>
        </w:rPr>
        <w:t xml:space="preserve">开户银行： </w:t>
      </w:r>
      <w:r>
        <w:rPr>
          <w:rFonts w:hint="eastAsia" w:ascii="宋体" w:hAnsi="宋体" w:eastAsia="宋体" w:cs="宋体"/>
          <w:color w:val="auto"/>
          <w:spacing w:val="-21"/>
          <w:sz w:val="21"/>
          <w:szCs w:val="21"/>
        </w:rPr>
        <w:t>长沙银行股份有限公司信诚支行</w:t>
      </w:r>
    </w:p>
    <w:p w14:paraId="7443B276">
      <w:pPr>
        <w:spacing w:before="174" w:line="236" w:lineRule="auto"/>
        <w:ind w:left="463"/>
        <w:rPr>
          <w:rFonts w:hint="eastAsia" w:ascii="宋体" w:hAnsi="宋体" w:eastAsia="宋体" w:cs="宋体"/>
          <w:color w:val="auto"/>
          <w:sz w:val="21"/>
          <w:szCs w:val="21"/>
        </w:rPr>
      </w:pPr>
      <w:r>
        <w:rPr>
          <w:rFonts w:hint="eastAsia" w:ascii="宋体" w:hAnsi="宋体" w:eastAsia="宋体" w:cs="宋体"/>
          <w:color w:val="auto"/>
          <w:spacing w:val="-13"/>
          <w:sz w:val="21"/>
          <w:szCs w:val="21"/>
        </w:rPr>
        <w:t>账</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13"/>
          <w:sz w:val="21"/>
          <w:szCs w:val="21"/>
        </w:rPr>
        <w:t>号：</w:t>
      </w:r>
      <w:r>
        <w:rPr>
          <w:rFonts w:hint="eastAsia" w:ascii="宋体" w:hAnsi="宋体" w:eastAsia="宋体" w:cs="宋体"/>
          <w:color w:val="auto"/>
          <w:spacing w:val="-29"/>
          <w:sz w:val="21"/>
          <w:szCs w:val="21"/>
        </w:rPr>
        <w:t xml:space="preserve"> </w:t>
      </w:r>
      <w:r>
        <w:rPr>
          <w:rFonts w:hint="eastAsia" w:ascii="宋体" w:hAnsi="宋体" w:eastAsia="宋体" w:cs="宋体"/>
          <w:color w:val="auto"/>
          <w:spacing w:val="-13"/>
          <w:sz w:val="21"/>
          <w:szCs w:val="21"/>
        </w:rPr>
        <w:t xml:space="preserve">/              </w:t>
      </w:r>
      <w:r>
        <w:rPr>
          <w:rFonts w:hint="eastAsia" w:ascii="宋体" w:hAnsi="宋体" w:eastAsia="宋体" w:cs="宋体"/>
          <w:color w:val="auto"/>
          <w:spacing w:val="-13"/>
          <w:sz w:val="21"/>
          <w:szCs w:val="21"/>
          <w:lang w:val="en-US" w:eastAsia="zh-CN"/>
        </w:rPr>
        <w:t xml:space="preserve">                     </w:t>
      </w:r>
      <w:r>
        <w:rPr>
          <w:rFonts w:hint="eastAsia" w:ascii="宋体" w:hAnsi="宋体" w:eastAsia="宋体" w:cs="宋体"/>
          <w:color w:val="auto"/>
          <w:spacing w:val="-13"/>
          <w:sz w:val="21"/>
          <w:szCs w:val="21"/>
        </w:rPr>
        <w:t>账</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3"/>
          <w:sz w:val="21"/>
          <w:szCs w:val="21"/>
        </w:rPr>
        <w:t>号：</w:t>
      </w:r>
      <w:r>
        <w:rPr>
          <w:rFonts w:hint="eastAsia" w:ascii="宋体" w:hAnsi="宋体" w:eastAsia="宋体" w:cs="宋体"/>
          <w:color w:val="auto"/>
          <w:spacing w:val="0"/>
          <w:sz w:val="21"/>
          <w:szCs w:val="21"/>
        </w:rPr>
        <w:t>800126314208027</w:t>
      </w: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auto"/>
          <w:spacing w:val="-13"/>
          <w:sz w:val="21"/>
          <w:szCs w:val="21"/>
          <w:lang w:val="en-US" w:eastAsia="zh-CN"/>
        </w:rPr>
        <w:t xml:space="preserve">                                                    </w:t>
      </w:r>
    </w:p>
    <w:p w14:paraId="7AD194B0">
      <w:pPr>
        <w:pStyle w:val="2"/>
        <w:spacing w:before="69" w:line="219" w:lineRule="auto"/>
        <w:ind w:left="459"/>
        <w:rPr>
          <w:rFonts w:hint="eastAsia" w:ascii="宋体" w:hAnsi="宋体" w:eastAsia="宋体" w:cs="宋体"/>
          <w:color w:val="auto"/>
          <w:spacing w:val="-12"/>
          <w:sz w:val="21"/>
          <w:szCs w:val="21"/>
        </w:rPr>
      </w:pPr>
    </w:p>
    <w:p w14:paraId="00CF96EC">
      <w:pPr>
        <w:pStyle w:val="2"/>
        <w:spacing w:before="69" w:line="219" w:lineRule="auto"/>
        <w:ind w:left="459"/>
        <w:rPr>
          <w:rFonts w:hint="eastAsia" w:ascii="宋体" w:hAnsi="宋体" w:eastAsia="宋体" w:cs="宋体"/>
          <w:color w:val="auto"/>
          <w:sz w:val="21"/>
          <w:szCs w:val="21"/>
        </w:rPr>
      </w:pPr>
      <w:r>
        <w:rPr>
          <w:rFonts w:hint="eastAsia" w:ascii="宋体" w:hAnsi="宋体" w:eastAsia="宋体" w:cs="宋体"/>
          <w:color w:val="auto"/>
          <w:spacing w:val="-12"/>
          <w:sz w:val="21"/>
          <w:szCs w:val="21"/>
        </w:rPr>
        <w:t>监督部门：</w:t>
      </w:r>
      <w:r>
        <w:rPr>
          <w:rFonts w:hint="eastAsia" w:ascii="宋体" w:hAnsi="宋体" w:eastAsia="宋体" w:cs="宋体"/>
          <w:color w:val="auto"/>
          <w:spacing w:val="-12"/>
          <w:sz w:val="21"/>
          <w:szCs w:val="21"/>
        </w:rPr>
        <w:t>岳阳市交通运输局</w:t>
      </w:r>
    </w:p>
    <w:p w14:paraId="738E65AD">
      <w:pPr>
        <w:pStyle w:val="2"/>
        <w:spacing w:before="150" w:line="219" w:lineRule="auto"/>
        <w:ind w:left="460"/>
        <w:rPr>
          <w:rFonts w:hint="eastAsia" w:ascii="宋体" w:hAnsi="宋体" w:eastAsia="宋体" w:cs="宋体"/>
          <w:color w:val="auto"/>
          <w:sz w:val="21"/>
          <w:szCs w:val="21"/>
        </w:rPr>
      </w:pPr>
      <w:r>
        <w:rPr>
          <w:rFonts w:hint="eastAsia" w:ascii="宋体" w:hAnsi="宋体" w:eastAsia="宋体" w:cs="宋体"/>
          <w:color w:val="auto"/>
          <w:spacing w:val="-3"/>
          <w:sz w:val="21"/>
          <w:szCs w:val="21"/>
        </w:rPr>
        <w:t>地    址：</w:t>
      </w:r>
      <w:r>
        <w:rPr>
          <w:rFonts w:hint="eastAsia" w:ascii="宋体" w:hAnsi="宋体" w:eastAsia="宋体" w:cs="宋体"/>
          <w:color w:val="auto"/>
          <w:spacing w:val="0"/>
          <w:sz w:val="21"/>
          <w:szCs w:val="21"/>
        </w:rPr>
        <w:t>岳阳市五里牌东路交通运输局办公楼</w:t>
      </w:r>
    </w:p>
    <w:p w14:paraId="71006992">
      <w:pPr>
        <w:pStyle w:val="2"/>
        <w:spacing w:before="154" w:line="222" w:lineRule="auto"/>
        <w:ind w:left="473"/>
        <w:rPr>
          <w:rFonts w:hint="eastAsia" w:ascii="宋体" w:hAnsi="宋体" w:eastAsia="宋体" w:cs="宋体"/>
          <w:color w:val="auto"/>
          <w:sz w:val="21"/>
          <w:szCs w:val="21"/>
        </w:rPr>
      </w:pPr>
      <w:r>
        <w:rPr>
          <w:rFonts w:hint="eastAsia" w:ascii="宋体" w:hAnsi="宋体" w:eastAsia="宋体" w:cs="宋体"/>
          <w:color w:val="auto"/>
          <w:spacing w:val="-7"/>
          <w:sz w:val="21"/>
          <w:szCs w:val="21"/>
        </w:rPr>
        <w:t>电</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7"/>
          <w:sz w:val="21"/>
          <w:szCs w:val="21"/>
        </w:rPr>
        <w:t>话：</w:t>
      </w:r>
      <w:r>
        <w:rPr>
          <w:rFonts w:hint="eastAsia" w:ascii="宋体" w:hAnsi="宋体" w:eastAsia="宋体" w:cs="宋体"/>
          <w:color w:val="auto"/>
          <w:spacing w:val="0"/>
          <w:sz w:val="21"/>
          <w:szCs w:val="21"/>
        </w:rPr>
        <w:t>0730-8717362</w:t>
      </w:r>
    </w:p>
    <w:p w14:paraId="29B45632">
      <w:pPr>
        <w:pStyle w:val="2"/>
        <w:spacing w:before="145" w:line="234" w:lineRule="auto"/>
        <w:ind w:left="458"/>
        <w:rPr>
          <w:rFonts w:hint="eastAsia" w:ascii="宋体" w:hAnsi="宋体" w:eastAsia="宋体" w:cs="宋体"/>
          <w:color w:val="auto"/>
          <w:sz w:val="21"/>
          <w:szCs w:val="21"/>
        </w:rPr>
      </w:pPr>
      <w:r>
        <w:rPr>
          <w:rFonts w:hint="eastAsia" w:ascii="宋体" w:hAnsi="宋体" w:eastAsia="宋体" w:cs="宋体"/>
          <w:color w:val="auto"/>
          <w:spacing w:val="-21"/>
          <w:sz w:val="21"/>
          <w:szCs w:val="21"/>
        </w:rPr>
        <w:t>传</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21"/>
          <w:sz w:val="21"/>
          <w:szCs w:val="21"/>
        </w:rPr>
        <w:t>真：</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0"/>
          <w:sz w:val="21"/>
          <w:szCs w:val="21"/>
        </w:rPr>
        <w:t>0730-8717362</w:t>
      </w:r>
    </w:p>
    <w:p w14:paraId="2D7C131A">
      <w:pPr>
        <w:pStyle w:val="2"/>
        <w:spacing w:before="133" w:line="233" w:lineRule="auto"/>
        <w:ind w:left="470"/>
        <w:rPr>
          <w:rFonts w:hint="eastAsia" w:ascii="宋体" w:hAnsi="宋体" w:eastAsia="宋体" w:cs="宋体"/>
          <w:color w:val="auto"/>
          <w:spacing w:val="0"/>
          <w:sz w:val="21"/>
          <w:szCs w:val="21"/>
          <w:lang w:val="en-US" w:eastAsia="zh-CN"/>
        </w:rPr>
      </w:pPr>
      <w:r>
        <w:rPr>
          <w:rFonts w:hint="eastAsia" w:ascii="宋体" w:hAnsi="宋体" w:eastAsia="宋体" w:cs="宋体"/>
          <w:snapToGrid w:val="0"/>
          <w:color w:val="auto"/>
          <w:spacing w:val="-8"/>
          <w:kern w:val="0"/>
          <w:sz w:val="21"/>
          <w:szCs w:val="21"/>
          <w:lang w:val="en-US" w:eastAsia="en-US" w:bidi="ar-SA"/>
        </w:rPr>
        <w:t>邮政编码：</w:t>
      </w:r>
      <w:r>
        <w:rPr>
          <w:rFonts w:hint="eastAsia" w:ascii="宋体" w:hAnsi="宋体" w:eastAsia="宋体" w:cs="宋体"/>
          <w:color w:val="auto"/>
          <w:spacing w:val="0"/>
          <w:sz w:val="21"/>
          <w:szCs w:val="21"/>
          <w:lang w:val="en-US" w:eastAsia="zh-CN"/>
        </w:rPr>
        <w:t>414000</w:t>
      </w:r>
    </w:p>
    <w:p w14:paraId="5422ED98">
      <w:pPr>
        <w:pStyle w:val="2"/>
        <w:spacing w:before="133" w:line="233" w:lineRule="auto"/>
        <w:ind w:left="470"/>
        <w:rPr>
          <w:rFonts w:hint="eastAsia" w:ascii="宋体" w:hAnsi="宋体" w:eastAsia="宋体" w:cs="宋体"/>
          <w:color w:val="auto"/>
          <w:spacing w:val="0"/>
          <w:sz w:val="21"/>
          <w:szCs w:val="21"/>
          <w:lang w:val="en-US" w:eastAsia="zh-CN"/>
        </w:rPr>
      </w:pPr>
    </w:p>
    <w:p w14:paraId="5D080F7E">
      <w:pPr>
        <w:spacing w:line="233" w:lineRule="auto"/>
        <w:jc w:val="righ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2024年12月30日</w:t>
      </w:r>
    </w:p>
    <w:p w14:paraId="7EDFEA17">
      <w:pPr>
        <w:bidi w:val="0"/>
        <w:rPr>
          <w:rFonts w:hint="default" w:ascii="Arial" w:hAnsi="Arial" w:eastAsia="Arial" w:cs="Arial"/>
          <w:snapToGrid w:val="0"/>
          <w:color w:val="auto"/>
          <w:kern w:val="0"/>
          <w:sz w:val="21"/>
          <w:szCs w:val="21"/>
          <w:lang w:val="en-US" w:eastAsia="zh-CN" w:bidi="ar-SA"/>
        </w:rPr>
      </w:pPr>
    </w:p>
    <w:p w14:paraId="1E6021E1">
      <w:pPr>
        <w:rPr>
          <w:i/>
          <w:iCs/>
          <w:color w:val="auto"/>
          <w:spacing w:val="16"/>
          <w:sz w:val="29"/>
          <w:szCs w:val="29"/>
        </w:rPr>
      </w:pPr>
      <w:r>
        <w:rPr>
          <w:i/>
          <w:iCs/>
          <w:color w:val="auto"/>
          <w:spacing w:val="16"/>
          <w:sz w:val="29"/>
          <w:szCs w:val="29"/>
        </w:rPr>
        <w:br w:type="page"/>
      </w:r>
    </w:p>
    <w:p w14:paraId="0736C19D">
      <w:pPr>
        <w:pStyle w:val="2"/>
        <w:spacing w:before="88" w:line="238" w:lineRule="auto"/>
        <w:ind w:left="1894"/>
        <w:outlineLvl w:val="1"/>
        <w:rPr>
          <w:color w:val="auto"/>
          <w:sz w:val="13"/>
          <w:szCs w:val="13"/>
        </w:rPr>
      </w:pPr>
      <w:r>
        <w:rPr>
          <w:color w:val="auto"/>
          <w:spacing w:val="6"/>
        </w:rPr>
        <w:t>附录</w:t>
      </w:r>
      <w:r>
        <w:rPr>
          <w:color w:val="auto"/>
          <w:spacing w:val="-28"/>
        </w:rPr>
        <w:t xml:space="preserve"> </w:t>
      </w:r>
      <w:r>
        <w:rPr>
          <w:rFonts w:ascii="宋体" w:hAnsi="宋体" w:eastAsia="宋体" w:cs="宋体"/>
          <w:color w:val="auto"/>
          <w:spacing w:val="6"/>
        </w:rPr>
        <w:t xml:space="preserve">1  </w:t>
      </w:r>
      <w:r>
        <w:rPr>
          <w:color w:val="auto"/>
          <w:spacing w:val="6"/>
        </w:rPr>
        <w:t>资格审查条件（资质最低要求）</w:t>
      </w:r>
      <w:r>
        <w:rPr>
          <w:color w:val="auto"/>
          <w:spacing w:val="6"/>
          <w:position w:val="13"/>
          <w:sz w:val="13"/>
          <w:szCs w:val="13"/>
        </w:rPr>
        <w:t>①</w:t>
      </w:r>
    </w:p>
    <w:p w14:paraId="01A2F7E7">
      <w:pPr>
        <w:spacing w:before="29"/>
        <w:rPr>
          <w:color w:val="auto"/>
        </w:rPr>
      </w:pPr>
    </w:p>
    <w:tbl>
      <w:tblPr>
        <w:tblStyle w:val="8"/>
        <w:tblW w:w="882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6"/>
      </w:tblGrid>
      <w:tr w14:paraId="0C2B8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8826" w:type="dxa"/>
            <w:vAlign w:val="top"/>
          </w:tcPr>
          <w:p w14:paraId="2EE5BA7B">
            <w:pPr>
              <w:spacing w:line="390" w:lineRule="auto"/>
              <w:rPr>
                <w:rFonts w:ascii="Arial"/>
                <w:color w:val="auto"/>
                <w:sz w:val="21"/>
              </w:rPr>
            </w:pPr>
          </w:p>
          <w:p w14:paraId="50C8F7FE">
            <w:pPr>
              <w:spacing w:before="68" w:line="221" w:lineRule="auto"/>
              <w:ind w:left="3372"/>
              <w:rPr>
                <w:rFonts w:ascii="宋体" w:hAnsi="宋体" w:eastAsia="宋体" w:cs="宋体"/>
                <w:color w:val="auto"/>
                <w:sz w:val="21"/>
                <w:szCs w:val="21"/>
              </w:rPr>
            </w:pPr>
            <w:r>
              <w:rPr>
                <w:rFonts w:ascii="宋体" w:hAnsi="宋体" w:eastAsia="宋体" w:cs="宋体"/>
                <w:color w:val="auto"/>
                <w:spacing w:val="-2"/>
                <w:sz w:val="21"/>
                <w:szCs w:val="21"/>
              </w:rPr>
              <w:t>咨询企业资质等级要求</w:t>
            </w:r>
          </w:p>
        </w:tc>
      </w:tr>
      <w:tr w14:paraId="15D23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1" w:hRule="atLeast"/>
        </w:trPr>
        <w:tc>
          <w:tcPr>
            <w:tcW w:w="8826" w:type="dxa"/>
            <w:vAlign w:val="top"/>
          </w:tcPr>
          <w:p w14:paraId="5ECA21E6">
            <w:pPr>
              <w:spacing w:before="194" w:line="220" w:lineRule="auto"/>
              <w:ind w:left="117"/>
              <w:rPr>
                <w:rFonts w:ascii="宋体" w:hAnsi="宋体" w:eastAsia="宋体" w:cs="宋体"/>
                <w:color w:val="auto"/>
                <w:sz w:val="21"/>
                <w:szCs w:val="21"/>
              </w:rPr>
            </w:pPr>
            <w:r>
              <w:rPr>
                <w:rFonts w:ascii="宋体" w:hAnsi="宋体" w:eastAsia="宋体" w:cs="宋体"/>
                <w:color w:val="auto"/>
                <w:spacing w:val="-7"/>
                <w:sz w:val="21"/>
                <w:szCs w:val="21"/>
              </w:rPr>
              <w:t>具有独立法人资格，持有有效的企业法人营业执照（或事业单位法人证书）。</w:t>
            </w:r>
          </w:p>
        </w:tc>
      </w:tr>
    </w:tbl>
    <w:p w14:paraId="469AA442">
      <w:pPr>
        <w:spacing w:line="246" w:lineRule="auto"/>
        <w:rPr>
          <w:rFonts w:ascii="Arial"/>
          <w:color w:val="auto"/>
          <w:sz w:val="21"/>
        </w:rPr>
      </w:pPr>
    </w:p>
    <w:p w14:paraId="2441286D">
      <w:pPr>
        <w:spacing w:line="246" w:lineRule="auto"/>
        <w:rPr>
          <w:rFonts w:ascii="Arial"/>
          <w:color w:val="auto"/>
          <w:sz w:val="21"/>
        </w:rPr>
      </w:pPr>
    </w:p>
    <w:p w14:paraId="098E699A">
      <w:pPr>
        <w:spacing w:line="246" w:lineRule="auto"/>
        <w:rPr>
          <w:rFonts w:ascii="Arial"/>
          <w:color w:val="auto"/>
          <w:sz w:val="21"/>
        </w:rPr>
      </w:pPr>
    </w:p>
    <w:p w14:paraId="2458D785">
      <w:pPr>
        <w:spacing w:line="246" w:lineRule="auto"/>
        <w:rPr>
          <w:rFonts w:ascii="Arial"/>
          <w:color w:val="auto"/>
          <w:sz w:val="21"/>
        </w:rPr>
      </w:pPr>
    </w:p>
    <w:p w14:paraId="3768C4B7">
      <w:pPr>
        <w:spacing w:line="246" w:lineRule="auto"/>
        <w:rPr>
          <w:rFonts w:ascii="Arial"/>
          <w:color w:val="auto"/>
          <w:sz w:val="21"/>
        </w:rPr>
      </w:pPr>
    </w:p>
    <w:p w14:paraId="64CE26E7">
      <w:pPr>
        <w:spacing w:line="246" w:lineRule="auto"/>
        <w:rPr>
          <w:rFonts w:ascii="Arial"/>
          <w:color w:val="auto"/>
          <w:sz w:val="21"/>
        </w:rPr>
      </w:pPr>
    </w:p>
    <w:p w14:paraId="178C6EA5">
      <w:pPr>
        <w:pStyle w:val="2"/>
        <w:spacing w:before="94" w:line="224" w:lineRule="auto"/>
        <w:ind w:left="1881"/>
        <w:outlineLvl w:val="1"/>
        <w:rPr>
          <w:color w:val="auto"/>
          <w:sz w:val="14"/>
          <w:szCs w:val="14"/>
        </w:rPr>
      </w:pPr>
      <w:r>
        <w:rPr>
          <w:rFonts w:ascii="Arial"/>
          <w:color w:val="auto"/>
          <w:sz w:val="21"/>
        </w:rPr>
        <w:br w:type="page"/>
      </w:r>
      <w:r>
        <w:rPr>
          <w:i/>
          <w:iCs/>
          <w:color w:val="auto"/>
          <w:spacing w:val="-1"/>
          <w:sz w:val="29"/>
          <w:szCs w:val="29"/>
        </w:rPr>
        <w:t>附录</w:t>
      </w:r>
      <w:r>
        <w:rPr>
          <w:rFonts w:ascii="宋体" w:hAnsi="宋体" w:eastAsia="宋体" w:cs="宋体"/>
          <w:i/>
          <w:iCs/>
          <w:color w:val="auto"/>
          <w:spacing w:val="-1"/>
          <w:sz w:val="29"/>
          <w:szCs w:val="29"/>
        </w:rPr>
        <w:t>2</w:t>
      </w:r>
      <w:r>
        <w:rPr>
          <w:rFonts w:ascii="宋体" w:hAnsi="宋体" w:eastAsia="宋体" w:cs="宋体"/>
          <w:color w:val="auto"/>
          <w:spacing w:val="82"/>
          <w:sz w:val="29"/>
          <w:szCs w:val="29"/>
        </w:rPr>
        <w:t xml:space="preserve"> </w:t>
      </w:r>
      <w:r>
        <w:rPr>
          <w:i/>
          <w:iCs/>
          <w:color w:val="auto"/>
          <w:spacing w:val="-1"/>
          <w:sz w:val="29"/>
          <w:szCs w:val="29"/>
        </w:rPr>
        <w:t>资格审查条件（业绩最低要求）</w:t>
      </w:r>
      <w:r>
        <w:rPr>
          <w:i/>
          <w:iCs/>
          <w:color w:val="auto"/>
          <w:spacing w:val="-1"/>
          <w:position w:val="13"/>
          <w:sz w:val="14"/>
          <w:szCs w:val="14"/>
        </w:rPr>
        <w:t>①</w:t>
      </w:r>
    </w:p>
    <w:p w14:paraId="4FC56366">
      <w:pPr>
        <w:spacing w:before="26"/>
        <w:rPr>
          <w:color w:val="auto"/>
        </w:rPr>
      </w:pPr>
    </w:p>
    <w:tbl>
      <w:tblPr>
        <w:tblStyle w:val="8"/>
        <w:tblW w:w="882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6"/>
      </w:tblGrid>
      <w:tr w14:paraId="4DDA1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826" w:type="dxa"/>
            <w:vAlign w:val="top"/>
          </w:tcPr>
          <w:p w14:paraId="4C9F665B">
            <w:pPr>
              <w:spacing w:line="391" w:lineRule="auto"/>
              <w:rPr>
                <w:rFonts w:hint="eastAsia" w:ascii="宋体" w:hAnsi="宋体" w:eastAsia="宋体" w:cs="宋体"/>
                <w:color w:val="auto"/>
                <w:sz w:val="21"/>
              </w:rPr>
            </w:pPr>
          </w:p>
          <w:p w14:paraId="43B89AFE">
            <w:pPr>
              <w:spacing w:before="68" w:line="221" w:lineRule="auto"/>
              <w:ind w:left="3834"/>
              <w:rPr>
                <w:rFonts w:hint="eastAsia" w:ascii="宋体" w:hAnsi="宋体" w:eastAsia="宋体" w:cs="宋体"/>
                <w:color w:val="auto"/>
                <w:sz w:val="21"/>
                <w:szCs w:val="21"/>
              </w:rPr>
            </w:pPr>
            <w:r>
              <w:rPr>
                <w:rFonts w:hint="eastAsia" w:ascii="宋体" w:hAnsi="宋体" w:eastAsia="宋体" w:cs="宋体"/>
                <w:color w:val="auto"/>
                <w:spacing w:val="-7"/>
                <w:sz w:val="21"/>
                <w:szCs w:val="21"/>
              </w:rPr>
              <w:t>业</w:t>
            </w:r>
            <w:r>
              <w:rPr>
                <w:rFonts w:hint="eastAsia" w:ascii="宋体" w:hAnsi="宋体" w:eastAsia="宋体" w:cs="宋体"/>
                <w:color w:val="auto"/>
                <w:spacing w:val="14"/>
                <w:sz w:val="21"/>
                <w:szCs w:val="21"/>
              </w:rPr>
              <w:t xml:space="preserve"> </w:t>
            </w:r>
            <w:r>
              <w:rPr>
                <w:rFonts w:hint="eastAsia" w:ascii="宋体" w:hAnsi="宋体" w:eastAsia="宋体" w:cs="宋体"/>
                <w:color w:val="auto"/>
                <w:spacing w:val="-7"/>
                <w:sz w:val="21"/>
                <w:szCs w:val="21"/>
              </w:rPr>
              <w:t>绩</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7"/>
                <w:sz w:val="21"/>
                <w:szCs w:val="21"/>
              </w:rPr>
              <w:t>要</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7"/>
                <w:sz w:val="21"/>
                <w:szCs w:val="21"/>
              </w:rPr>
              <w:t>求</w:t>
            </w:r>
          </w:p>
        </w:tc>
      </w:tr>
      <w:tr w14:paraId="491E1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trPr>
        <w:tc>
          <w:tcPr>
            <w:tcW w:w="8826" w:type="dxa"/>
            <w:vAlign w:val="top"/>
          </w:tcPr>
          <w:p w14:paraId="0E66A99A">
            <w:pPr>
              <w:spacing w:before="193" w:line="221" w:lineRule="auto"/>
              <w:ind w:left="116"/>
              <w:rPr>
                <w:rFonts w:hint="eastAsia" w:ascii="宋体" w:hAnsi="宋体" w:eastAsia="宋体" w:cs="宋体"/>
                <w:color w:val="auto"/>
                <w:sz w:val="21"/>
                <w:szCs w:val="21"/>
              </w:rPr>
            </w:pPr>
            <w:r>
              <w:rPr>
                <w:rFonts w:hint="eastAsia" w:ascii="宋体" w:hAnsi="宋体" w:eastAsia="宋体" w:cs="宋体"/>
                <w:color w:val="auto"/>
                <w:spacing w:val="-3"/>
                <w:sz w:val="21"/>
                <w:szCs w:val="21"/>
              </w:rPr>
              <w:t>投标人应具备以下条件：</w:t>
            </w:r>
          </w:p>
          <w:p w14:paraId="40A0155F">
            <w:pPr>
              <w:spacing w:before="191" w:line="436" w:lineRule="exact"/>
              <w:ind w:left="112"/>
              <w:rPr>
                <w:rFonts w:hint="eastAsia" w:ascii="宋体" w:hAnsi="宋体" w:eastAsia="宋体" w:cs="宋体"/>
                <w:color w:val="auto"/>
                <w:spacing w:val="-5"/>
                <w:position w:val="17"/>
                <w:sz w:val="21"/>
                <w:szCs w:val="21"/>
              </w:rPr>
            </w:pPr>
            <w:r>
              <w:rPr>
                <w:rFonts w:hint="eastAsia" w:ascii="宋体" w:hAnsi="宋体" w:eastAsia="宋体" w:cs="宋体"/>
                <w:color w:val="auto"/>
                <w:spacing w:val="-5"/>
                <w:position w:val="17"/>
                <w:sz w:val="21"/>
                <w:szCs w:val="21"/>
              </w:rPr>
              <w:t>近五年（2019年</w:t>
            </w:r>
            <w:r>
              <w:rPr>
                <w:rFonts w:hint="eastAsia" w:ascii="宋体" w:hAnsi="宋体" w:eastAsia="宋体" w:cs="宋体"/>
                <w:color w:val="auto"/>
                <w:spacing w:val="-5"/>
                <w:position w:val="17"/>
                <w:sz w:val="21"/>
                <w:szCs w:val="21"/>
                <w:lang w:val="en-US" w:eastAsia="zh-CN"/>
              </w:rPr>
              <w:t>12</w:t>
            </w:r>
            <w:r>
              <w:rPr>
                <w:rFonts w:hint="eastAsia" w:ascii="宋体" w:hAnsi="宋体" w:eastAsia="宋体" w:cs="宋体"/>
                <w:color w:val="auto"/>
                <w:spacing w:val="-5"/>
                <w:position w:val="17"/>
                <w:sz w:val="21"/>
                <w:szCs w:val="21"/>
              </w:rPr>
              <w:t>月</w:t>
            </w:r>
            <w:r>
              <w:rPr>
                <w:rFonts w:hint="eastAsia" w:ascii="宋体" w:hAnsi="宋体" w:eastAsia="宋体" w:cs="宋体"/>
                <w:color w:val="auto"/>
                <w:spacing w:val="-5"/>
                <w:position w:val="17"/>
                <w:sz w:val="21"/>
                <w:szCs w:val="21"/>
                <w:lang w:val="en-US" w:eastAsia="zh-CN"/>
              </w:rPr>
              <w:t>1</w:t>
            </w:r>
            <w:r>
              <w:rPr>
                <w:rFonts w:hint="eastAsia" w:ascii="宋体" w:hAnsi="宋体" w:eastAsia="宋体" w:cs="宋体"/>
                <w:color w:val="auto"/>
                <w:spacing w:val="-5"/>
                <w:position w:val="17"/>
                <w:sz w:val="21"/>
                <w:szCs w:val="21"/>
              </w:rPr>
              <w:t>日至投标截止之日前一日）具有 1 个建安工程费用不低于</w:t>
            </w:r>
            <w:r>
              <w:rPr>
                <w:rFonts w:hint="eastAsia" w:ascii="宋体" w:hAnsi="宋体" w:eastAsia="宋体" w:cs="宋体"/>
                <w:color w:val="auto"/>
                <w:spacing w:val="-5"/>
                <w:position w:val="17"/>
                <w:sz w:val="21"/>
                <w:szCs w:val="21"/>
                <w:lang w:val="en-US" w:eastAsia="zh-CN"/>
              </w:rPr>
              <w:t>2.8</w:t>
            </w:r>
            <w:r>
              <w:rPr>
                <w:rFonts w:hint="eastAsia" w:ascii="宋体" w:hAnsi="宋体" w:eastAsia="宋体" w:cs="宋体"/>
                <w:color w:val="auto"/>
                <w:spacing w:val="-5"/>
                <w:position w:val="17"/>
                <w:sz w:val="21"/>
                <w:szCs w:val="21"/>
              </w:rPr>
              <w:t>亿元的公路工程结算审核（审计）或全过程造价咨询</w:t>
            </w:r>
            <w:r>
              <w:rPr>
                <w:rFonts w:hint="eastAsia" w:ascii="宋体" w:hAnsi="宋体" w:eastAsia="宋体" w:cs="宋体"/>
                <w:color w:val="auto"/>
                <w:spacing w:val="-5"/>
                <w:position w:val="17"/>
                <w:sz w:val="21"/>
                <w:szCs w:val="21"/>
                <w:lang w:val="en-US" w:eastAsia="zh-CN"/>
              </w:rPr>
              <w:t>或全过程跟踪审计</w:t>
            </w:r>
            <w:r>
              <w:rPr>
                <w:rFonts w:hint="eastAsia" w:ascii="宋体" w:hAnsi="宋体" w:eastAsia="宋体" w:cs="宋体"/>
                <w:color w:val="auto"/>
                <w:spacing w:val="-5"/>
                <w:position w:val="17"/>
                <w:sz w:val="21"/>
                <w:szCs w:val="21"/>
              </w:rPr>
              <w:t>业绩。</w:t>
            </w:r>
          </w:p>
          <w:p w14:paraId="11848BCB">
            <w:pPr>
              <w:spacing w:line="249" w:lineRule="auto"/>
              <w:rPr>
                <w:rFonts w:hint="eastAsia" w:ascii="宋体" w:hAnsi="宋体" w:eastAsia="宋体" w:cs="宋体"/>
                <w:color w:val="auto"/>
                <w:sz w:val="21"/>
              </w:rPr>
            </w:pPr>
          </w:p>
          <w:p w14:paraId="6A3C8EA9">
            <w:pPr>
              <w:spacing w:line="249" w:lineRule="auto"/>
              <w:rPr>
                <w:rFonts w:hint="eastAsia" w:ascii="宋体" w:hAnsi="宋体" w:eastAsia="宋体" w:cs="宋体"/>
                <w:color w:val="auto"/>
                <w:sz w:val="21"/>
              </w:rPr>
            </w:pPr>
          </w:p>
          <w:p w14:paraId="001F67C9">
            <w:pPr>
              <w:spacing w:line="249" w:lineRule="auto"/>
              <w:rPr>
                <w:rFonts w:hint="eastAsia" w:ascii="宋体" w:hAnsi="宋体" w:eastAsia="宋体" w:cs="宋体"/>
                <w:color w:val="auto"/>
                <w:sz w:val="21"/>
              </w:rPr>
            </w:pPr>
          </w:p>
          <w:p w14:paraId="36271C43">
            <w:pPr>
              <w:spacing w:line="249" w:lineRule="auto"/>
              <w:rPr>
                <w:rFonts w:hint="eastAsia" w:ascii="宋体" w:hAnsi="宋体" w:eastAsia="宋体" w:cs="宋体"/>
                <w:color w:val="auto"/>
                <w:sz w:val="21"/>
              </w:rPr>
            </w:pPr>
          </w:p>
          <w:p w14:paraId="4C8210DD">
            <w:pPr>
              <w:spacing w:before="69" w:line="225" w:lineRule="auto"/>
              <w:ind w:left="113"/>
              <w:rPr>
                <w:rFonts w:hint="eastAsia" w:ascii="宋体" w:hAnsi="宋体" w:eastAsia="宋体" w:cs="宋体"/>
                <w:color w:val="auto"/>
                <w:sz w:val="21"/>
                <w:szCs w:val="21"/>
              </w:rPr>
            </w:pPr>
            <w:r>
              <w:rPr>
                <w:rFonts w:hint="eastAsia" w:ascii="宋体" w:hAnsi="宋体" w:eastAsia="宋体" w:cs="宋体"/>
                <w:color w:val="auto"/>
                <w:spacing w:val="-14"/>
                <w:sz w:val="21"/>
                <w:szCs w:val="21"/>
              </w:rPr>
              <w:t>注：</w:t>
            </w:r>
          </w:p>
          <w:p w14:paraId="2C295166">
            <w:pPr>
              <w:spacing w:before="186" w:line="386" w:lineRule="auto"/>
              <w:ind w:left="113" w:right="107" w:firstLine="16"/>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1.业绩证明资料须同时提供造价咨询合同文件和造价咨询报告关键页(</w:t>
            </w:r>
            <w:r>
              <w:rPr>
                <w:rFonts w:hint="eastAsia" w:ascii="宋体" w:hAnsi="宋体" w:eastAsia="宋体" w:cs="宋体"/>
                <w:color w:val="auto"/>
                <w:spacing w:val="-2"/>
                <w:sz w:val="21"/>
                <w:szCs w:val="21"/>
              </w:rPr>
              <w:t>全过程</w:t>
            </w:r>
            <w:r>
              <w:rPr>
                <w:rFonts w:hint="eastAsia" w:ascii="宋体" w:hAnsi="宋体" w:eastAsia="宋体" w:cs="宋体"/>
                <w:color w:val="auto"/>
                <w:spacing w:val="-2"/>
                <w:sz w:val="21"/>
                <w:szCs w:val="21"/>
                <w:lang w:val="en-US" w:eastAsia="zh-CN"/>
              </w:rPr>
              <w:t>跟踪审计或</w:t>
            </w:r>
            <w:r>
              <w:rPr>
                <w:rFonts w:hint="eastAsia" w:ascii="宋体" w:hAnsi="宋体" w:eastAsia="宋体" w:cs="宋体"/>
                <w:color w:val="auto"/>
                <w:spacing w:val="4"/>
                <w:sz w:val="21"/>
                <w:szCs w:val="21"/>
              </w:rPr>
              <w:t>全过程造价咨询</w:t>
            </w:r>
            <w:r>
              <w:rPr>
                <w:rFonts w:hint="eastAsia" w:ascii="宋体" w:hAnsi="宋体" w:eastAsia="宋体" w:cs="宋体"/>
                <w:color w:val="auto"/>
                <w:spacing w:val="3"/>
                <w:sz w:val="21"/>
                <w:szCs w:val="21"/>
              </w:rPr>
              <w:t>业绩提</w:t>
            </w:r>
            <w:r>
              <w:rPr>
                <w:rFonts w:hint="eastAsia" w:ascii="宋体" w:hAnsi="宋体" w:eastAsia="宋体" w:cs="宋体"/>
                <w:color w:val="auto"/>
                <w:spacing w:val="-2"/>
                <w:sz w:val="21"/>
                <w:szCs w:val="21"/>
              </w:rPr>
              <w:t>供合同及任一阶段的造价咨询报告关键页；合同或咨询报告中须体</w:t>
            </w:r>
            <w:r>
              <w:rPr>
                <w:rFonts w:hint="eastAsia" w:ascii="宋体" w:hAnsi="宋体" w:eastAsia="宋体" w:cs="宋体"/>
                <w:color w:val="auto"/>
                <w:spacing w:val="-3"/>
                <w:sz w:val="21"/>
                <w:szCs w:val="21"/>
              </w:rPr>
              <w:t>现项目规模、咨询内容、负</w:t>
            </w:r>
            <w:r>
              <w:rPr>
                <w:rFonts w:hint="eastAsia" w:ascii="宋体" w:hAnsi="宋体" w:eastAsia="宋体" w:cs="宋体"/>
                <w:color w:val="auto"/>
                <w:spacing w:val="-2"/>
                <w:sz w:val="21"/>
                <w:szCs w:val="21"/>
              </w:rPr>
              <w:t>责人等评审内容要求)；</w:t>
            </w:r>
          </w:p>
          <w:p w14:paraId="025498A1">
            <w:pPr>
              <w:spacing w:before="198" w:line="214" w:lineRule="auto"/>
              <w:ind w:left="109"/>
              <w:rPr>
                <w:rFonts w:hint="eastAsia" w:ascii="宋体" w:hAnsi="宋体" w:eastAsia="宋体" w:cs="宋体"/>
                <w:color w:val="auto"/>
                <w:sz w:val="21"/>
                <w:szCs w:val="21"/>
              </w:rPr>
            </w:pPr>
            <w:r>
              <w:rPr>
                <w:rFonts w:hint="eastAsia" w:ascii="宋体" w:hAnsi="宋体" w:eastAsia="宋体" w:cs="宋体"/>
                <w:color w:val="auto"/>
                <w:spacing w:val="-1"/>
                <w:sz w:val="21"/>
                <w:szCs w:val="21"/>
                <w:highlight w:val="none"/>
              </w:rPr>
              <w:t>2.业绩规模以造价咨询报告的金额</w:t>
            </w:r>
            <w:r>
              <w:rPr>
                <w:rFonts w:hint="eastAsia" w:ascii="宋体" w:hAnsi="宋体" w:eastAsia="宋体" w:cs="宋体"/>
                <w:color w:val="auto"/>
                <w:spacing w:val="-1"/>
                <w:sz w:val="21"/>
                <w:szCs w:val="21"/>
                <w:highlight w:val="none"/>
                <w:lang w:val="en-US" w:eastAsia="zh-CN"/>
              </w:rPr>
              <w:t>为准,业绩</w:t>
            </w:r>
            <w:r>
              <w:rPr>
                <w:rFonts w:hint="eastAsia" w:ascii="宋体" w:hAnsi="宋体" w:eastAsia="宋体" w:cs="宋体"/>
                <w:color w:val="auto"/>
                <w:spacing w:val="-1"/>
                <w:sz w:val="21"/>
                <w:szCs w:val="21"/>
                <w:highlight w:val="none"/>
              </w:rPr>
              <w:t>有效时间</w:t>
            </w:r>
            <w:r>
              <w:rPr>
                <w:rFonts w:hint="eastAsia" w:ascii="宋体" w:hAnsi="宋体" w:eastAsia="宋体" w:cs="宋体"/>
                <w:color w:val="auto"/>
                <w:spacing w:val="-1"/>
                <w:sz w:val="21"/>
                <w:szCs w:val="21"/>
                <w:highlight w:val="none"/>
                <w:lang w:val="en-US" w:eastAsia="zh-CN"/>
              </w:rPr>
              <w:t>以合同签订</w:t>
            </w:r>
            <w:r>
              <w:rPr>
                <w:rFonts w:hint="eastAsia" w:ascii="宋体" w:hAnsi="宋体" w:eastAsia="宋体" w:cs="宋体"/>
                <w:color w:val="auto"/>
                <w:spacing w:val="-1"/>
                <w:sz w:val="21"/>
                <w:szCs w:val="21"/>
                <w:highlight w:val="none"/>
              </w:rPr>
              <w:t>时间为准。</w:t>
            </w:r>
          </w:p>
        </w:tc>
      </w:tr>
    </w:tbl>
    <w:p w14:paraId="5C88A492">
      <w:pPr>
        <w:spacing w:line="243" w:lineRule="auto"/>
        <w:rPr>
          <w:rFonts w:ascii="Arial"/>
          <w:color w:val="auto"/>
          <w:sz w:val="21"/>
        </w:rPr>
      </w:pPr>
    </w:p>
    <w:p w14:paraId="2C606E87">
      <w:pPr>
        <w:spacing w:line="243" w:lineRule="auto"/>
        <w:rPr>
          <w:rFonts w:ascii="Arial"/>
          <w:color w:val="auto"/>
          <w:sz w:val="21"/>
        </w:rPr>
      </w:pPr>
    </w:p>
    <w:p w14:paraId="001167BA">
      <w:pPr>
        <w:spacing w:line="243" w:lineRule="auto"/>
        <w:rPr>
          <w:rFonts w:ascii="Arial"/>
          <w:color w:val="auto"/>
          <w:sz w:val="21"/>
        </w:rPr>
      </w:pPr>
    </w:p>
    <w:p w14:paraId="0FE3261E">
      <w:pPr>
        <w:spacing w:line="243" w:lineRule="auto"/>
        <w:rPr>
          <w:rFonts w:ascii="Arial"/>
          <w:color w:val="auto"/>
          <w:sz w:val="21"/>
        </w:rPr>
      </w:pPr>
    </w:p>
    <w:p w14:paraId="0E2B573C">
      <w:pPr>
        <w:spacing w:line="243" w:lineRule="auto"/>
        <w:rPr>
          <w:rFonts w:ascii="Arial"/>
          <w:color w:val="auto"/>
          <w:sz w:val="21"/>
        </w:rPr>
      </w:pPr>
    </w:p>
    <w:p w14:paraId="375175D3">
      <w:pPr>
        <w:spacing w:line="243" w:lineRule="auto"/>
        <w:rPr>
          <w:rFonts w:ascii="Arial"/>
          <w:color w:val="auto"/>
          <w:sz w:val="21"/>
        </w:rPr>
      </w:pPr>
    </w:p>
    <w:p w14:paraId="5E7D3747">
      <w:pPr>
        <w:spacing w:line="243" w:lineRule="auto"/>
        <w:rPr>
          <w:rFonts w:ascii="Arial"/>
          <w:color w:val="auto"/>
          <w:sz w:val="21"/>
        </w:rPr>
      </w:pPr>
    </w:p>
    <w:p w14:paraId="5444A788">
      <w:pPr>
        <w:spacing w:line="243" w:lineRule="auto"/>
        <w:rPr>
          <w:rFonts w:ascii="Arial"/>
          <w:color w:val="auto"/>
          <w:sz w:val="21"/>
        </w:rPr>
      </w:pPr>
    </w:p>
    <w:p w14:paraId="4031DA1E">
      <w:pPr>
        <w:spacing w:line="244" w:lineRule="auto"/>
        <w:rPr>
          <w:rFonts w:ascii="Arial"/>
          <w:color w:val="auto"/>
          <w:sz w:val="21"/>
        </w:rPr>
      </w:pPr>
    </w:p>
    <w:p w14:paraId="4022CBDD">
      <w:pPr>
        <w:spacing w:line="244" w:lineRule="auto"/>
        <w:rPr>
          <w:rFonts w:ascii="Arial"/>
          <w:color w:val="auto"/>
          <w:sz w:val="21"/>
        </w:rPr>
      </w:pPr>
    </w:p>
    <w:p w14:paraId="064A43F1">
      <w:pPr>
        <w:spacing w:line="244" w:lineRule="auto"/>
        <w:rPr>
          <w:rFonts w:ascii="Arial"/>
          <w:color w:val="auto"/>
          <w:sz w:val="21"/>
        </w:rPr>
      </w:pPr>
    </w:p>
    <w:p w14:paraId="3C21BF2B">
      <w:pPr>
        <w:spacing w:line="244" w:lineRule="auto"/>
        <w:rPr>
          <w:rFonts w:ascii="Arial"/>
          <w:color w:val="auto"/>
          <w:sz w:val="21"/>
        </w:rPr>
      </w:pPr>
    </w:p>
    <w:p w14:paraId="10ED6896">
      <w:pPr>
        <w:spacing w:line="244" w:lineRule="auto"/>
        <w:rPr>
          <w:rFonts w:ascii="Arial"/>
          <w:color w:val="auto"/>
          <w:sz w:val="21"/>
        </w:rPr>
      </w:pPr>
    </w:p>
    <w:p w14:paraId="3C88B7C8">
      <w:pPr>
        <w:spacing w:line="244" w:lineRule="auto"/>
        <w:rPr>
          <w:rFonts w:ascii="Arial"/>
          <w:color w:val="auto"/>
          <w:sz w:val="21"/>
        </w:rPr>
      </w:pPr>
    </w:p>
    <w:p w14:paraId="5D3279FA">
      <w:pPr>
        <w:spacing w:line="244" w:lineRule="auto"/>
        <w:rPr>
          <w:rFonts w:ascii="Arial"/>
          <w:color w:val="auto"/>
          <w:sz w:val="21"/>
        </w:rPr>
      </w:pPr>
    </w:p>
    <w:p w14:paraId="7B3F64CE">
      <w:pPr>
        <w:spacing w:line="244" w:lineRule="auto"/>
        <w:rPr>
          <w:rFonts w:ascii="Arial"/>
          <w:color w:val="auto"/>
          <w:sz w:val="21"/>
        </w:rPr>
      </w:pPr>
    </w:p>
    <w:p w14:paraId="1CC16E7E">
      <w:pPr>
        <w:spacing w:line="244" w:lineRule="auto"/>
        <w:rPr>
          <w:rFonts w:ascii="Arial"/>
          <w:color w:val="auto"/>
          <w:sz w:val="21"/>
        </w:rPr>
      </w:pPr>
    </w:p>
    <w:p w14:paraId="2A34AA66">
      <w:pPr>
        <w:spacing w:line="244" w:lineRule="auto"/>
        <w:rPr>
          <w:rFonts w:ascii="Arial"/>
          <w:color w:val="auto"/>
          <w:sz w:val="21"/>
        </w:rPr>
      </w:pPr>
    </w:p>
    <w:p w14:paraId="4FC6D8AD">
      <w:pPr>
        <w:spacing w:line="244" w:lineRule="auto"/>
        <w:rPr>
          <w:rFonts w:ascii="Arial"/>
          <w:color w:val="auto"/>
          <w:sz w:val="21"/>
        </w:rPr>
      </w:pPr>
    </w:p>
    <w:p w14:paraId="4A27AA36">
      <w:pPr>
        <w:spacing w:line="244" w:lineRule="auto"/>
        <w:rPr>
          <w:rFonts w:ascii="Arial"/>
          <w:color w:val="auto"/>
          <w:sz w:val="21"/>
        </w:rPr>
      </w:pPr>
    </w:p>
    <w:p w14:paraId="4DF50190">
      <w:pPr>
        <w:spacing w:line="244" w:lineRule="auto"/>
        <w:rPr>
          <w:rFonts w:ascii="Arial"/>
          <w:color w:val="auto"/>
          <w:sz w:val="21"/>
        </w:rPr>
      </w:pPr>
    </w:p>
    <w:p w14:paraId="18068F99">
      <w:pPr>
        <w:spacing w:line="264" w:lineRule="auto"/>
        <w:rPr>
          <w:rFonts w:ascii="宋体" w:hAnsi="宋体" w:eastAsia="宋体" w:cs="宋体"/>
          <w:color w:val="auto"/>
          <w:sz w:val="18"/>
          <w:szCs w:val="18"/>
        </w:rPr>
        <w:sectPr>
          <w:headerReference r:id="rId5" w:type="default"/>
          <w:footerReference r:id="rId6" w:type="default"/>
          <w:pgSz w:w="11909" w:h="16839"/>
          <w:pgMar w:top="1152" w:right="1498" w:bottom="1254" w:left="1560" w:header="874" w:footer="1089" w:gutter="0"/>
          <w:pgNumType w:fmt="decimal"/>
          <w:cols w:space="720" w:num="1"/>
        </w:sectPr>
      </w:pPr>
    </w:p>
    <w:p w14:paraId="1E546A39">
      <w:pPr>
        <w:spacing w:line="244" w:lineRule="auto"/>
        <w:rPr>
          <w:rFonts w:ascii="Arial"/>
          <w:color w:val="auto"/>
          <w:sz w:val="21"/>
        </w:rPr>
      </w:pPr>
    </w:p>
    <w:p w14:paraId="3AD8F8AB">
      <w:pPr>
        <w:pStyle w:val="2"/>
        <w:spacing w:before="94" w:line="224" w:lineRule="auto"/>
        <w:ind w:left="1881"/>
        <w:outlineLvl w:val="1"/>
        <w:rPr>
          <w:color w:val="auto"/>
          <w:sz w:val="14"/>
          <w:szCs w:val="14"/>
        </w:rPr>
      </w:pPr>
      <w:r>
        <w:rPr>
          <w:i/>
          <w:iCs/>
          <w:color w:val="auto"/>
          <w:spacing w:val="-1"/>
          <w:sz w:val="29"/>
          <w:szCs w:val="29"/>
        </w:rPr>
        <w:t>附录</w:t>
      </w:r>
      <w:r>
        <w:rPr>
          <w:rFonts w:ascii="宋体" w:hAnsi="宋体" w:eastAsia="宋体" w:cs="宋体"/>
          <w:i/>
          <w:iCs/>
          <w:color w:val="auto"/>
          <w:spacing w:val="-1"/>
          <w:sz w:val="29"/>
          <w:szCs w:val="29"/>
        </w:rPr>
        <w:t>3</w:t>
      </w:r>
      <w:r>
        <w:rPr>
          <w:rFonts w:ascii="宋体" w:hAnsi="宋体" w:eastAsia="宋体" w:cs="宋体"/>
          <w:color w:val="auto"/>
          <w:spacing w:val="82"/>
          <w:sz w:val="29"/>
          <w:szCs w:val="29"/>
        </w:rPr>
        <w:t xml:space="preserve"> </w:t>
      </w:r>
      <w:r>
        <w:rPr>
          <w:i/>
          <w:iCs/>
          <w:color w:val="auto"/>
          <w:spacing w:val="-1"/>
          <w:sz w:val="29"/>
          <w:szCs w:val="29"/>
        </w:rPr>
        <w:t>资格审查条件（信誉最低要求）</w:t>
      </w:r>
      <w:r>
        <w:rPr>
          <w:i/>
          <w:iCs/>
          <w:color w:val="auto"/>
          <w:spacing w:val="-1"/>
          <w:position w:val="13"/>
          <w:sz w:val="14"/>
          <w:szCs w:val="14"/>
        </w:rPr>
        <w:t>①</w:t>
      </w:r>
    </w:p>
    <w:p w14:paraId="58EF04B1">
      <w:pPr>
        <w:spacing w:before="26"/>
        <w:rPr>
          <w:color w:val="auto"/>
        </w:rPr>
      </w:pPr>
    </w:p>
    <w:tbl>
      <w:tblPr>
        <w:tblStyle w:val="8"/>
        <w:tblW w:w="882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6"/>
      </w:tblGrid>
      <w:tr w14:paraId="3297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8826" w:type="dxa"/>
            <w:vAlign w:val="top"/>
          </w:tcPr>
          <w:p w14:paraId="141B5F59">
            <w:pPr>
              <w:spacing w:line="390" w:lineRule="auto"/>
              <w:rPr>
                <w:rFonts w:ascii="Arial"/>
                <w:color w:val="auto"/>
                <w:sz w:val="21"/>
              </w:rPr>
            </w:pPr>
          </w:p>
          <w:p w14:paraId="1336687C">
            <w:pPr>
              <w:spacing w:before="69" w:line="220" w:lineRule="auto"/>
              <w:ind w:left="3835"/>
              <w:rPr>
                <w:rFonts w:ascii="宋体" w:hAnsi="宋体" w:eastAsia="宋体" w:cs="宋体"/>
                <w:color w:val="auto"/>
                <w:sz w:val="21"/>
                <w:szCs w:val="21"/>
              </w:rPr>
            </w:pPr>
            <w:r>
              <w:rPr>
                <w:rFonts w:ascii="宋体" w:hAnsi="宋体" w:eastAsia="宋体" w:cs="宋体"/>
                <w:color w:val="auto"/>
                <w:spacing w:val="-6"/>
                <w:sz w:val="21"/>
                <w:szCs w:val="21"/>
              </w:rPr>
              <w:t>信</w:t>
            </w:r>
            <w:r>
              <w:rPr>
                <w:rFonts w:ascii="宋体" w:hAnsi="宋体" w:eastAsia="宋体" w:cs="宋体"/>
                <w:color w:val="auto"/>
                <w:spacing w:val="9"/>
                <w:sz w:val="21"/>
                <w:szCs w:val="21"/>
              </w:rPr>
              <w:t xml:space="preserve"> </w:t>
            </w:r>
            <w:r>
              <w:rPr>
                <w:rFonts w:ascii="宋体" w:hAnsi="宋体" w:eastAsia="宋体" w:cs="宋体"/>
                <w:color w:val="auto"/>
                <w:spacing w:val="-6"/>
                <w:sz w:val="21"/>
                <w:szCs w:val="21"/>
              </w:rPr>
              <w:t>誉</w:t>
            </w:r>
            <w:r>
              <w:rPr>
                <w:rFonts w:ascii="宋体" w:hAnsi="宋体" w:eastAsia="宋体" w:cs="宋体"/>
                <w:color w:val="auto"/>
                <w:spacing w:val="10"/>
                <w:sz w:val="21"/>
                <w:szCs w:val="21"/>
              </w:rPr>
              <w:t xml:space="preserve"> </w:t>
            </w:r>
            <w:r>
              <w:rPr>
                <w:rFonts w:ascii="宋体" w:hAnsi="宋体" w:eastAsia="宋体" w:cs="宋体"/>
                <w:color w:val="auto"/>
                <w:spacing w:val="-6"/>
                <w:sz w:val="21"/>
                <w:szCs w:val="21"/>
              </w:rPr>
              <w:t>要</w:t>
            </w:r>
            <w:r>
              <w:rPr>
                <w:rFonts w:ascii="宋体" w:hAnsi="宋体" w:eastAsia="宋体" w:cs="宋体"/>
                <w:color w:val="auto"/>
                <w:spacing w:val="11"/>
                <w:sz w:val="21"/>
                <w:szCs w:val="21"/>
              </w:rPr>
              <w:t xml:space="preserve"> </w:t>
            </w:r>
            <w:r>
              <w:rPr>
                <w:rFonts w:ascii="宋体" w:hAnsi="宋体" w:eastAsia="宋体" w:cs="宋体"/>
                <w:color w:val="auto"/>
                <w:spacing w:val="-6"/>
                <w:sz w:val="21"/>
                <w:szCs w:val="21"/>
              </w:rPr>
              <w:t>求</w:t>
            </w:r>
          </w:p>
        </w:tc>
      </w:tr>
      <w:tr w14:paraId="78F18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1" w:hRule="atLeast"/>
        </w:trPr>
        <w:tc>
          <w:tcPr>
            <w:tcW w:w="8826" w:type="dxa"/>
            <w:vAlign w:val="top"/>
          </w:tcPr>
          <w:p w14:paraId="20694E31">
            <w:pPr>
              <w:spacing w:before="239" w:line="233" w:lineRule="auto"/>
              <w:ind w:left="105"/>
              <w:jc w:val="center"/>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w:t>
            </w:r>
          </w:p>
        </w:tc>
      </w:tr>
    </w:tbl>
    <w:p w14:paraId="6F11CE85">
      <w:pPr>
        <w:spacing w:line="244" w:lineRule="auto"/>
        <w:rPr>
          <w:rFonts w:ascii="Arial"/>
          <w:color w:val="auto"/>
          <w:sz w:val="21"/>
        </w:rPr>
      </w:pPr>
    </w:p>
    <w:p w14:paraId="35939BB5">
      <w:pPr>
        <w:spacing w:line="244" w:lineRule="auto"/>
        <w:rPr>
          <w:rFonts w:ascii="Arial"/>
          <w:color w:val="auto"/>
          <w:sz w:val="21"/>
        </w:rPr>
      </w:pPr>
    </w:p>
    <w:p w14:paraId="3EC7A15A">
      <w:pPr>
        <w:spacing w:line="244" w:lineRule="auto"/>
        <w:rPr>
          <w:rFonts w:ascii="Arial"/>
          <w:color w:val="auto"/>
          <w:sz w:val="21"/>
        </w:rPr>
      </w:pPr>
    </w:p>
    <w:p w14:paraId="4D621D12">
      <w:pPr>
        <w:spacing w:line="244" w:lineRule="auto"/>
        <w:rPr>
          <w:rFonts w:ascii="Arial"/>
          <w:color w:val="auto"/>
          <w:sz w:val="21"/>
        </w:rPr>
      </w:pPr>
    </w:p>
    <w:p w14:paraId="67C2B353">
      <w:pPr>
        <w:spacing w:line="244" w:lineRule="auto"/>
        <w:rPr>
          <w:rFonts w:ascii="Arial"/>
          <w:color w:val="auto"/>
          <w:sz w:val="21"/>
        </w:rPr>
      </w:pPr>
    </w:p>
    <w:p w14:paraId="5C3CD423">
      <w:pPr>
        <w:spacing w:line="244" w:lineRule="auto"/>
        <w:rPr>
          <w:rFonts w:ascii="Arial"/>
          <w:color w:val="auto"/>
          <w:sz w:val="21"/>
        </w:rPr>
      </w:pPr>
    </w:p>
    <w:p w14:paraId="6E1AE2A5">
      <w:pPr>
        <w:spacing w:line="244" w:lineRule="auto"/>
        <w:rPr>
          <w:rFonts w:ascii="Arial"/>
          <w:color w:val="auto"/>
          <w:sz w:val="21"/>
        </w:rPr>
      </w:pPr>
    </w:p>
    <w:p w14:paraId="7298AE6A">
      <w:pPr>
        <w:spacing w:line="244" w:lineRule="auto"/>
        <w:rPr>
          <w:rFonts w:ascii="Arial"/>
          <w:color w:val="auto"/>
          <w:sz w:val="21"/>
        </w:rPr>
      </w:pPr>
    </w:p>
    <w:p w14:paraId="200FCA8F">
      <w:pPr>
        <w:spacing w:line="244" w:lineRule="auto"/>
        <w:rPr>
          <w:rFonts w:ascii="Arial"/>
          <w:color w:val="auto"/>
          <w:sz w:val="21"/>
        </w:rPr>
      </w:pPr>
    </w:p>
    <w:p w14:paraId="410BFFE1">
      <w:pPr>
        <w:spacing w:line="244" w:lineRule="auto"/>
        <w:rPr>
          <w:rFonts w:ascii="Arial"/>
          <w:color w:val="auto"/>
          <w:sz w:val="21"/>
        </w:rPr>
      </w:pPr>
    </w:p>
    <w:p w14:paraId="60904B42">
      <w:pPr>
        <w:spacing w:line="244" w:lineRule="auto"/>
        <w:rPr>
          <w:rFonts w:ascii="Arial"/>
          <w:color w:val="auto"/>
          <w:sz w:val="21"/>
        </w:rPr>
      </w:pPr>
    </w:p>
    <w:p w14:paraId="210ACD2B">
      <w:pPr>
        <w:spacing w:line="244" w:lineRule="auto"/>
        <w:rPr>
          <w:rFonts w:ascii="Arial"/>
          <w:color w:val="auto"/>
          <w:sz w:val="21"/>
        </w:rPr>
      </w:pPr>
    </w:p>
    <w:p w14:paraId="10E38252">
      <w:pPr>
        <w:spacing w:line="244" w:lineRule="auto"/>
        <w:rPr>
          <w:rFonts w:ascii="Arial"/>
          <w:color w:val="auto"/>
          <w:sz w:val="21"/>
        </w:rPr>
      </w:pPr>
    </w:p>
    <w:p w14:paraId="54050230">
      <w:pPr>
        <w:spacing w:line="244" w:lineRule="auto"/>
        <w:rPr>
          <w:rFonts w:ascii="Arial"/>
          <w:color w:val="auto"/>
          <w:sz w:val="21"/>
        </w:rPr>
      </w:pPr>
    </w:p>
    <w:p w14:paraId="6271A5F5">
      <w:pPr>
        <w:spacing w:line="244" w:lineRule="auto"/>
        <w:rPr>
          <w:rFonts w:ascii="Arial"/>
          <w:color w:val="auto"/>
          <w:sz w:val="21"/>
        </w:rPr>
      </w:pPr>
    </w:p>
    <w:p w14:paraId="6872E1A8">
      <w:pPr>
        <w:spacing w:line="244" w:lineRule="auto"/>
        <w:rPr>
          <w:rFonts w:ascii="Arial"/>
          <w:color w:val="auto"/>
          <w:sz w:val="21"/>
        </w:rPr>
      </w:pPr>
    </w:p>
    <w:p w14:paraId="12BF47CE">
      <w:pPr>
        <w:spacing w:line="244" w:lineRule="auto"/>
        <w:rPr>
          <w:rFonts w:ascii="Arial"/>
          <w:color w:val="auto"/>
          <w:sz w:val="21"/>
        </w:rPr>
      </w:pPr>
    </w:p>
    <w:p w14:paraId="102A3E59">
      <w:pPr>
        <w:spacing w:line="244" w:lineRule="auto"/>
        <w:rPr>
          <w:rFonts w:ascii="Arial"/>
          <w:color w:val="auto"/>
          <w:sz w:val="21"/>
        </w:rPr>
      </w:pPr>
    </w:p>
    <w:p w14:paraId="2B6CC243">
      <w:pPr>
        <w:spacing w:line="244" w:lineRule="auto"/>
        <w:rPr>
          <w:rFonts w:ascii="Arial"/>
          <w:color w:val="auto"/>
          <w:sz w:val="21"/>
        </w:rPr>
      </w:pPr>
    </w:p>
    <w:p w14:paraId="6B3E4791">
      <w:pPr>
        <w:spacing w:line="244" w:lineRule="auto"/>
        <w:rPr>
          <w:rFonts w:ascii="Arial"/>
          <w:color w:val="auto"/>
          <w:sz w:val="21"/>
        </w:rPr>
      </w:pPr>
    </w:p>
    <w:p w14:paraId="4E14E3C4">
      <w:pPr>
        <w:spacing w:line="244" w:lineRule="auto"/>
        <w:rPr>
          <w:rFonts w:ascii="Arial"/>
          <w:color w:val="auto"/>
          <w:sz w:val="21"/>
        </w:rPr>
      </w:pPr>
    </w:p>
    <w:p w14:paraId="5E80E75D">
      <w:pPr>
        <w:spacing w:line="244" w:lineRule="auto"/>
        <w:rPr>
          <w:rFonts w:ascii="Arial"/>
          <w:color w:val="auto"/>
          <w:sz w:val="21"/>
        </w:rPr>
      </w:pPr>
    </w:p>
    <w:p w14:paraId="1EF7E71E">
      <w:pPr>
        <w:spacing w:line="244" w:lineRule="auto"/>
        <w:rPr>
          <w:rFonts w:ascii="Arial"/>
          <w:color w:val="auto"/>
          <w:sz w:val="21"/>
        </w:rPr>
      </w:pPr>
    </w:p>
    <w:p w14:paraId="558C3F06">
      <w:pPr>
        <w:spacing w:line="244" w:lineRule="auto"/>
        <w:rPr>
          <w:rFonts w:ascii="Arial"/>
          <w:color w:val="auto"/>
          <w:sz w:val="21"/>
        </w:rPr>
      </w:pPr>
    </w:p>
    <w:p w14:paraId="456204D7">
      <w:pPr>
        <w:spacing w:line="244" w:lineRule="auto"/>
        <w:rPr>
          <w:rFonts w:ascii="Arial"/>
          <w:color w:val="auto"/>
          <w:sz w:val="21"/>
        </w:rPr>
      </w:pPr>
    </w:p>
    <w:p w14:paraId="62B325CB">
      <w:pPr>
        <w:spacing w:line="244" w:lineRule="auto"/>
        <w:rPr>
          <w:rFonts w:ascii="Arial"/>
          <w:color w:val="auto"/>
          <w:sz w:val="21"/>
        </w:rPr>
      </w:pPr>
    </w:p>
    <w:p w14:paraId="26464916">
      <w:pPr>
        <w:spacing w:line="244" w:lineRule="auto"/>
        <w:rPr>
          <w:rFonts w:ascii="Arial"/>
          <w:color w:val="auto"/>
          <w:sz w:val="21"/>
        </w:rPr>
      </w:pPr>
    </w:p>
    <w:p w14:paraId="68F3E50D">
      <w:pPr>
        <w:spacing w:line="244" w:lineRule="auto"/>
        <w:rPr>
          <w:rFonts w:ascii="Arial"/>
          <w:color w:val="auto"/>
          <w:sz w:val="21"/>
        </w:rPr>
      </w:pPr>
    </w:p>
    <w:p w14:paraId="1F107F19">
      <w:pPr>
        <w:spacing w:line="245" w:lineRule="auto"/>
        <w:rPr>
          <w:rFonts w:ascii="Arial"/>
          <w:color w:val="auto"/>
          <w:sz w:val="21"/>
        </w:rPr>
      </w:pPr>
    </w:p>
    <w:p w14:paraId="4C168899">
      <w:pPr>
        <w:spacing w:before="59" w:line="229" w:lineRule="auto"/>
        <w:ind w:left="35" w:right="23" w:hanging="4"/>
        <w:rPr>
          <w:rFonts w:ascii="宋体" w:hAnsi="宋体" w:eastAsia="宋体" w:cs="宋体"/>
          <w:color w:val="auto"/>
          <w:sz w:val="18"/>
          <w:szCs w:val="18"/>
        </w:rPr>
      </w:pPr>
      <w:r>
        <w:rPr>
          <w:rFonts w:ascii="宋体" w:hAnsi="宋体" w:eastAsia="宋体" w:cs="宋体"/>
          <w:color w:val="auto"/>
          <w:spacing w:val="-1"/>
          <w:position w:val="6"/>
          <w:sz w:val="9"/>
          <w:szCs w:val="9"/>
        </w:rPr>
        <w:t>①</w:t>
      </w:r>
      <w:r>
        <w:rPr>
          <w:rFonts w:ascii="宋体" w:hAnsi="宋体" w:eastAsia="宋体" w:cs="宋体"/>
          <w:color w:val="auto"/>
          <w:spacing w:val="-1"/>
          <w:sz w:val="18"/>
          <w:szCs w:val="18"/>
        </w:rPr>
        <w:t>具体信誉要求由招标人在满足国家相关法律法规前提下，</w:t>
      </w:r>
      <w:r>
        <w:rPr>
          <w:rFonts w:ascii="宋体" w:hAnsi="宋体" w:eastAsia="宋体" w:cs="宋体"/>
          <w:color w:val="auto"/>
          <w:spacing w:val="-2"/>
          <w:sz w:val="18"/>
          <w:szCs w:val="18"/>
        </w:rPr>
        <w:t>根据招标项目具体特点和实际情况确定，</w:t>
      </w:r>
      <w:r>
        <w:rPr>
          <w:rFonts w:ascii="宋体" w:hAnsi="宋体" w:eastAsia="宋体" w:cs="宋体"/>
          <w:color w:val="auto"/>
          <w:spacing w:val="-33"/>
          <w:sz w:val="18"/>
          <w:szCs w:val="18"/>
        </w:rPr>
        <w:t xml:space="preserve"> </w:t>
      </w:r>
      <w:r>
        <w:rPr>
          <w:rFonts w:ascii="宋体" w:hAnsi="宋体" w:eastAsia="宋体" w:cs="宋体"/>
          <w:color w:val="auto"/>
          <w:spacing w:val="-2"/>
          <w:sz w:val="18"/>
          <w:szCs w:val="18"/>
        </w:rPr>
        <w:t>但不得与</w:t>
      </w:r>
      <w:r>
        <w:rPr>
          <w:rFonts w:ascii="Times New Roman" w:hAnsi="Times New Roman" w:eastAsia="Times New Roman" w:cs="Times New Roman"/>
          <w:color w:val="auto"/>
          <w:spacing w:val="-2"/>
          <w:sz w:val="18"/>
          <w:szCs w:val="18"/>
        </w:rPr>
        <w:t>“</w:t>
      </w:r>
      <w:r>
        <w:rPr>
          <w:rFonts w:ascii="宋体" w:hAnsi="宋体" w:eastAsia="宋体" w:cs="宋体"/>
          <w:color w:val="auto"/>
          <w:spacing w:val="-2"/>
          <w:sz w:val="18"/>
          <w:szCs w:val="18"/>
        </w:rPr>
        <w:t>投</w:t>
      </w:r>
      <w:r>
        <w:rPr>
          <w:rFonts w:ascii="宋体" w:hAnsi="宋体" w:eastAsia="宋体" w:cs="宋体"/>
          <w:color w:val="auto"/>
          <w:sz w:val="18"/>
          <w:szCs w:val="18"/>
        </w:rPr>
        <w:t xml:space="preserve"> </w:t>
      </w:r>
      <w:r>
        <w:rPr>
          <w:rFonts w:ascii="宋体" w:hAnsi="宋体" w:eastAsia="宋体" w:cs="宋体"/>
          <w:color w:val="auto"/>
          <w:spacing w:val="-1"/>
          <w:sz w:val="18"/>
          <w:szCs w:val="18"/>
        </w:rPr>
        <w:t>标人须知</w:t>
      </w:r>
      <w:r>
        <w:rPr>
          <w:rFonts w:ascii="Times New Roman" w:hAnsi="Times New Roman" w:eastAsia="Times New Roman" w:cs="Times New Roman"/>
          <w:color w:val="auto"/>
          <w:spacing w:val="-1"/>
          <w:sz w:val="18"/>
          <w:szCs w:val="18"/>
        </w:rPr>
        <w:t>”</w:t>
      </w:r>
      <w:r>
        <w:rPr>
          <w:rFonts w:ascii="宋体" w:hAnsi="宋体" w:eastAsia="宋体" w:cs="宋体"/>
          <w:color w:val="auto"/>
          <w:spacing w:val="-1"/>
          <w:sz w:val="18"/>
          <w:szCs w:val="18"/>
        </w:rPr>
        <w:t>第</w:t>
      </w:r>
      <w:r>
        <w:rPr>
          <w:rFonts w:ascii="宋体" w:hAnsi="宋体" w:eastAsia="宋体" w:cs="宋体"/>
          <w:color w:val="auto"/>
          <w:spacing w:val="-25"/>
          <w:sz w:val="18"/>
          <w:szCs w:val="18"/>
        </w:rPr>
        <w:t xml:space="preserve"> </w:t>
      </w:r>
      <w:r>
        <w:rPr>
          <w:rFonts w:ascii="Times New Roman" w:hAnsi="Times New Roman" w:eastAsia="Times New Roman" w:cs="Times New Roman"/>
          <w:color w:val="auto"/>
          <w:spacing w:val="-1"/>
          <w:sz w:val="18"/>
          <w:szCs w:val="18"/>
        </w:rPr>
        <w:t xml:space="preserve">1.4.4 </w:t>
      </w:r>
      <w:r>
        <w:rPr>
          <w:rFonts w:ascii="宋体" w:hAnsi="宋体" w:eastAsia="宋体" w:cs="宋体"/>
          <w:color w:val="auto"/>
          <w:spacing w:val="-1"/>
          <w:sz w:val="18"/>
          <w:szCs w:val="18"/>
        </w:rPr>
        <w:t>项规定的内容重</w:t>
      </w:r>
      <w:r>
        <w:rPr>
          <w:rFonts w:ascii="宋体" w:hAnsi="宋体" w:eastAsia="宋体" w:cs="宋体"/>
          <w:color w:val="auto"/>
          <w:spacing w:val="-2"/>
          <w:sz w:val="18"/>
          <w:szCs w:val="18"/>
        </w:rPr>
        <w:t>复。</w:t>
      </w:r>
    </w:p>
    <w:p w14:paraId="373FEE3E">
      <w:pPr>
        <w:spacing w:line="229" w:lineRule="auto"/>
        <w:rPr>
          <w:rFonts w:ascii="宋体" w:hAnsi="宋体" w:eastAsia="宋体" w:cs="宋体"/>
          <w:color w:val="auto"/>
          <w:sz w:val="18"/>
          <w:szCs w:val="18"/>
        </w:rPr>
        <w:sectPr>
          <w:footerReference r:id="rId7" w:type="default"/>
          <w:pgSz w:w="11909" w:h="16839"/>
          <w:pgMar w:top="1152" w:right="1498" w:bottom="1254" w:left="1560" w:header="874" w:footer="1089" w:gutter="0"/>
          <w:pgNumType w:fmt="decimal"/>
          <w:cols w:space="720" w:num="1"/>
        </w:sectPr>
      </w:pPr>
    </w:p>
    <w:p w14:paraId="0D7335E5">
      <w:pPr>
        <w:spacing w:line="243" w:lineRule="auto"/>
        <w:rPr>
          <w:rFonts w:ascii="Arial"/>
          <w:color w:val="auto"/>
          <w:sz w:val="21"/>
        </w:rPr>
      </w:pPr>
      <w:r>
        <w:rPr>
          <w:color w:val="auto"/>
        </w:rPr>
        <mc:AlternateContent>
          <mc:Choice Requires="wps">
            <w:drawing>
              <wp:anchor distT="0" distB="0" distL="114300" distR="114300" simplePos="0" relativeHeight="251661312" behindDoc="0" locked="0" layoutInCell="0" allowOverlap="1">
                <wp:simplePos x="0" y="0"/>
                <wp:positionH relativeFrom="page">
                  <wp:posOffset>1009015</wp:posOffset>
                </wp:positionH>
                <wp:positionV relativeFrom="page">
                  <wp:posOffset>9121775</wp:posOffset>
                </wp:positionV>
                <wp:extent cx="1830070"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1830070" cy="9525"/>
                        </a:xfrm>
                        <a:custGeom>
                          <a:avLst/>
                          <a:gdLst/>
                          <a:ahLst/>
                          <a:cxnLst/>
                          <a:pathLst>
                            <a:path w="2882" h="15">
                              <a:moveTo>
                                <a:pt x="0" y="14"/>
                              </a:moveTo>
                              <a:lnTo>
                                <a:pt x="2881" y="14"/>
                              </a:lnTo>
                              <a:lnTo>
                                <a:pt x="2881"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45pt;margin-top:718.25pt;height:0.75pt;width:144.1pt;mso-position-horizontal-relative:page;mso-position-vertical-relative:page;z-index:251661312;mso-width-relative:page;mso-height-relative:page;" fillcolor="#000000" filled="t" stroked="f" coordsize="2882,15" o:allowincell="f" o:gfxdata="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5KUmS3AAAAA0BAAAP&#10;AAAAAAAAAAEAIAAAACIAAABkcnMvZG93bnJldi54bWxQSwECFAAUAAAACACHTuJAJB6PShQCAAB8&#10;BAAADgAAAAAAAAABACAAAAArAQAAZHJzL2Uyb0RvYy54bWxQSwUGAAAAAAYABgBZAQAAsQUAAAAA&#10;" path="m0,14l2881,14,2881,0,0,0,0,14xe">
                <v:fill on="t" focussize="0,0"/>
                <v:stroke on="f"/>
                <v:imagedata o:title=""/>
                <o:lock v:ext="edit" aspectratio="f"/>
              </v:shape>
            </w:pict>
          </mc:Fallback>
        </mc:AlternateContent>
      </w:r>
    </w:p>
    <w:p w14:paraId="4F8974A6">
      <w:pPr>
        <w:spacing w:line="244" w:lineRule="auto"/>
        <w:rPr>
          <w:rFonts w:ascii="Arial"/>
          <w:color w:val="auto"/>
          <w:sz w:val="21"/>
        </w:rPr>
      </w:pPr>
    </w:p>
    <w:p w14:paraId="2DB89442">
      <w:pPr>
        <w:spacing w:line="244" w:lineRule="auto"/>
        <w:rPr>
          <w:rFonts w:ascii="Arial"/>
          <w:color w:val="auto"/>
          <w:sz w:val="21"/>
        </w:rPr>
      </w:pPr>
    </w:p>
    <w:p w14:paraId="6F13B5D6">
      <w:pPr>
        <w:spacing w:line="244" w:lineRule="auto"/>
        <w:rPr>
          <w:rFonts w:ascii="Arial"/>
          <w:color w:val="auto"/>
          <w:sz w:val="21"/>
        </w:rPr>
      </w:pPr>
    </w:p>
    <w:p w14:paraId="2BC57109">
      <w:pPr>
        <w:pStyle w:val="2"/>
        <w:spacing w:before="94" w:line="223" w:lineRule="auto"/>
        <w:ind w:left="1458"/>
        <w:outlineLvl w:val="1"/>
        <w:rPr>
          <w:color w:val="auto"/>
          <w:sz w:val="14"/>
          <w:szCs w:val="14"/>
        </w:rPr>
      </w:pPr>
      <w:r>
        <w:rPr>
          <w:i/>
          <w:iCs/>
          <w:color w:val="auto"/>
          <w:spacing w:val="-4"/>
          <w:sz w:val="29"/>
          <w:szCs w:val="29"/>
        </w:rPr>
        <w:t>附录</w:t>
      </w:r>
      <w:r>
        <w:rPr>
          <w:rFonts w:ascii="宋体" w:hAnsi="宋体" w:eastAsia="宋体" w:cs="宋体"/>
          <w:i/>
          <w:iCs/>
          <w:color w:val="auto"/>
          <w:spacing w:val="-4"/>
          <w:sz w:val="29"/>
          <w:szCs w:val="29"/>
        </w:rPr>
        <w:t>4</w:t>
      </w:r>
      <w:r>
        <w:rPr>
          <w:rFonts w:ascii="宋体" w:hAnsi="宋体" w:eastAsia="宋体" w:cs="宋体"/>
          <w:color w:val="auto"/>
          <w:spacing w:val="76"/>
          <w:sz w:val="29"/>
          <w:szCs w:val="29"/>
        </w:rPr>
        <w:t xml:space="preserve"> </w:t>
      </w:r>
      <w:r>
        <w:rPr>
          <w:i/>
          <w:iCs/>
          <w:color w:val="auto"/>
          <w:spacing w:val="-4"/>
          <w:sz w:val="29"/>
          <w:szCs w:val="29"/>
        </w:rPr>
        <w:t>资格审查条件（项目负责人最低要求）</w:t>
      </w:r>
      <w:r>
        <w:rPr>
          <w:color w:val="auto"/>
          <w:spacing w:val="-103"/>
          <w:sz w:val="29"/>
          <w:szCs w:val="29"/>
        </w:rPr>
        <w:t xml:space="preserve"> </w:t>
      </w:r>
      <w:r>
        <w:rPr>
          <w:i/>
          <w:iCs/>
          <w:color w:val="auto"/>
          <w:spacing w:val="-4"/>
          <w:position w:val="13"/>
          <w:sz w:val="14"/>
          <w:szCs w:val="14"/>
        </w:rPr>
        <w:t>①</w:t>
      </w:r>
    </w:p>
    <w:p w14:paraId="1002CBFD">
      <w:pPr>
        <w:spacing w:before="111"/>
        <w:rPr>
          <w:color w:val="auto"/>
        </w:rPr>
      </w:pPr>
    </w:p>
    <w:p w14:paraId="6242430D">
      <w:pPr>
        <w:spacing w:before="111"/>
        <w:rPr>
          <w:color w:val="auto"/>
        </w:rPr>
      </w:pPr>
    </w:p>
    <w:tbl>
      <w:tblPr>
        <w:tblStyle w:val="8"/>
        <w:tblW w:w="8787"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5"/>
        <w:gridCol w:w="1747"/>
        <w:gridCol w:w="4895"/>
      </w:tblGrid>
      <w:tr w14:paraId="709E7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145" w:type="dxa"/>
            <w:vAlign w:val="top"/>
          </w:tcPr>
          <w:p w14:paraId="3405B3A9">
            <w:pPr>
              <w:spacing w:before="202" w:line="222" w:lineRule="auto"/>
              <w:ind w:left="763"/>
              <w:rPr>
                <w:rFonts w:hint="eastAsia" w:ascii="宋体" w:hAnsi="宋体" w:eastAsia="宋体" w:cs="宋体"/>
                <w:color w:val="auto"/>
                <w:sz w:val="21"/>
                <w:szCs w:val="21"/>
              </w:rPr>
            </w:pPr>
            <w:r>
              <w:rPr>
                <w:rFonts w:hint="eastAsia" w:ascii="宋体" w:hAnsi="宋体" w:eastAsia="宋体" w:cs="宋体"/>
                <w:color w:val="auto"/>
                <w:spacing w:val="-5"/>
                <w:sz w:val="21"/>
                <w:szCs w:val="21"/>
              </w:rPr>
              <w:t>人</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5"/>
                <w:sz w:val="21"/>
                <w:szCs w:val="21"/>
              </w:rPr>
              <w:t>员</w:t>
            </w:r>
          </w:p>
        </w:tc>
        <w:tc>
          <w:tcPr>
            <w:tcW w:w="1747" w:type="dxa"/>
            <w:vAlign w:val="top"/>
          </w:tcPr>
          <w:p w14:paraId="28031795">
            <w:pPr>
              <w:spacing w:before="201" w:line="221" w:lineRule="auto"/>
              <w:ind w:left="563"/>
              <w:rPr>
                <w:rFonts w:hint="eastAsia" w:ascii="宋体" w:hAnsi="宋体" w:eastAsia="宋体" w:cs="宋体"/>
                <w:color w:val="auto"/>
                <w:sz w:val="21"/>
                <w:szCs w:val="21"/>
              </w:rPr>
            </w:pPr>
            <w:r>
              <w:rPr>
                <w:rFonts w:hint="eastAsia" w:ascii="宋体" w:hAnsi="宋体" w:eastAsia="宋体" w:cs="宋体"/>
                <w:color w:val="auto"/>
                <w:spacing w:val="-5"/>
                <w:sz w:val="21"/>
                <w:szCs w:val="21"/>
              </w:rPr>
              <w:t>数</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5"/>
                <w:sz w:val="21"/>
                <w:szCs w:val="21"/>
              </w:rPr>
              <w:t>量</w:t>
            </w:r>
          </w:p>
        </w:tc>
        <w:tc>
          <w:tcPr>
            <w:tcW w:w="4895" w:type="dxa"/>
            <w:vAlign w:val="top"/>
          </w:tcPr>
          <w:p w14:paraId="2C60B8F7">
            <w:pPr>
              <w:spacing w:before="201" w:line="221" w:lineRule="auto"/>
              <w:ind w:left="1877"/>
              <w:rPr>
                <w:rFonts w:hint="eastAsia" w:ascii="宋体" w:hAnsi="宋体" w:eastAsia="宋体" w:cs="宋体"/>
                <w:color w:val="auto"/>
                <w:sz w:val="21"/>
                <w:szCs w:val="21"/>
              </w:rPr>
            </w:pPr>
            <w:r>
              <w:rPr>
                <w:rFonts w:hint="eastAsia" w:ascii="宋体" w:hAnsi="宋体" w:eastAsia="宋体" w:cs="宋体"/>
                <w:color w:val="auto"/>
                <w:spacing w:val="-8"/>
                <w:sz w:val="21"/>
                <w:szCs w:val="21"/>
              </w:rPr>
              <w:t>资</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8"/>
                <w:sz w:val="21"/>
                <w:szCs w:val="21"/>
              </w:rPr>
              <w:t>格</w:t>
            </w:r>
            <w:r>
              <w:rPr>
                <w:rFonts w:hint="eastAsia" w:ascii="宋体" w:hAnsi="宋体" w:eastAsia="宋体" w:cs="宋体"/>
                <w:color w:val="auto"/>
                <w:spacing w:val="11"/>
                <w:sz w:val="21"/>
                <w:szCs w:val="21"/>
              </w:rPr>
              <w:t xml:space="preserve"> </w:t>
            </w:r>
            <w:r>
              <w:rPr>
                <w:rFonts w:hint="eastAsia" w:ascii="宋体" w:hAnsi="宋体" w:eastAsia="宋体" w:cs="宋体"/>
                <w:color w:val="auto"/>
                <w:spacing w:val="-8"/>
                <w:sz w:val="21"/>
                <w:szCs w:val="21"/>
              </w:rPr>
              <w:t>要</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8"/>
                <w:sz w:val="21"/>
                <w:szCs w:val="21"/>
              </w:rPr>
              <w:t>求</w:t>
            </w:r>
          </w:p>
        </w:tc>
      </w:tr>
      <w:tr w14:paraId="614D8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6" w:hRule="atLeast"/>
        </w:trPr>
        <w:tc>
          <w:tcPr>
            <w:tcW w:w="2145" w:type="dxa"/>
            <w:vAlign w:val="top"/>
          </w:tcPr>
          <w:p w14:paraId="68C56B86">
            <w:pPr>
              <w:spacing w:line="249" w:lineRule="auto"/>
              <w:rPr>
                <w:rFonts w:hint="eastAsia" w:ascii="宋体" w:hAnsi="宋体" w:eastAsia="宋体" w:cs="宋体"/>
                <w:color w:val="auto"/>
                <w:sz w:val="21"/>
              </w:rPr>
            </w:pPr>
          </w:p>
          <w:p w14:paraId="3AABD75F">
            <w:pPr>
              <w:spacing w:line="249" w:lineRule="auto"/>
              <w:rPr>
                <w:rFonts w:hint="eastAsia" w:ascii="宋体" w:hAnsi="宋体" w:eastAsia="宋体" w:cs="宋体"/>
                <w:color w:val="auto"/>
                <w:sz w:val="21"/>
              </w:rPr>
            </w:pPr>
          </w:p>
          <w:p w14:paraId="290F6C14">
            <w:pPr>
              <w:spacing w:line="249" w:lineRule="auto"/>
              <w:rPr>
                <w:rFonts w:hint="eastAsia" w:ascii="宋体" w:hAnsi="宋体" w:eastAsia="宋体" w:cs="宋体"/>
                <w:color w:val="auto"/>
                <w:sz w:val="21"/>
              </w:rPr>
            </w:pPr>
          </w:p>
          <w:p w14:paraId="65D4DB2C">
            <w:pPr>
              <w:spacing w:line="249" w:lineRule="auto"/>
              <w:rPr>
                <w:rFonts w:hint="eastAsia" w:ascii="宋体" w:hAnsi="宋体" w:eastAsia="宋体" w:cs="宋体"/>
                <w:color w:val="auto"/>
                <w:sz w:val="21"/>
              </w:rPr>
            </w:pPr>
          </w:p>
          <w:p w14:paraId="6FF419B7">
            <w:pPr>
              <w:spacing w:line="249" w:lineRule="auto"/>
              <w:rPr>
                <w:rFonts w:hint="eastAsia" w:ascii="宋体" w:hAnsi="宋体" w:eastAsia="宋体" w:cs="宋体"/>
                <w:color w:val="auto"/>
                <w:sz w:val="21"/>
              </w:rPr>
            </w:pPr>
          </w:p>
          <w:p w14:paraId="45F4F7D1">
            <w:pPr>
              <w:spacing w:line="249" w:lineRule="auto"/>
              <w:rPr>
                <w:rFonts w:hint="eastAsia" w:ascii="宋体" w:hAnsi="宋体" w:eastAsia="宋体" w:cs="宋体"/>
                <w:color w:val="auto"/>
                <w:sz w:val="21"/>
              </w:rPr>
            </w:pPr>
          </w:p>
          <w:p w14:paraId="4E82E4CB">
            <w:pPr>
              <w:spacing w:line="249" w:lineRule="auto"/>
              <w:rPr>
                <w:rFonts w:hint="eastAsia" w:ascii="宋体" w:hAnsi="宋体" w:eastAsia="宋体" w:cs="宋体"/>
                <w:color w:val="auto"/>
                <w:sz w:val="21"/>
              </w:rPr>
            </w:pPr>
          </w:p>
          <w:p w14:paraId="0C9E2FDB">
            <w:pPr>
              <w:spacing w:line="250" w:lineRule="auto"/>
              <w:rPr>
                <w:rFonts w:hint="eastAsia" w:ascii="宋体" w:hAnsi="宋体" w:eastAsia="宋体" w:cs="宋体"/>
                <w:color w:val="auto"/>
                <w:sz w:val="21"/>
              </w:rPr>
            </w:pPr>
          </w:p>
          <w:p w14:paraId="338EA08F">
            <w:pPr>
              <w:spacing w:line="250" w:lineRule="auto"/>
              <w:rPr>
                <w:rFonts w:hint="eastAsia" w:ascii="宋体" w:hAnsi="宋体" w:eastAsia="宋体" w:cs="宋体"/>
                <w:color w:val="auto"/>
                <w:sz w:val="21"/>
              </w:rPr>
            </w:pPr>
          </w:p>
          <w:p w14:paraId="3BA25E59">
            <w:pPr>
              <w:spacing w:line="250" w:lineRule="auto"/>
              <w:rPr>
                <w:rFonts w:hint="eastAsia" w:ascii="宋体" w:hAnsi="宋体" w:eastAsia="宋体" w:cs="宋体"/>
                <w:color w:val="auto"/>
                <w:sz w:val="21"/>
              </w:rPr>
            </w:pPr>
          </w:p>
          <w:p w14:paraId="1E52DEE8">
            <w:pPr>
              <w:spacing w:line="250" w:lineRule="auto"/>
              <w:rPr>
                <w:rFonts w:hint="eastAsia" w:ascii="宋体" w:hAnsi="宋体" w:eastAsia="宋体" w:cs="宋体"/>
                <w:color w:val="auto"/>
                <w:sz w:val="21"/>
              </w:rPr>
            </w:pPr>
          </w:p>
          <w:p w14:paraId="0BE40A0A">
            <w:pPr>
              <w:spacing w:line="250" w:lineRule="auto"/>
              <w:rPr>
                <w:rFonts w:hint="eastAsia" w:ascii="宋体" w:hAnsi="宋体" w:eastAsia="宋体" w:cs="宋体"/>
                <w:color w:val="auto"/>
                <w:sz w:val="21"/>
              </w:rPr>
            </w:pPr>
          </w:p>
          <w:p w14:paraId="2FB60C75">
            <w:pPr>
              <w:spacing w:before="68" w:line="221" w:lineRule="auto"/>
              <w:ind w:left="554"/>
              <w:rPr>
                <w:rFonts w:hint="eastAsia" w:ascii="宋体" w:hAnsi="宋体" w:eastAsia="宋体" w:cs="宋体"/>
                <w:color w:val="auto"/>
                <w:sz w:val="21"/>
                <w:szCs w:val="21"/>
              </w:rPr>
            </w:pPr>
            <w:r>
              <w:rPr>
                <w:rFonts w:hint="eastAsia" w:ascii="宋体" w:hAnsi="宋体" w:eastAsia="宋体" w:cs="宋体"/>
                <w:color w:val="auto"/>
                <w:spacing w:val="-1"/>
                <w:sz w:val="21"/>
                <w:szCs w:val="21"/>
              </w:rPr>
              <w:t>项目负责人</w:t>
            </w:r>
          </w:p>
        </w:tc>
        <w:tc>
          <w:tcPr>
            <w:tcW w:w="1747" w:type="dxa"/>
            <w:vAlign w:val="top"/>
          </w:tcPr>
          <w:p w14:paraId="05605583">
            <w:pPr>
              <w:spacing w:line="252" w:lineRule="auto"/>
              <w:rPr>
                <w:rFonts w:hint="eastAsia" w:ascii="宋体" w:hAnsi="宋体" w:eastAsia="宋体" w:cs="宋体"/>
                <w:color w:val="auto"/>
                <w:sz w:val="21"/>
              </w:rPr>
            </w:pPr>
          </w:p>
          <w:p w14:paraId="142D6513">
            <w:pPr>
              <w:spacing w:line="252" w:lineRule="auto"/>
              <w:rPr>
                <w:rFonts w:hint="eastAsia" w:ascii="宋体" w:hAnsi="宋体" w:eastAsia="宋体" w:cs="宋体"/>
                <w:color w:val="auto"/>
                <w:sz w:val="21"/>
              </w:rPr>
            </w:pPr>
          </w:p>
          <w:p w14:paraId="1B477587">
            <w:pPr>
              <w:spacing w:line="252" w:lineRule="auto"/>
              <w:rPr>
                <w:rFonts w:hint="eastAsia" w:ascii="宋体" w:hAnsi="宋体" w:eastAsia="宋体" w:cs="宋体"/>
                <w:color w:val="auto"/>
                <w:sz w:val="21"/>
              </w:rPr>
            </w:pPr>
          </w:p>
          <w:p w14:paraId="4BFFF3A7">
            <w:pPr>
              <w:spacing w:line="252" w:lineRule="auto"/>
              <w:rPr>
                <w:rFonts w:hint="eastAsia" w:ascii="宋体" w:hAnsi="宋体" w:eastAsia="宋体" w:cs="宋体"/>
                <w:color w:val="auto"/>
                <w:sz w:val="21"/>
              </w:rPr>
            </w:pPr>
          </w:p>
          <w:p w14:paraId="0118B2A8">
            <w:pPr>
              <w:spacing w:line="252" w:lineRule="auto"/>
              <w:rPr>
                <w:rFonts w:hint="eastAsia" w:ascii="宋体" w:hAnsi="宋体" w:eastAsia="宋体" w:cs="宋体"/>
                <w:color w:val="auto"/>
                <w:sz w:val="21"/>
              </w:rPr>
            </w:pPr>
          </w:p>
          <w:p w14:paraId="49AB54C1">
            <w:pPr>
              <w:spacing w:line="252" w:lineRule="auto"/>
              <w:rPr>
                <w:rFonts w:hint="eastAsia" w:ascii="宋体" w:hAnsi="宋体" w:eastAsia="宋体" w:cs="宋体"/>
                <w:color w:val="auto"/>
                <w:sz w:val="21"/>
              </w:rPr>
            </w:pPr>
          </w:p>
          <w:p w14:paraId="41387BB7">
            <w:pPr>
              <w:spacing w:line="252" w:lineRule="auto"/>
              <w:rPr>
                <w:rFonts w:hint="eastAsia" w:ascii="宋体" w:hAnsi="宋体" w:eastAsia="宋体" w:cs="宋体"/>
                <w:color w:val="auto"/>
                <w:sz w:val="21"/>
              </w:rPr>
            </w:pPr>
          </w:p>
          <w:p w14:paraId="1FB26640">
            <w:pPr>
              <w:spacing w:line="253" w:lineRule="auto"/>
              <w:rPr>
                <w:rFonts w:hint="eastAsia" w:ascii="宋体" w:hAnsi="宋体" w:eastAsia="宋体" w:cs="宋体"/>
                <w:color w:val="auto"/>
                <w:sz w:val="21"/>
              </w:rPr>
            </w:pPr>
          </w:p>
          <w:p w14:paraId="5C2861F1">
            <w:pPr>
              <w:spacing w:line="253" w:lineRule="auto"/>
              <w:rPr>
                <w:rFonts w:hint="eastAsia" w:ascii="宋体" w:hAnsi="宋体" w:eastAsia="宋体" w:cs="宋体"/>
                <w:color w:val="auto"/>
                <w:sz w:val="21"/>
              </w:rPr>
            </w:pPr>
          </w:p>
          <w:p w14:paraId="05BA3BCE">
            <w:pPr>
              <w:spacing w:line="253" w:lineRule="auto"/>
              <w:rPr>
                <w:rFonts w:hint="eastAsia" w:ascii="宋体" w:hAnsi="宋体" w:eastAsia="宋体" w:cs="宋体"/>
                <w:color w:val="auto"/>
                <w:sz w:val="21"/>
              </w:rPr>
            </w:pPr>
          </w:p>
          <w:p w14:paraId="56D7B66A">
            <w:pPr>
              <w:spacing w:line="253" w:lineRule="auto"/>
              <w:rPr>
                <w:rFonts w:hint="eastAsia" w:ascii="宋体" w:hAnsi="宋体" w:eastAsia="宋体" w:cs="宋体"/>
                <w:color w:val="auto"/>
                <w:sz w:val="21"/>
              </w:rPr>
            </w:pPr>
          </w:p>
          <w:p w14:paraId="4B892D33">
            <w:pPr>
              <w:spacing w:line="253" w:lineRule="auto"/>
              <w:rPr>
                <w:rFonts w:hint="eastAsia" w:ascii="宋体" w:hAnsi="宋体" w:eastAsia="宋体" w:cs="宋体"/>
                <w:color w:val="auto"/>
                <w:sz w:val="21"/>
              </w:rPr>
            </w:pPr>
          </w:p>
          <w:p w14:paraId="5ACD2BA9">
            <w:pPr>
              <w:spacing w:before="60" w:line="187" w:lineRule="auto"/>
              <w:ind w:left="837"/>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895" w:type="dxa"/>
            <w:vAlign w:val="top"/>
          </w:tcPr>
          <w:p w14:paraId="6A00366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7" w:line="360" w:lineRule="auto"/>
              <w:ind w:left="0" w:leftChars="0" w:right="0" w:rightChars="0" w:firstLine="17" w:firstLineChars="0"/>
              <w:jc w:val="both"/>
              <w:textAlignment w:val="baseline"/>
              <w:rPr>
                <w:rFonts w:hint="eastAsia" w:ascii="宋体" w:hAnsi="宋体" w:eastAsia="宋体" w:cs="宋体"/>
                <w:color w:val="auto"/>
                <w:spacing w:val="-6"/>
                <w:sz w:val="21"/>
                <w:szCs w:val="21"/>
              </w:rPr>
            </w:pPr>
            <w:r>
              <w:rPr>
                <w:rFonts w:hint="eastAsia" w:ascii="宋体" w:hAnsi="宋体" w:eastAsia="宋体" w:cs="宋体"/>
                <w:snapToGrid w:val="0"/>
                <w:color w:val="auto"/>
                <w:spacing w:val="-6"/>
                <w:kern w:val="0"/>
                <w:sz w:val="21"/>
                <w:szCs w:val="21"/>
                <w:lang w:val="en-US" w:eastAsia="en-US" w:bidi="ar-SA"/>
              </w:rPr>
              <w:t>1.</w:t>
            </w:r>
            <w:r>
              <w:rPr>
                <w:rFonts w:hint="eastAsia" w:ascii="宋体" w:hAnsi="宋体" w:eastAsia="宋体" w:cs="宋体"/>
                <w:color w:val="auto"/>
                <w:spacing w:val="2"/>
                <w:sz w:val="21"/>
                <w:szCs w:val="21"/>
              </w:rPr>
              <w:t>具有交通运输部公路工程造价人员资格证书（甲级）或国家一级注册造价工程师证书（交通运输工</w:t>
            </w:r>
            <w:r>
              <w:rPr>
                <w:rFonts w:hint="eastAsia" w:ascii="宋体" w:hAnsi="宋体" w:eastAsia="宋体" w:cs="宋体"/>
                <w:color w:val="auto"/>
                <w:spacing w:val="-6"/>
                <w:sz w:val="21"/>
                <w:szCs w:val="21"/>
              </w:rPr>
              <w:t>程专业</w:t>
            </w:r>
            <w:r>
              <w:rPr>
                <w:rFonts w:hint="eastAsia" w:ascii="宋体" w:hAnsi="宋体" w:eastAsia="宋体" w:cs="宋体"/>
                <w:color w:val="auto"/>
                <w:spacing w:val="-18"/>
                <w:sz w:val="21"/>
                <w:szCs w:val="21"/>
              </w:rPr>
              <w:t>），</w:t>
            </w:r>
            <w:r>
              <w:rPr>
                <w:rFonts w:hint="eastAsia" w:ascii="宋体" w:hAnsi="宋体" w:eastAsia="宋体" w:cs="宋体"/>
                <w:color w:val="auto"/>
                <w:spacing w:val="-6"/>
                <w:sz w:val="21"/>
                <w:szCs w:val="21"/>
              </w:rPr>
              <w:t>注册单位名称须与投标人名称一致；</w:t>
            </w:r>
          </w:p>
          <w:p w14:paraId="0263942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7" w:line="360" w:lineRule="auto"/>
              <w:ind w:left="0" w:leftChars="0" w:right="0" w:rightChars="0" w:firstLine="17" w:firstLineChars="0"/>
              <w:jc w:val="both"/>
              <w:textAlignment w:val="baseline"/>
              <w:rPr>
                <w:rFonts w:hint="eastAsia" w:ascii="宋体" w:hAnsi="宋体" w:eastAsia="宋体" w:cs="宋体"/>
                <w:color w:val="auto"/>
                <w:sz w:val="21"/>
                <w:szCs w:val="21"/>
              </w:rPr>
            </w:pPr>
            <w:r>
              <w:rPr>
                <w:rFonts w:hint="eastAsia" w:ascii="宋体" w:hAnsi="宋体" w:eastAsia="宋体" w:cs="宋体"/>
                <w:snapToGrid w:val="0"/>
                <w:color w:val="auto"/>
                <w:kern w:val="0"/>
                <w:sz w:val="21"/>
                <w:szCs w:val="21"/>
                <w:lang w:val="en-US" w:eastAsia="en-US" w:bidi="ar-SA"/>
              </w:rPr>
              <w:t>2.</w:t>
            </w:r>
            <w:r>
              <w:rPr>
                <w:rFonts w:hint="eastAsia" w:ascii="宋体" w:hAnsi="宋体" w:eastAsia="宋体" w:cs="宋体"/>
                <w:color w:val="auto"/>
                <w:spacing w:val="-7"/>
                <w:sz w:val="21"/>
                <w:szCs w:val="21"/>
              </w:rPr>
              <w:t>同时</w:t>
            </w:r>
            <w:r>
              <w:rPr>
                <w:rFonts w:hint="eastAsia" w:ascii="宋体" w:hAnsi="宋体" w:eastAsia="宋体" w:cs="宋体"/>
                <w:color w:val="auto"/>
                <w:spacing w:val="2"/>
                <w:sz w:val="21"/>
                <w:szCs w:val="21"/>
              </w:rPr>
              <w:t>具有公路工程或工程造价相关专业高级及以上技术</w:t>
            </w:r>
            <w:r>
              <w:rPr>
                <w:rFonts w:hint="eastAsia" w:ascii="宋体" w:hAnsi="宋体" w:eastAsia="宋体" w:cs="宋体"/>
                <w:color w:val="auto"/>
                <w:spacing w:val="-8"/>
                <w:sz w:val="21"/>
                <w:szCs w:val="21"/>
              </w:rPr>
              <w:t>职称。</w:t>
            </w:r>
          </w:p>
          <w:p w14:paraId="09BB87B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left="0" w:leftChars="0" w:right="0" w:rightChars="0" w:firstLine="17" w:firstLineChars="0"/>
              <w:jc w:val="both"/>
              <w:textAlignment w:val="baseline"/>
              <w:rPr>
                <w:rFonts w:hint="eastAsia" w:ascii="宋体" w:hAnsi="宋体" w:eastAsia="宋体" w:cs="宋体"/>
                <w:color w:val="auto"/>
                <w:spacing w:val="-1"/>
                <w:sz w:val="21"/>
                <w:szCs w:val="21"/>
              </w:rPr>
            </w:pPr>
            <w:r>
              <w:rPr>
                <w:rFonts w:hint="eastAsia" w:ascii="宋体" w:hAnsi="宋体" w:eastAsia="宋体" w:cs="宋体"/>
                <w:snapToGrid w:val="0"/>
                <w:color w:val="auto"/>
                <w:spacing w:val="-1"/>
                <w:kern w:val="0"/>
                <w:sz w:val="21"/>
                <w:szCs w:val="21"/>
                <w:lang w:val="en-US" w:eastAsia="en-US" w:bidi="ar-SA"/>
              </w:rPr>
              <w:t>3.</w:t>
            </w:r>
            <w:r>
              <w:rPr>
                <w:rFonts w:hint="eastAsia" w:ascii="宋体" w:hAnsi="宋体" w:eastAsia="宋体" w:cs="宋体"/>
                <w:color w:val="auto"/>
                <w:spacing w:val="-6"/>
                <w:sz w:val="21"/>
                <w:szCs w:val="21"/>
              </w:rPr>
              <w:t>近五年（2019 年</w:t>
            </w:r>
            <w:r>
              <w:rPr>
                <w:rFonts w:hint="eastAsia" w:ascii="宋体" w:hAnsi="宋体" w:eastAsia="宋体" w:cs="宋体"/>
                <w:color w:val="auto"/>
                <w:spacing w:val="-6"/>
                <w:sz w:val="21"/>
                <w:szCs w:val="21"/>
                <w:lang w:val="en-US" w:eastAsia="zh-CN"/>
              </w:rPr>
              <w:t>12</w:t>
            </w:r>
            <w:r>
              <w:rPr>
                <w:rFonts w:hint="eastAsia" w:ascii="宋体" w:hAnsi="宋体" w:eastAsia="宋体" w:cs="宋体"/>
                <w:color w:val="auto"/>
                <w:spacing w:val="-6"/>
                <w:sz w:val="21"/>
                <w:szCs w:val="21"/>
              </w:rPr>
              <w:t>月</w:t>
            </w:r>
            <w:r>
              <w:rPr>
                <w:rFonts w:hint="eastAsia" w:ascii="宋体" w:hAnsi="宋体" w:eastAsia="宋体" w:cs="宋体"/>
                <w:color w:val="auto"/>
                <w:spacing w:val="-6"/>
                <w:sz w:val="21"/>
                <w:szCs w:val="21"/>
                <w:lang w:val="en-US" w:eastAsia="zh-CN"/>
              </w:rPr>
              <w:t>1</w:t>
            </w:r>
            <w:r>
              <w:rPr>
                <w:rFonts w:hint="eastAsia" w:ascii="宋体" w:hAnsi="宋体" w:eastAsia="宋体" w:cs="宋体"/>
                <w:color w:val="auto"/>
                <w:spacing w:val="-6"/>
                <w:sz w:val="21"/>
                <w:szCs w:val="21"/>
              </w:rPr>
              <w:t>日至投标截止之日前一日）</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作为项目负责人或技术负责人主持过1个建安工程</w:t>
            </w:r>
            <w:r>
              <w:rPr>
                <w:rFonts w:hint="eastAsia" w:ascii="宋体" w:hAnsi="宋体" w:eastAsia="宋体" w:cs="宋体"/>
                <w:color w:val="auto"/>
                <w:spacing w:val="-1"/>
                <w:sz w:val="21"/>
                <w:szCs w:val="21"/>
              </w:rPr>
              <w:t>费用不低于</w:t>
            </w:r>
            <w:r>
              <w:rPr>
                <w:rFonts w:hint="eastAsia" w:ascii="宋体" w:hAnsi="宋体" w:eastAsia="宋体" w:cs="宋体"/>
                <w:color w:val="auto"/>
                <w:spacing w:val="-2"/>
                <w:sz w:val="21"/>
                <w:szCs w:val="21"/>
                <w:lang w:val="en-US" w:eastAsia="zh-CN"/>
              </w:rPr>
              <w:t>2.8</w:t>
            </w:r>
            <w:r>
              <w:rPr>
                <w:rFonts w:hint="eastAsia" w:ascii="宋体" w:hAnsi="宋体" w:eastAsia="宋体" w:cs="宋体"/>
                <w:color w:val="auto"/>
                <w:spacing w:val="-1"/>
                <w:sz w:val="21"/>
                <w:szCs w:val="21"/>
              </w:rPr>
              <w:t>亿元的公路工程的</w:t>
            </w:r>
            <w:r>
              <w:rPr>
                <w:rFonts w:hint="eastAsia" w:ascii="宋体" w:hAnsi="宋体" w:eastAsia="宋体" w:cs="宋体"/>
                <w:color w:val="auto"/>
                <w:spacing w:val="2"/>
                <w:sz w:val="21"/>
                <w:szCs w:val="21"/>
              </w:rPr>
              <w:t>工程结算审核（审计）或全过程造</w:t>
            </w:r>
            <w:r>
              <w:rPr>
                <w:rFonts w:hint="eastAsia" w:ascii="宋体" w:hAnsi="宋体" w:eastAsia="宋体" w:cs="宋体"/>
                <w:color w:val="auto"/>
                <w:spacing w:val="-1"/>
                <w:sz w:val="21"/>
                <w:szCs w:val="21"/>
              </w:rPr>
              <w:t>价咨询</w:t>
            </w:r>
            <w:r>
              <w:rPr>
                <w:rFonts w:hint="eastAsia" w:ascii="宋体" w:hAnsi="宋体" w:eastAsia="宋体" w:cs="宋体"/>
                <w:color w:val="auto"/>
                <w:spacing w:val="-1"/>
                <w:sz w:val="21"/>
                <w:szCs w:val="21"/>
                <w:lang w:val="en-US" w:eastAsia="zh-CN"/>
              </w:rPr>
              <w:t>或</w:t>
            </w:r>
            <w:r>
              <w:rPr>
                <w:rFonts w:hint="eastAsia" w:ascii="宋体" w:hAnsi="宋体" w:eastAsia="宋体" w:cs="宋体"/>
                <w:color w:val="auto"/>
                <w:spacing w:val="-2"/>
                <w:sz w:val="21"/>
                <w:szCs w:val="21"/>
              </w:rPr>
              <w:t>全过程</w:t>
            </w:r>
            <w:r>
              <w:rPr>
                <w:rFonts w:hint="eastAsia" w:ascii="宋体" w:hAnsi="宋体" w:eastAsia="宋体" w:cs="宋体"/>
                <w:color w:val="auto"/>
                <w:spacing w:val="-2"/>
                <w:sz w:val="21"/>
                <w:szCs w:val="21"/>
                <w:lang w:val="en-US" w:eastAsia="zh-CN"/>
              </w:rPr>
              <w:t>跟踪审计</w:t>
            </w:r>
            <w:r>
              <w:rPr>
                <w:rFonts w:hint="eastAsia" w:ascii="宋体" w:hAnsi="宋体" w:eastAsia="宋体" w:cs="宋体"/>
                <w:color w:val="auto"/>
                <w:spacing w:val="-1"/>
                <w:sz w:val="21"/>
                <w:szCs w:val="21"/>
              </w:rPr>
              <w:t>业绩。</w:t>
            </w:r>
          </w:p>
          <w:p w14:paraId="6512313D">
            <w:pPr>
              <w:pStyle w:val="9"/>
              <w:numPr>
                <w:ilvl w:val="0"/>
                <w:numId w:val="0"/>
              </w:numPr>
              <w:ind w:left="0" w:leftChars="0" w:firstLine="17" w:firstLineChars="0"/>
              <w:rPr>
                <w:rFonts w:hint="eastAsia" w:ascii="宋体" w:hAnsi="宋体" w:eastAsia="宋体" w:cs="宋体"/>
                <w:snapToGrid w:val="0"/>
                <w:color w:val="auto"/>
                <w:spacing w:val="-2"/>
                <w:kern w:val="0"/>
                <w:sz w:val="21"/>
                <w:szCs w:val="21"/>
                <w:lang w:val="en-US" w:eastAsia="en-US" w:bidi="ar-SA"/>
              </w:rPr>
            </w:pPr>
            <w:r>
              <w:rPr>
                <w:rFonts w:hint="eastAsia" w:ascii="宋体" w:hAnsi="宋体" w:eastAsia="宋体" w:cs="宋体"/>
                <w:snapToGrid w:val="0"/>
                <w:color w:val="auto"/>
                <w:spacing w:val="-2"/>
                <w:kern w:val="0"/>
                <w:sz w:val="21"/>
                <w:szCs w:val="21"/>
                <w:lang w:val="en-US" w:eastAsia="en-US" w:bidi="ar-SA"/>
              </w:rPr>
              <w:t>4.提供至投标截止时间前连续六个月社保证明</w:t>
            </w:r>
          </w:p>
          <w:p w14:paraId="04611E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rPr>
            </w:pPr>
          </w:p>
          <w:p w14:paraId="4FCF9337">
            <w:pPr>
              <w:keepNext w:val="0"/>
              <w:keepLines w:val="0"/>
              <w:pageBreakBefore w:val="0"/>
              <w:widowControl/>
              <w:kinsoku w:val="0"/>
              <w:wordWrap/>
              <w:overflowPunct/>
              <w:topLinePunct w:val="0"/>
              <w:autoSpaceDE w:val="0"/>
              <w:autoSpaceDN w:val="0"/>
              <w:bidi w:val="0"/>
              <w:adjustRightInd w:val="0"/>
              <w:snapToGrid w:val="0"/>
              <w:spacing w:before="68" w:line="360" w:lineRule="auto"/>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14"/>
                <w:sz w:val="21"/>
                <w:szCs w:val="21"/>
              </w:rPr>
              <w:t>注：</w:t>
            </w:r>
          </w:p>
          <w:p w14:paraId="269E601F">
            <w:pPr>
              <w:keepNext w:val="0"/>
              <w:keepLines w:val="0"/>
              <w:pageBreakBefore w:val="0"/>
              <w:widowControl/>
              <w:kinsoku w:val="0"/>
              <w:wordWrap/>
              <w:overflowPunct/>
              <w:topLinePunct w:val="0"/>
              <w:autoSpaceDE w:val="0"/>
              <w:autoSpaceDN w:val="0"/>
              <w:bidi w:val="0"/>
              <w:adjustRightInd w:val="0"/>
              <w:snapToGrid w:val="0"/>
              <w:spacing w:before="87" w:line="360" w:lineRule="auto"/>
              <w:ind w:left="0" w:right="0" w:firstLine="17"/>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1.业绩证明资料须同时提供造价咨询合同文件和造</w:t>
            </w:r>
            <w:r>
              <w:rPr>
                <w:rFonts w:hint="eastAsia" w:ascii="宋体" w:hAnsi="宋体" w:eastAsia="宋体" w:cs="宋体"/>
                <w:color w:val="auto"/>
                <w:spacing w:val="8"/>
                <w:sz w:val="21"/>
                <w:szCs w:val="21"/>
              </w:rPr>
              <w:t>价咨询报告关键页(全过程造价咨询业绩提供合同</w:t>
            </w:r>
            <w:r>
              <w:rPr>
                <w:rFonts w:hint="eastAsia" w:ascii="宋体" w:hAnsi="宋体" w:eastAsia="宋体" w:cs="宋体"/>
                <w:color w:val="auto"/>
                <w:spacing w:val="-3"/>
                <w:sz w:val="21"/>
                <w:szCs w:val="21"/>
              </w:rPr>
              <w:t>及任一阶段的造价咨询报告关键页；合同或咨询报</w:t>
            </w:r>
            <w:r>
              <w:rPr>
                <w:rFonts w:hint="eastAsia" w:ascii="宋体" w:hAnsi="宋体" w:eastAsia="宋体" w:cs="宋体"/>
                <w:color w:val="auto"/>
                <w:spacing w:val="2"/>
                <w:sz w:val="21"/>
                <w:szCs w:val="21"/>
              </w:rPr>
              <w:t>告中须体现项目规模、咨询内容、负责人等评审内</w:t>
            </w:r>
            <w:r>
              <w:rPr>
                <w:rFonts w:hint="eastAsia" w:ascii="宋体" w:hAnsi="宋体" w:eastAsia="宋体" w:cs="宋体"/>
                <w:color w:val="auto"/>
                <w:spacing w:val="-1"/>
                <w:sz w:val="21"/>
                <w:szCs w:val="21"/>
              </w:rPr>
              <w:t>容要求)；</w:t>
            </w:r>
          </w:p>
          <w:p w14:paraId="601EBF8F">
            <w:pPr>
              <w:keepNext w:val="0"/>
              <w:keepLines w:val="0"/>
              <w:pageBreakBefore w:val="0"/>
              <w:widowControl/>
              <w:kinsoku w:val="0"/>
              <w:wordWrap/>
              <w:overflowPunct/>
              <w:topLinePunct w:val="0"/>
              <w:autoSpaceDE w:val="0"/>
              <w:autoSpaceDN w:val="0"/>
              <w:bidi w:val="0"/>
              <w:adjustRightInd w:val="0"/>
              <w:snapToGrid w:val="0"/>
              <w:spacing w:before="97" w:line="360" w:lineRule="auto"/>
              <w:ind w:left="0" w:right="0" w:hanging="2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2.业绩规模和有效时间以造价咨询报告的金额和时</w:t>
            </w:r>
            <w:r>
              <w:rPr>
                <w:rFonts w:hint="eastAsia" w:ascii="宋体" w:hAnsi="宋体" w:eastAsia="宋体" w:cs="宋体"/>
                <w:color w:val="auto"/>
                <w:spacing w:val="-10"/>
                <w:sz w:val="21"/>
                <w:szCs w:val="21"/>
              </w:rPr>
              <w:t>间为准。</w:t>
            </w:r>
          </w:p>
          <w:p w14:paraId="39A1263C">
            <w:pPr>
              <w:keepNext w:val="0"/>
              <w:keepLines w:val="0"/>
              <w:pageBreakBefore w:val="0"/>
              <w:widowControl/>
              <w:kinsoku w:val="0"/>
              <w:wordWrap/>
              <w:overflowPunct/>
              <w:topLinePunct w:val="0"/>
              <w:autoSpaceDE w:val="0"/>
              <w:autoSpaceDN w:val="0"/>
              <w:bidi w:val="0"/>
              <w:adjustRightInd w:val="0"/>
              <w:snapToGrid w:val="0"/>
              <w:spacing w:before="87" w:line="360" w:lineRule="auto"/>
              <w:ind w:left="0" w:right="0" w:hanging="3"/>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 xml:space="preserve">3.公路工程相关专业包括公路工程、桥梁工程、公路 </w:t>
            </w:r>
            <w:r>
              <w:rPr>
                <w:rFonts w:hint="eastAsia" w:ascii="宋体" w:hAnsi="宋体" w:eastAsia="宋体" w:cs="宋体"/>
                <w:color w:val="auto"/>
                <w:spacing w:val="-8"/>
                <w:sz w:val="21"/>
                <w:szCs w:val="21"/>
              </w:rPr>
              <w:t>与桥梁工程、公路（道路）桥梁与隧道、交通土建、</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隧道(地下结构)工程、交通工程等专业，下</w:t>
            </w:r>
            <w:r>
              <w:rPr>
                <w:rFonts w:hint="eastAsia" w:ascii="宋体" w:hAnsi="宋体" w:eastAsia="宋体" w:cs="宋体"/>
                <w:color w:val="auto"/>
                <w:spacing w:val="-2"/>
                <w:sz w:val="21"/>
                <w:szCs w:val="21"/>
              </w:rPr>
              <w:t>同。</w:t>
            </w:r>
          </w:p>
        </w:tc>
      </w:tr>
    </w:tbl>
    <w:p w14:paraId="5CBD90C2">
      <w:pPr>
        <w:spacing w:line="258" w:lineRule="auto"/>
        <w:rPr>
          <w:rFonts w:ascii="Arial"/>
          <w:color w:val="auto"/>
          <w:sz w:val="21"/>
        </w:rPr>
      </w:pPr>
    </w:p>
    <w:p w14:paraId="1B06F30B">
      <w:pPr>
        <w:spacing w:line="259" w:lineRule="auto"/>
        <w:rPr>
          <w:rFonts w:ascii="Arial"/>
          <w:color w:val="auto"/>
          <w:sz w:val="21"/>
        </w:rPr>
      </w:pPr>
    </w:p>
    <w:p w14:paraId="736A1F16">
      <w:pPr>
        <w:spacing w:line="259" w:lineRule="auto"/>
        <w:rPr>
          <w:rFonts w:ascii="Arial"/>
          <w:color w:val="auto"/>
          <w:sz w:val="21"/>
        </w:rPr>
      </w:pPr>
    </w:p>
    <w:p w14:paraId="7D9A817F">
      <w:pPr>
        <w:spacing w:line="259" w:lineRule="auto"/>
        <w:rPr>
          <w:rFonts w:ascii="Arial"/>
          <w:color w:val="auto"/>
          <w:sz w:val="21"/>
        </w:rPr>
      </w:pPr>
    </w:p>
    <w:p w14:paraId="3ADDF2C0">
      <w:pPr>
        <w:spacing w:line="259" w:lineRule="auto"/>
        <w:rPr>
          <w:rFonts w:ascii="Arial"/>
          <w:color w:val="auto"/>
          <w:sz w:val="21"/>
        </w:rPr>
      </w:pPr>
    </w:p>
    <w:p w14:paraId="4CD69196">
      <w:pPr>
        <w:spacing w:line="259" w:lineRule="auto"/>
        <w:rPr>
          <w:rFonts w:ascii="Arial"/>
          <w:color w:val="auto"/>
          <w:sz w:val="21"/>
        </w:rPr>
      </w:pPr>
    </w:p>
    <w:p w14:paraId="3307E3B9">
      <w:pPr>
        <w:spacing w:before="58" w:line="361" w:lineRule="exact"/>
        <w:ind w:left="31"/>
        <w:rPr>
          <w:rFonts w:ascii="宋体" w:hAnsi="宋体" w:eastAsia="宋体" w:cs="宋体"/>
          <w:color w:val="auto"/>
          <w:sz w:val="18"/>
          <w:szCs w:val="18"/>
        </w:rPr>
      </w:pPr>
      <w:r>
        <w:rPr>
          <w:rFonts w:ascii="宋体" w:hAnsi="宋体" w:eastAsia="宋体" w:cs="宋体"/>
          <w:color w:val="auto"/>
          <w:spacing w:val="-1"/>
          <w:position w:val="19"/>
          <w:sz w:val="9"/>
          <w:szCs w:val="9"/>
        </w:rPr>
        <w:t xml:space="preserve">①  </w:t>
      </w:r>
      <w:r>
        <w:rPr>
          <w:rFonts w:ascii="宋体" w:hAnsi="宋体" w:eastAsia="宋体" w:cs="宋体"/>
          <w:color w:val="auto"/>
          <w:spacing w:val="-1"/>
          <w:position w:val="13"/>
          <w:sz w:val="18"/>
          <w:szCs w:val="18"/>
        </w:rPr>
        <w:t>对项目负责人的具体资格要求由招标人在满足国家相关法律法规前提下，</w:t>
      </w:r>
      <w:r>
        <w:rPr>
          <w:rFonts w:ascii="宋体" w:hAnsi="宋体" w:eastAsia="宋体" w:cs="宋体"/>
          <w:color w:val="auto"/>
          <w:spacing w:val="-50"/>
          <w:position w:val="13"/>
          <w:sz w:val="18"/>
          <w:szCs w:val="18"/>
        </w:rPr>
        <w:t xml:space="preserve"> </w:t>
      </w:r>
      <w:r>
        <w:rPr>
          <w:rFonts w:ascii="宋体" w:hAnsi="宋体" w:eastAsia="宋体" w:cs="宋体"/>
          <w:color w:val="auto"/>
          <w:spacing w:val="-2"/>
          <w:position w:val="13"/>
          <w:sz w:val="18"/>
          <w:szCs w:val="18"/>
        </w:rPr>
        <w:t>根据招标项目具体特点和实际情况确</w:t>
      </w:r>
    </w:p>
    <w:p w14:paraId="48274B1E">
      <w:pPr>
        <w:spacing w:line="221" w:lineRule="auto"/>
        <w:ind w:left="222"/>
        <w:rPr>
          <w:rFonts w:ascii="宋体" w:hAnsi="宋体" w:eastAsia="宋体" w:cs="宋体"/>
          <w:color w:val="auto"/>
          <w:sz w:val="18"/>
          <w:szCs w:val="18"/>
        </w:rPr>
      </w:pPr>
      <w:r>
        <w:rPr>
          <w:rFonts w:ascii="宋体" w:hAnsi="宋体" w:eastAsia="宋体" w:cs="宋体"/>
          <w:color w:val="auto"/>
          <w:spacing w:val="-5"/>
          <w:sz w:val="18"/>
          <w:szCs w:val="18"/>
        </w:rPr>
        <w:t>定，</w:t>
      </w:r>
      <w:r>
        <w:rPr>
          <w:rFonts w:ascii="宋体" w:hAnsi="宋体" w:eastAsia="宋体" w:cs="宋体"/>
          <w:color w:val="auto"/>
          <w:spacing w:val="-23"/>
          <w:sz w:val="18"/>
          <w:szCs w:val="18"/>
        </w:rPr>
        <w:t xml:space="preserve"> </w:t>
      </w:r>
      <w:r>
        <w:rPr>
          <w:rFonts w:ascii="宋体" w:hAnsi="宋体" w:eastAsia="宋体" w:cs="宋体"/>
          <w:color w:val="auto"/>
          <w:spacing w:val="-5"/>
          <w:sz w:val="18"/>
          <w:szCs w:val="18"/>
        </w:rPr>
        <w:t>但不得设置过高的资格条件。</w:t>
      </w:r>
    </w:p>
    <w:p w14:paraId="27B0C134">
      <w:pPr>
        <w:spacing w:line="221" w:lineRule="auto"/>
        <w:rPr>
          <w:rFonts w:ascii="宋体" w:hAnsi="宋体" w:eastAsia="宋体" w:cs="宋体"/>
          <w:color w:val="auto"/>
          <w:sz w:val="18"/>
          <w:szCs w:val="18"/>
        </w:rPr>
        <w:sectPr>
          <w:footerReference r:id="rId8" w:type="default"/>
          <w:pgSz w:w="11909" w:h="16839"/>
          <w:pgMar w:top="1152" w:right="1498" w:bottom="1254" w:left="1560" w:header="874" w:footer="1089" w:gutter="0"/>
          <w:pgNumType w:fmt="decimal"/>
          <w:cols w:space="720" w:num="1"/>
        </w:sectPr>
      </w:pPr>
    </w:p>
    <w:p w14:paraId="1B5ABA26">
      <w:pPr>
        <w:spacing w:line="243" w:lineRule="auto"/>
        <w:rPr>
          <w:rFonts w:ascii="Arial"/>
          <w:color w:val="auto"/>
          <w:sz w:val="21"/>
        </w:rPr>
      </w:pPr>
    </w:p>
    <w:p w14:paraId="1E7E897B">
      <w:pPr>
        <w:spacing w:line="244" w:lineRule="auto"/>
        <w:rPr>
          <w:rFonts w:ascii="Arial"/>
          <w:color w:val="auto"/>
          <w:sz w:val="21"/>
        </w:rPr>
      </w:pPr>
    </w:p>
    <w:p w14:paraId="279097A9">
      <w:pPr>
        <w:spacing w:line="244" w:lineRule="auto"/>
        <w:rPr>
          <w:rFonts w:ascii="Arial"/>
          <w:color w:val="auto"/>
          <w:sz w:val="21"/>
        </w:rPr>
      </w:pPr>
    </w:p>
    <w:p w14:paraId="77AA6FE8">
      <w:pPr>
        <w:spacing w:line="244" w:lineRule="auto"/>
        <w:rPr>
          <w:rFonts w:ascii="Arial"/>
          <w:color w:val="auto"/>
          <w:sz w:val="21"/>
        </w:rPr>
      </w:pPr>
    </w:p>
    <w:p w14:paraId="3F40845C">
      <w:pPr>
        <w:pStyle w:val="2"/>
        <w:spacing w:before="94" w:line="223" w:lineRule="auto"/>
        <w:ind w:left="1127"/>
        <w:outlineLvl w:val="1"/>
        <w:rPr>
          <w:color w:val="auto"/>
          <w:sz w:val="14"/>
          <w:szCs w:val="14"/>
        </w:rPr>
      </w:pPr>
      <w:r>
        <w:rPr>
          <w:i/>
          <w:iCs/>
          <w:color w:val="auto"/>
          <w:spacing w:val="-3"/>
          <w:sz w:val="29"/>
          <w:szCs w:val="29"/>
        </w:rPr>
        <w:t>附录</w:t>
      </w:r>
      <w:r>
        <w:rPr>
          <w:rFonts w:ascii="宋体" w:hAnsi="宋体" w:eastAsia="宋体" w:cs="宋体"/>
          <w:i/>
          <w:iCs/>
          <w:color w:val="auto"/>
          <w:spacing w:val="-3"/>
          <w:sz w:val="29"/>
          <w:szCs w:val="29"/>
        </w:rPr>
        <w:t>5</w:t>
      </w:r>
      <w:r>
        <w:rPr>
          <w:rFonts w:ascii="宋体" w:hAnsi="宋体" w:eastAsia="宋体" w:cs="宋体"/>
          <w:color w:val="auto"/>
          <w:spacing w:val="77"/>
          <w:sz w:val="29"/>
          <w:szCs w:val="29"/>
        </w:rPr>
        <w:t xml:space="preserve"> </w:t>
      </w:r>
      <w:r>
        <w:rPr>
          <w:i/>
          <w:iCs/>
          <w:color w:val="auto"/>
          <w:spacing w:val="-3"/>
          <w:sz w:val="29"/>
          <w:szCs w:val="29"/>
        </w:rPr>
        <w:t>资格审查条件（其他主要咨询人员最低要求）</w:t>
      </w:r>
      <w:r>
        <w:rPr>
          <w:i/>
          <w:iCs/>
          <w:color w:val="auto"/>
          <w:spacing w:val="-3"/>
          <w:position w:val="13"/>
          <w:sz w:val="14"/>
          <w:szCs w:val="14"/>
        </w:rPr>
        <w:t>①</w:t>
      </w:r>
    </w:p>
    <w:p w14:paraId="6B1F02A0">
      <w:pPr>
        <w:spacing w:before="27"/>
        <w:rPr>
          <w:color w:val="auto"/>
        </w:rPr>
      </w:pPr>
    </w:p>
    <w:tbl>
      <w:tblPr>
        <w:tblStyle w:val="8"/>
        <w:tblW w:w="90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4"/>
        <w:gridCol w:w="1329"/>
        <w:gridCol w:w="5850"/>
      </w:tblGrid>
      <w:tr w14:paraId="18FEC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834" w:type="dxa"/>
            <w:vAlign w:val="top"/>
          </w:tcPr>
          <w:p w14:paraId="47422D1A">
            <w:pPr>
              <w:spacing w:line="328" w:lineRule="auto"/>
              <w:rPr>
                <w:rFonts w:ascii="Arial"/>
                <w:color w:val="auto"/>
                <w:sz w:val="21"/>
              </w:rPr>
            </w:pPr>
          </w:p>
          <w:p w14:paraId="64C57730">
            <w:pPr>
              <w:spacing w:before="69" w:line="222" w:lineRule="auto"/>
              <w:ind w:left="610"/>
              <w:rPr>
                <w:rFonts w:ascii="宋体" w:hAnsi="宋体" w:eastAsia="宋体" w:cs="宋体"/>
                <w:color w:val="auto"/>
                <w:sz w:val="21"/>
                <w:szCs w:val="21"/>
              </w:rPr>
            </w:pPr>
            <w:r>
              <w:rPr>
                <w:rFonts w:ascii="宋体" w:hAnsi="宋体" w:eastAsia="宋体" w:cs="宋体"/>
                <w:color w:val="auto"/>
                <w:spacing w:val="-5"/>
                <w:sz w:val="21"/>
                <w:szCs w:val="21"/>
              </w:rPr>
              <w:t>人</w:t>
            </w:r>
            <w:r>
              <w:rPr>
                <w:rFonts w:ascii="宋体" w:hAnsi="宋体" w:eastAsia="宋体" w:cs="宋体"/>
                <w:color w:val="auto"/>
                <w:spacing w:val="8"/>
                <w:sz w:val="21"/>
                <w:szCs w:val="21"/>
              </w:rPr>
              <w:t xml:space="preserve">  </w:t>
            </w:r>
            <w:r>
              <w:rPr>
                <w:rFonts w:ascii="宋体" w:hAnsi="宋体" w:eastAsia="宋体" w:cs="宋体"/>
                <w:color w:val="auto"/>
                <w:spacing w:val="-5"/>
                <w:sz w:val="21"/>
                <w:szCs w:val="21"/>
              </w:rPr>
              <w:t>员</w:t>
            </w:r>
          </w:p>
        </w:tc>
        <w:tc>
          <w:tcPr>
            <w:tcW w:w="1329" w:type="dxa"/>
            <w:vAlign w:val="top"/>
          </w:tcPr>
          <w:p w14:paraId="0DF890E9">
            <w:pPr>
              <w:spacing w:line="328" w:lineRule="auto"/>
              <w:rPr>
                <w:rFonts w:ascii="Arial"/>
                <w:color w:val="auto"/>
                <w:sz w:val="21"/>
              </w:rPr>
            </w:pPr>
          </w:p>
          <w:p w14:paraId="72D69644">
            <w:pPr>
              <w:spacing w:before="68" w:line="221" w:lineRule="auto"/>
              <w:ind w:left="351"/>
              <w:rPr>
                <w:rFonts w:ascii="宋体" w:hAnsi="宋体" w:eastAsia="宋体" w:cs="宋体"/>
                <w:color w:val="auto"/>
                <w:sz w:val="21"/>
                <w:szCs w:val="21"/>
              </w:rPr>
            </w:pPr>
            <w:r>
              <w:rPr>
                <w:rFonts w:ascii="宋体" w:hAnsi="宋体" w:eastAsia="宋体" w:cs="宋体"/>
                <w:color w:val="auto"/>
                <w:spacing w:val="-5"/>
                <w:sz w:val="21"/>
                <w:szCs w:val="21"/>
              </w:rPr>
              <w:t>数</w:t>
            </w:r>
            <w:r>
              <w:rPr>
                <w:rFonts w:ascii="宋体" w:hAnsi="宋体" w:eastAsia="宋体" w:cs="宋体"/>
                <w:color w:val="auto"/>
                <w:spacing w:val="4"/>
                <w:sz w:val="21"/>
                <w:szCs w:val="21"/>
              </w:rPr>
              <w:t xml:space="preserve">  </w:t>
            </w:r>
            <w:r>
              <w:rPr>
                <w:rFonts w:ascii="宋体" w:hAnsi="宋体" w:eastAsia="宋体" w:cs="宋体"/>
                <w:color w:val="auto"/>
                <w:spacing w:val="-5"/>
                <w:sz w:val="21"/>
                <w:szCs w:val="21"/>
              </w:rPr>
              <w:t>量</w:t>
            </w:r>
          </w:p>
        </w:tc>
        <w:tc>
          <w:tcPr>
            <w:tcW w:w="5850" w:type="dxa"/>
            <w:vAlign w:val="top"/>
          </w:tcPr>
          <w:p w14:paraId="2BB9E7D3">
            <w:pPr>
              <w:spacing w:line="328" w:lineRule="auto"/>
              <w:rPr>
                <w:rFonts w:ascii="Arial"/>
                <w:color w:val="auto"/>
                <w:sz w:val="21"/>
              </w:rPr>
            </w:pPr>
          </w:p>
          <w:p w14:paraId="3E01236A">
            <w:pPr>
              <w:spacing w:before="68" w:line="221" w:lineRule="auto"/>
              <w:ind w:left="2362"/>
              <w:rPr>
                <w:rFonts w:ascii="宋体" w:hAnsi="宋体" w:eastAsia="宋体" w:cs="宋体"/>
                <w:color w:val="auto"/>
                <w:sz w:val="21"/>
                <w:szCs w:val="21"/>
              </w:rPr>
            </w:pPr>
            <w:r>
              <w:rPr>
                <w:rFonts w:ascii="宋体" w:hAnsi="宋体" w:eastAsia="宋体" w:cs="宋体"/>
                <w:color w:val="auto"/>
                <w:spacing w:val="-8"/>
                <w:sz w:val="21"/>
                <w:szCs w:val="21"/>
              </w:rPr>
              <w:t>资</w:t>
            </w:r>
            <w:r>
              <w:rPr>
                <w:rFonts w:ascii="宋体" w:hAnsi="宋体" w:eastAsia="宋体" w:cs="宋体"/>
                <w:color w:val="auto"/>
                <w:spacing w:val="8"/>
                <w:sz w:val="21"/>
                <w:szCs w:val="21"/>
              </w:rPr>
              <w:t xml:space="preserve"> </w:t>
            </w:r>
            <w:r>
              <w:rPr>
                <w:rFonts w:ascii="宋体" w:hAnsi="宋体" w:eastAsia="宋体" w:cs="宋体"/>
                <w:color w:val="auto"/>
                <w:spacing w:val="-8"/>
                <w:sz w:val="21"/>
                <w:szCs w:val="21"/>
              </w:rPr>
              <w:t>格</w:t>
            </w:r>
            <w:r>
              <w:rPr>
                <w:rFonts w:ascii="宋体" w:hAnsi="宋体" w:eastAsia="宋体" w:cs="宋体"/>
                <w:color w:val="auto"/>
                <w:spacing w:val="10"/>
                <w:sz w:val="21"/>
                <w:szCs w:val="21"/>
              </w:rPr>
              <w:t xml:space="preserve"> </w:t>
            </w:r>
            <w:r>
              <w:rPr>
                <w:rFonts w:ascii="宋体" w:hAnsi="宋体" w:eastAsia="宋体" w:cs="宋体"/>
                <w:color w:val="auto"/>
                <w:spacing w:val="-8"/>
                <w:sz w:val="21"/>
                <w:szCs w:val="21"/>
              </w:rPr>
              <w:t>要</w:t>
            </w:r>
            <w:r>
              <w:rPr>
                <w:rFonts w:ascii="宋体" w:hAnsi="宋体" w:eastAsia="宋体" w:cs="宋体"/>
                <w:color w:val="auto"/>
                <w:spacing w:val="11"/>
                <w:sz w:val="21"/>
                <w:szCs w:val="21"/>
              </w:rPr>
              <w:t xml:space="preserve"> </w:t>
            </w:r>
            <w:r>
              <w:rPr>
                <w:rFonts w:ascii="宋体" w:hAnsi="宋体" w:eastAsia="宋体" w:cs="宋体"/>
                <w:color w:val="auto"/>
                <w:spacing w:val="-8"/>
                <w:sz w:val="21"/>
                <w:szCs w:val="21"/>
              </w:rPr>
              <w:t>求</w:t>
            </w:r>
          </w:p>
        </w:tc>
      </w:tr>
      <w:tr w14:paraId="4D280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834" w:type="dxa"/>
            <w:vAlign w:val="top"/>
          </w:tcPr>
          <w:p w14:paraId="15E04CA1">
            <w:pPr>
              <w:spacing w:line="281" w:lineRule="auto"/>
              <w:rPr>
                <w:rFonts w:ascii="Arial"/>
                <w:color w:val="auto"/>
                <w:sz w:val="21"/>
              </w:rPr>
            </w:pPr>
          </w:p>
          <w:p w14:paraId="73E2658F">
            <w:pPr>
              <w:spacing w:line="282" w:lineRule="auto"/>
              <w:rPr>
                <w:rFonts w:ascii="Arial"/>
                <w:color w:val="auto"/>
                <w:sz w:val="21"/>
              </w:rPr>
            </w:pPr>
          </w:p>
          <w:p w14:paraId="743EEFB9">
            <w:pPr>
              <w:spacing w:before="68" w:line="219" w:lineRule="auto"/>
              <w:ind w:left="396"/>
              <w:rPr>
                <w:rFonts w:ascii="宋体" w:hAnsi="宋体" w:eastAsia="宋体" w:cs="宋体"/>
                <w:color w:val="auto"/>
                <w:sz w:val="21"/>
                <w:szCs w:val="21"/>
              </w:rPr>
            </w:pPr>
            <w:r>
              <w:rPr>
                <w:rFonts w:ascii="宋体" w:hAnsi="宋体" w:eastAsia="宋体" w:cs="宋体"/>
                <w:color w:val="auto"/>
                <w:spacing w:val="-1"/>
                <w:sz w:val="21"/>
                <w:szCs w:val="21"/>
              </w:rPr>
              <w:t>造价工程师</w:t>
            </w:r>
          </w:p>
        </w:tc>
        <w:tc>
          <w:tcPr>
            <w:tcW w:w="1329" w:type="dxa"/>
            <w:vAlign w:val="top"/>
          </w:tcPr>
          <w:p w14:paraId="2DE29C5A">
            <w:pPr>
              <w:spacing w:line="310" w:lineRule="auto"/>
              <w:rPr>
                <w:rFonts w:ascii="Arial"/>
                <w:color w:val="auto"/>
                <w:sz w:val="21"/>
              </w:rPr>
            </w:pPr>
          </w:p>
          <w:p w14:paraId="04D29AB0">
            <w:pPr>
              <w:spacing w:line="311" w:lineRule="auto"/>
              <w:rPr>
                <w:rFonts w:ascii="Arial"/>
                <w:color w:val="auto"/>
                <w:sz w:val="21"/>
              </w:rPr>
            </w:pPr>
          </w:p>
          <w:p w14:paraId="22629C46">
            <w:pPr>
              <w:spacing w:before="61" w:line="184" w:lineRule="auto"/>
              <w:ind w:left="615"/>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5</w:t>
            </w:r>
          </w:p>
        </w:tc>
        <w:tc>
          <w:tcPr>
            <w:tcW w:w="5850" w:type="dxa"/>
            <w:vAlign w:val="top"/>
          </w:tcPr>
          <w:p w14:paraId="04D7ADD8">
            <w:pPr>
              <w:spacing w:before="193" w:line="386" w:lineRule="auto"/>
              <w:ind w:left="118" w:right="103"/>
              <w:jc w:val="both"/>
              <w:rPr>
                <w:rFonts w:ascii="宋体" w:hAnsi="宋体" w:eastAsia="宋体" w:cs="宋体"/>
                <w:color w:val="auto"/>
                <w:sz w:val="21"/>
                <w:szCs w:val="21"/>
              </w:rPr>
            </w:pPr>
            <w:r>
              <w:rPr>
                <w:rFonts w:ascii="宋体" w:hAnsi="宋体" w:eastAsia="宋体" w:cs="宋体"/>
                <w:color w:val="auto"/>
                <w:spacing w:val="-4"/>
                <w:sz w:val="21"/>
                <w:szCs w:val="21"/>
              </w:rPr>
              <w:t>具有交通运输部公路工程造价人员资格证书（甲级）</w:t>
            </w:r>
            <w:r>
              <w:rPr>
                <w:rFonts w:ascii="宋体" w:hAnsi="宋体" w:eastAsia="宋体" w:cs="宋体"/>
                <w:color w:val="auto"/>
                <w:spacing w:val="-46"/>
                <w:sz w:val="21"/>
                <w:szCs w:val="21"/>
              </w:rPr>
              <w:t xml:space="preserve"> </w:t>
            </w:r>
            <w:r>
              <w:rPr>
                <w:rFonts w:ascii="宋体" w:hAnsi="宋体" w:eastAsia="宋体" w:cs="宋体"/>
                <w:color w:val="auto"/>
                <w:spacing w:val="-4"/>
                <w:sz w:val="21"/>
                <w:szCs w:val="21"/>
              </w:rPr>
              <w:t>或国家一</w:t>
            </w:r>
            <w:r>
              <w:rPr>
                <w:rFonts w:ascii="宋体" w:hAnsi="宋体" w:eastAsia="宋体" w:cs="宋体"/>
                <w:color w:val="auto"/>
                <w:sz w:val="21"/>
                <w:szCs w:val="21"/>
              </w:rPr>
              <w:t xml:space="preserve"> </w:t>
            </w:r>
            <w:r>
              <w:rPr>
                <w:rFonts w:ascii="宋体" w:hAnsi="宋体" w:eastAsia="宋体" w:cs="宋体"/>
                <w:color w:val="auto"/>
                <w:spacing w:val="2"/>
                <w:sz w:val="21"/>
                <w:szCs w:val="21"/>
              </w:rPr>
              <w:t>级注册造价工程师证书（交通运输工程专业</w:t>
            </w:r>
            <w:r>
              <w:rPr>
                <w:rFonts w:ascii="宋体" w:hAnsi="宋体" w:eastAsia="宋体" w:cs="宋体"/>
                <w:color w:val="auto"/>
                <w:spacing w:val="-50"/>
                <w:sz w:val="21"/>
                <w:szCs w:val="21"/>
              </w:rPr>
              <w:t>），</w:t>
            </w:r>
            <w:r>
              <w:rPr>
                <w:rFonts w:ascii="宋体" w:hAnsi="宋体" w:eastAsia="宋体" w:cs="宋体"/>
                <w:color w:val="auto"/>
                <w:spacing w:val="2"/>
                <w:sz w:val="21"/>
                <w:szCs w:val="21"/>
              </w:rPr>
              <w:t>注册单位名称</w:t>
            </w:r>
          </w:p>
          <w:p w14:paraId="7C909EA4">
            <w:pPr>
              <w:spacing w:line="213" w:lineRule="auto"/>
              <w:ind w:left="118"/>
              <w:rPr>
                <w:rFonts w:ascii="宋体" w:hAnsi="宋体" w:eastAsia="宋体" w:cs="宋体"/>
                <w:color w:val="auto"/>
                <w:sz w:val="21"/>
                <w:szCs w:val="21"/>
              </w:rPr>
            </w:pPr>
            <w:r>
              <w:rPr>
                <w:rFonts w:ascii="宋体" w:hAnsi="宋体" w:eastAsia="宋体" w:cs="宋体"/>
                <w:color w:val="auto"/>
                <w:spacing w:val="-1"/>
                <w:sz w:val="21"/>
                <w:szCs w:val="21"/>
              </w:rPr>
              <w:t>须与投标人名称一致。</w:t>
            </w:r>
            <w:r>
              <w:rPr>
                <w:rFonts w:hint="eastAsia" w:ascii="宋体" w:hAnsi="宋体" w:eastAsia="宋体" w:cs="宋体"/>
                <w:snapToGrid w:val="0"/>
                <w:color w:val="auto"/>
                <w:spacing w:val="-2"/>
                <w:kern w:val="0"/>
                <w:sz w:val="21"/>
                <w:szCs w:val="21"/>
                <w:lang w:val="en-US" w:eastAsia="en-US" w:bidi="ar-SA"/>
              </w:rPr>
              <w:t>提供至投标截止时间前连续六个月社保证明</w:t>
            </w:r>
          </w:p>
        </w:tc>
      </w:tr>
      <w:tr w14:paraId="559B7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1834" w:type="dxa"/>
            <w:vAlign w:val="top"/>
          </w:tcPr>
          <w:p w14:paraId="5C027C14">
            <w:pPr>
              <w:spacing w:line="281" w:lineRule="auto"/>
              <w:rPr>
                <w:rFonts w:ascii="Arial"/>
                <w:color w:val="auto"/>
                <w:sz w:val="21"/>
              </w:rPr>
            </w:pPr>
          </w:p>
          <w:p w14:paraId="57ECC76E">
            <w:pPr>
              <w:spacing w:line="282" w:lineRule="auto"/>
              <w:rPr>
                <w:rFonts w:ascii="Arial"/>
                <w:color w:val="auto"/>
                <w:sz w:val="21"/>
              </w:rPr>
            </w:pPr>
          </w:p>
          <w:p w14:paraId="505C2BE1">
            <w:pPr>
              <w:spacing w:before="69" w:line="221" w:lineRule="auto"/>
              <w:ind w:left="186"/>
              <w:rPr>
                <w:rFonts w:ascii="宋体" w:hAnsi="宋体" w:eastAsia="宋体" w:cs="宋体"/>
                <w:color w:val="auto"/>
                <w:sz w:val="21"/>
                <w:szCs w:val="21"/>
              </w:rPr>
            </w:pPr>
            <w:r>
              <w:rPr>
                <w:rFonts w:ascii="宋体" w:hAnsi="宋体" w:eastAsia="宋体" w:cs="宋体"/>
                <w:color w:val="auto"/>
                <w:spacing w:val="-1"/>
                <w:sz w:val="21"/>
                <w:szCs w:val="21"/>
              </w:rPr>
              <w:t>其他的专业人员</w:t>
            </w:r>
          </w:p>
        </w:tc>
        <w:tc>
          <w:tcPr>
            <w:tcW w:w="1329" w:type="dxa"/>
            <w:vAlign w:val="top"/>
          </w:tcPr>
          <w:p w14:paraId="31D9E3C3">
            <w:pPr>
              <w:spacing w:line="309" w:lineRule="auto"/>
              <w:rPr>
                <w:rFonts w:ascii="Arial"/>
                <w:color w:val="auto"/>
                <w:sz w:val="21"/>
              </w:rPr>
            </w:pPr>
          </w:p>
          <w:p w14:paraId="6EB1559D">
            <w:pPr>
              <w:spacing w:line="310" w:lineRule="auto"/>
              <w:rPr>
                <w:rFonts w:ascii="Arial"/>
                <w:color w:val="auto"/>
                <w:sz w:val="21"/>
              </w:rPr>
            </w:pPr>
          </w:p>
          <w:p w14:paraId="53307E57">
            <w:pPr>
              <w:spacing w:before="60" w:line="187" w:lineRule="auto"/>
              <w:ind w:left="609"/>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2</w:t>
            </w:r>
          </w:p>
        </w:tc>
        <w:tc>
          <w:tcPr>
            <w:tcW w:w="5850" w:type="dxa"/>
            <w:vAlign w:val="top"/>
          </w:tcPr>
          <w:p w14:paraId="24FD0AE2">
            <w:pPr>
              <w:spacing w:before="194" w:line="386" w:lineRule="auto"/>
              <w:ind w:left="118" w:right="103"/>
              <w:jc w:val="both"/>
              <w:rPr>
                <w:rFonts w:ascii="宋体" w:hAnsi="宋体" w:eastAsia="宋体" w:cs="宋体"/>
                <w:color w:val="auto"/>
                <w:sz w:val="21"/>
                <w:szCs w:val="21"/>
              </w:rPr>
            </w:pPr>
            <w:r>
              <w:rPr>
                <w:rFonts w:ascii="宋体" w:hAnsi="宋体" w:eastAsia="宋体" w:cs="宋体"/>
                <w:color w:val="auto"/>
                <w:spacing w:val="-5"/>
                <w:sz w:val="21"/>
                <w:szCs w:val="21"/>
              </w:rPr>
              <w:t>具有交通运输部公路工程造价人员资格证书（乙级及以上）</w:t>
            </w:r>
            <w:r>
              <w:rPr>
                <w:rFonts w:ascii="宋体" w:hAnsi="宋体" w:eastAsia="宋体" w:cs="宋体"/>
                <w:color w:val="auto"/>
                <w:spacing w:val="-19"/>
                <w:sz w:val="21"/>
                <w:szCs w:val="21"/>
              </w:rPr>
              <w:t xml:space="preserve"> </w:t>
            </w:r>
            <w:r>
              <w:rPr>
                <w:rFonts w:ascii="宋体" w:hAnsi="宋体" w:eastAsia="宋体" w:cs="宋体"/>
                <w:color w:val="auto"/>
                <w:spacing w:val="-5"/>
                <w:sz w:val="21"/>
                <w:szCs w:val="21"/>
              </w:rPr>
              <w:t>或</w:t>
            </w:r>
            <w:r>
              <w:rPr>
                <w:rFonts w:ascii="宋体" w:hAnsi="宋体" w:eastAsia="宋体" w:cs="宋体"/>
                <w:color w:val="auto"/>
                <w:sz w:val="21"/>
                <w:szCs w:val="21"/>
              </w:rPr>
              <w:t xml:space="preserve"> </w:t>
            </w:r>
            <w:r>
              <w:rPr>
                <w:rFonts w:ascii="宋体" w:hAnsi="宋体" w:eastAsia="宋体" w:cs="宋体"/>
                <w:color w:val="auto"/>
                <w:spacing w:val="-1"/>
                <w:sz w:val="21"/>
                <w:szCs w:val="21"/>
              </w:rPr>
              <w:t>二级及以上注册造价工程师证书（交通运输工程专业</w:t>
            </w:r>
            <w:r>
              <w:rPr>
                <w:rFonts w:ascii="宋体" w:hAnsi="宋体" w:eastAsia="宋体" w:cs="宋体"/>
                <w:color w:val="auto"/>
                <w:spacing w:val="-11"/>
                <w:sz w:val="21"/>
                <w:szCs w:val="21"/>
              </w:rPr>
              <w:t>），</w:t>
            </w:r>
            <w:r>
              <w:rPr>
                <w:rFonts w:ascii="宋体" w:hAnsi="宋体" w:eastAsia="宋体" w:cs="宋体"/>
                <w:color w:val="auto"/>
                <w:spacing w:val="-2"/>
                <w:sz w:val="21"/>
                <w:szCs w:val="21"/>
              </w:rPr>
              <w:t>注册</w:t>
            </w:r>
          </w:p>
          <w:p w14:paraId="47A76AB6">
            <w:pPr>
              <w:spacing w:before="1" w:line="212" w:lineRule="auto"/>
              <w:ind w:left="117"/>
              <w:rPr>
                <w:rFonts w:ascii="宋体" w:hAnsi="宋体" w:eastAsia="宋体" w:cs="宋体"/>
                <w:color w:val="auto"/>
                <w:sz w:val="21"/>
                <w:szCs w:val="21"/>
              </w:rPr>
            </w:pPr>
            <w:r>
              <w:rPr>
                <w:rFonts w:ascii="宋体" w:hAnsi="宋体" w:eastAsia="宋体" w:cs="宋体"/>
                <w:color w:val="auto"/>
                <w:spacing w:val="-1"/>
                <w:sz w:val="21"/>
                <w:szCs w:val="21"/>
              </w:rPr>
              <w:t>单位名称须与投标人名称一致。</w:t>
            </w:r>
            <w:r>
              <w:rPr>
                <w:rFonts w:hint="eastAsia" w:ascii="宋体" w:hAnsi="宋体" w:eastAsia="宋体" w:cs="宋体"/>
                <w:snapToGrid w:val="0"/>
                <w:color w:val="auto"/>
                <w:spacing w:val="-2"/>
                <w:kern w:val="0"/>
                <w:sz w:val="21"/>
                <w:szCs w:val="21"/>
                <w:lang w:val="en-US" w:eastAsia="en-US" w:bidi="ar-SA"/>
              </w:rPr>
              <w:t>提供至投标截止时间前连续六个月社保证明</w:t>
            </w:r>
          </w:p>
        </w:tc>
      </w:tr>
      <w:tr w14:paraId="3DF30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4" w:type="dxa"/>
            <w:vAlign w:val="center"/>
          </w:tcPr>
          <w:p w14:paraId="64FAE66A">
            <w:pPr>
              <w:spacing w:before="194" w:line="386" w:lineRule="auto"/>
              <w:ind w:left="118" w:right="103"/>
              <w:jc w:val="center"/>
              <w:rPr>
                <w:rFonts w:hint="default"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会计专业人员</w:t>
            </w:r>
          </w:p>
        </w:tc>
        <w:tc>
          <w:tcPr>
            <w:tcW w:w="1329" w:type="dxa"/>
            <w:vAlign w:val="center"/>
          </w:tcPr>
          <w:p w14:paraId="546D30AB">
            <w:pPr>
              <w:spacing w:before="194" w:line="386" w:lineRule="auto"/>
              <w:ind w:left="118" w:right="103"/>
              <w:jc w:val="center"/>
              <w:rPr>
                <w:rFonts w:hint="eastAsia" w:ascii="宋体" w:hAnsi="宋体" w:eastAsia="宋体" w:cs="宋体"/>
                <w:color w:val="auto"/>
                <w:spacing w:val="-5"/>
                <w:sz w:val="21"/>
                <w:szCs w:val="21"/>
                <w:lang w:val="en-US" w:eastAsia="zh-CN"/>
              </w:rPr>
            </w:pPr>
            <w:r>
              <w:rPr>
                <w:rFonts w:hint="eastAsia" w:ascii="宋体" w:hAnsi="宋体" w:eastAsia="宋体" w:cs="宋体"/>
                <w:color w:val="auto"/>
                <w:spacing w:val="-5"/>
                <w:sz w:val="21"/>
                <w:szCs w:val="21"/>
                <w:lang w:val="en-US" w:eastAsia="zh-CN"/>
              </w:rPr>
              <w:t>1</w:t>
            </w:r>
          </w:p>
        </w:tc>
        <w:tc>
          <w:tcPr>
            <w:tcW w:w="5850" w:type="dxa"/>
            <w:vAlign w:val="top"/>
          </w:tcPr>
          <w:p w14:paraId="0FA3BDC2">
            <w:pPr>
              <w:spacing w:before="194" w:line="386" w:lineRule="auto"/>
              <w:ind w:left="118" w:right="103"/>
              <w:jc w:val="both"/>
              <w:rPr>
                <w:rFonts w:ascii="Arial"/>
                <w:color w:val="auto"/>
                <w:sz w:val="21"/>
              </w:rPr>
            </w:pPr>
            <w:r>
              <w:rPr>
                <w:rFonts w:ascii="宋体" w:hAnsi="宋体" w:eastAsia="宋体" w:cs="宋体"/>
                <w:color w:val="auto"/>
                <w:spacing w:val="-5"/>
                <w:sz w:val="21"/>
                <w:szCs w:val="21"/>
              </w:rPr>
              <w:t>具有</w:t>
            </w:r>
            <w:r>
              <w:rPr>
                <w:rFonts w:ascii="Arial" w:hAnsi="Arial" w:eastAsia="Arial" w:cs="Arial"/>
                <w:i w:val="0"/>
                <w:iCs w:val="0"/>
                <w:caps w:val="0"/>
                <w:color w:val="auto"/>
                <w:spacing w:val="0"/>
                <w:sz w:val="21"/>
                <w:szCs w:val="21"/>
                <w:u w:val="none"/>
                <w:shd w:val="clear" w:fill="FFFFFF"/>
              </w:rPr>
              <w:t>‌</w:t>
            </w:r>
            <w:r>
              <w:rPr>
                <w:rStyle w:val="6"/>
                <w:rFonts w:hint="default" w:ascii="Arial" w:hAnsi="Arial" w:eastAsia="Arial" w:cs="Arial"/>
                <w:i w:val="0"/>
                <w:iCs w:val="0"/>
                <w:caps w:val="0"/>
                <w:color w:val="auto"/>
                <w:spacing w:val="0"/>
                <w:sz w:val="21"/>
                <w:szCs w:val="21"/>
                <w:u w:val="none"/>
                <w:shd w:val="clear" w:fill="FFFFFF"/>
              </w:rPr>
              <w:fldChar w:fldCharType="begin"/>
            </w:r>
            <w:r>
              <w:rPr>
                <w:rStyle w:val="6"/>
                <w:rFonts w:hint="default" w:ascii="Arial" w:hAnsi="Arial" w:eastAsia="Arial" w:cs="Arial"/>
                <w:i w:val="0"/>
                <w:iCs w:val="0"/>
                <w:caps w:val="0"/>
                <w:color w:val="auto"/>
                <w:spacing w:val="0"/>
                <w:sz w:val="21"/>
                <w:szCs w:val="21"/>
                <w:u w:val="none"/>
                <w:shd w:val="clear" w:fill="FFFFFF"/>
              </w:rPr>
              <w:instrText xml:space="preserve"> HYPERLINK "https://www.baidu.com/s?wd=%E4%B8%AD%E7%BA%A7%E4%BC%9A%E8%AE%A1%E8%81%8C%E7%A7%B0&amp;rsv_idx=2&amp;tn=baiduhome_pg&amp;usm=6&amp;ie=utf-8&amp;rsv_pq=b5df9c5e00a16974&amp;oq=%E4%BC%9A%E8%AE%A1%E7%B1%BB%E8%AF%81%E4%B9%A6&amp;rsv_t=6345laq+MdCmcNONyeaWrEhZXzW30udCkjkQhC1qGfPQ2k+Fxflo8+jmPTqXSeb+YAEl&amp;rsv_dl=re_dqa_generate&amp;sa=re_dqa_generate" \t "https://www.baidu.com/_self" </w:instrText>
            </w:r>
            <w:r>
              <w:rPr>
                <w:rStyle w:val="6"/>
                <w:rFonts w:hint="default" w:ascii="Arial" w:hAnsi="Arial" w:eastAsia="Arial" w:cs="Arial"/>
                <w:i w:val="0"/>
                <w:iCs w:val="0"/>
                <w:caps w:val="0"/>
                <w:color w:val="auto"/>
                <w:spacing w:val="0"/>
                <w:sz w:val="21"/>
                <w:szCs w:val="21"/>
                <w:u w:val="none"/>
                <w:shd w:val="clear" w:fill="FFFFFF"/>
              </w:rPr>
              <w:fldChar w:fldCharType="separate"/>
            </w:r>
            <w:r>
              <w:rPr>
                <w:rStyle w:val="7"/>
                <w:rFonts w:hint="default" w:ascii="Arial" w:hAnsi="Arial" w:eastAsia="Arial" w:cs="Arial"/>
                <w:i w:val="0"/>
                <w:iCs w:val="0"/>
                <w:caps w:val="0"/>
                <w:color w:val="auto"/>
                <w:spacing w:val="0"/>
                <w:sz w:val="21"/>
                <w:szCs w:val="21"/>
                <w:u w:val="none"/>
                <w:shd w:val="clear" w:fill="FFFFFF"/>
              </w:rPr>
              <w:t>中级会计职称</w:t>
            </w:r>
            <w:r>
              <w:rPr>
                <w:rStyle w:val="6"/>
                <w:rFonts w:hint="default" w:ascii="Arial" w:hAnsi="Arial" w:eastAsia="Arial" w:cs="Arial"/>
                <w:i w:val="0"/>
                <w:iCs w:val="0"/>
                <w:caps w:val="0"/>
                <w:color w:val="auto"/>
                <w:spacing w:val="0"/>
                <w:sz w:val="21"/>
                <w:szCs w:val="21"/>
                <w:u w:val="none"/>
                <w:shd w:val="clear" w:fill="FFFFFF"/>
              </w:rPr>
              <w:fldChar w:fldCharType="end"/>
            </w:r>
            <w:r>
              <w:rPr>
                <w:rFonts w:ascii="宋体" w:hAnsi="宋体" w:eastAsia="宋体" w:cs="宋体"/>
                <w:color w:val="auto"/>
                <w:spacing w:val="-11"/>
                <w:sz w:val="21"/>
                <w:szCs w:val="21"/>
              </w:rPr>
              <w:t>，</w:t>
            </w:r>
            <w:r>
              <w:rPr>
                <w:rFonts w:ascii="宋体" w:hAnsi="宋体" w:eastAsia="宋体" w:cs="宋体"/>
                <w:color w:val="auto"/>
                <w:spacing w:val="-2"/>
                <w:sz w:val="21"/>
                <w:szCs w:val="21"/>
              </w:rPr>
              <w:t>注册</w:t>
            </w:r>
            <w:r>
              <w:rPr>
                <w:rFonts w:ascii="宋体" w:hAnsi="宋体" w:eastAsia="宋体" w:cs="宋体"/>
                <w:color w:val="auto"/>
                <w:spacing w:val="-1"/>
                <w:sz w:val="21"/>
                <w:szCs w:val="21"/>
              </w:rPr>
              <w:t>单位名称须与投标人名称一致。</w:t>
            </w:r>
            <w:r>
              <w:rPr>
                <w:rFonts w:hint="eastAsia" w:ascii="宋体" w:hAnsi="宋体" w:eastAsia="宋体" w:cs="宋体"/>
                <w:snapToGrid w:val="0"/>
                <w:color w:val="auto"/>
                <w:spacing w:val="-2"/>
                <w:kern w:val="0"/>
                <w:sz w:val="21"/>
                <w:szCs w:val="21"/>
                <w:lang w:val="en-US" w:eastAsia="en-US" w:bidi="ar-SA"/>
              </w:rPr>
              <w:t>提供至投标截止时间前连续六个月社保证明</w:t>
            </w:r>
          </w:p>
        </w:tc>
      </w:tr>
      <w:tr w14:paraId="61A01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4" w:type="dxa"/>
            <w:vAlign w:val="top"/>
          </w:tcPr>
          <w:p w14:paraId="0C2E3EA1">
            <w:pPr>
              <w:rPr>
                <w:rFonts w:ascii="Arial"/>
                <w:color w:val="auto"/>
                <w:sz w:val="21"/>
              </w:rPr>
            </w:pPr>
          </w:p>
        </w:tc>
        <w:tc>
          <w:tcPr>
            <w:tcW w:w="1329" w:type="dxa"/>
            <w:vAlign w:val="top"/>
          </w:tcPr>
          <w:p w14:paraId="5ECDC586">
            <w:pPr>
              <w:rPr>
                <w:rFonts w:ascii="Arial"/>
                <w:color w:val="auto"/>
                <w:sz w:val="21"/>
              </w:rPr>
            </w:pPr>
          </w:p>
        </w:tc>
        <w:tc>
          <w:tcPr>
            <w:tcW w:w="5850" w:type="dxa"/>
            <w:vAlign w:val="top"/>
          </w:tcPr>
          <w:p w14:paraId="360DE0F9">
            <w:pPr>
              <w:rPr>
                <w:rFonts w:ascii="Arial"/>
                <w:color w:val="auto"/>
                <w:sz w:val="21"/>
              </w:rPr>
            </w:pPr>
          </w:p>
        </w:tc>
      </w:tr>
      <w:tr w14:paraId="24114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34" w:type="dxa"/>
            <w:vAlign w:val="top"/>
          </w:tcPr>
          <w:p w14:paraId="4F8FF961">
            <w:pPr>
              <w:rPr>
                <w:rFonts w:ascii="Arial"/>
                <w:color w:val="auto"/>
                <w:sz w:val="21"/>
              </w:rPr>
            </w:pPr>
          </w:p>
        </w:tc>
        <w:tc>
          <w:tcPr>
            <w:tcW w:w="1329" w:type="dxa"/>
            <w:vAlign w:val="top"/>
          </w:tcPr>
          <w:p w14:paraId="636C082F">
            <w:pPr>
              <w:rPr>
                <w:rFonts w:ascii="Arial"/>
                <w:color w:val="auto"/>
                <w:sz w:val="21"/>
              </w:rPr>
            </w:pPr>
          </w:p>
        </w:tc>
        <w:tc>
          <w:tcPr>
            <w:tcW w:w="5850" w:type="dxa"/>
            <w:vAlign w:val="top"/>
          </w:tcPr>
          <w:p w14:paraId="49F5B048">
            <w:pPr>
              <w:rPr>
                <w:rFonts w:ascii="Arial"/>
                <w:color w:val="auto"/>
                <w:sz w:val="21"/>
              </w:rPr>
            </w:pPr>
          </w:p>
        </w:tc>
      </w:tr>
      <w:tr w14:paraId="22915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4" w:type="dxa"/>
            <w:vAlign w:val="top"/>
          </w:tcPr>
          <w:p w14:paraId="513AC65B">
            <w:pPr>
              <w:rPr>
                <w:rFonts w:ascii="Arial"/>
                <w:color w:val="auto"/>
                <w:sz w:val="21"/>
              </w:rPr>
            </w:pPr>
          </w:p>
        </w:tc>
        <w:tc>
          <w:tcPr>
            <w:tcW w:w="1329" w:type="dxa"/>
            <w:vAlign w:val="top"/>
          </w:tcPr>
          <w:p w14:paraId="263721F2">
            <w:pPr>
              <w:rPr>
                <w:rFonts w:ascii="Arial"/>
                <w:color w:val="auto"/>
                <w:sz w:val="21"/>
              </w:rPr>
            </w:pPr>
          </w:p>
        </w:tc>
        <w:tc>
          <w:tcPr>
            <w:tcW w:w="5850" w:type="dxa"/>
            <w:vAlign w:val="top"/>
          </w:tcPr>
          <w:p w14:paraId="084C8211">
            <w:pPr>
              <w:rPr>
                <w:rFonts w:ascii="Arial"/>
                <w:color w:val="auto"/>
                <w:sz w:val="21"/>
              </w:rPr>
            </w:pPr>
          </w:p>
        </w:tc>
      </w:tr>
      <w:tr w14:paraId="63AD9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34" w:type="dxa"/>
            <w:vAlign w:val="top"/>
          </w:tcPr>
          <w:p w14:paraId="06693A81">
            <w:pPr>
              <w:rPr>
                <w:rFonts w:ascii="Arial"/>
                <w:color w:val="auto"/>
                <w:sz w:val="21"/>
              </w:rPr>
            </w:pPr>
          </w:p>
        </w:tc>
        <w:tc>
          <w:tcPr>
            <w:tcW w:w="1329" w:type="dxa"/>
            <w:vAlign w:val="top"/>
          </w:tcPr>
          <w:p w14:paraId="4845A5ED">
            <w:pPr>
              <w:rPr>
                <w:rFonts w:ascii="Arial"/>
                <w:color w:val="auto"/>
                <w:sz w:val="21"/>
              </w:rPr>
            </w:pPr>
          </w:p>
        </w:tc>
        <w:tc>
          <w:tcPr>
            <w:tcW w:w="5850" w:type="dxa"/>
            <w:vAlign w:val="top"/>
          </w:tcPr>
          <w:p w14:paraId="2D2CB6E0">
            <w:pPr>
              <w:rPr>
                <w:rFonts w:ascii="Arial"/>
                <w:color w:val="auto"/>
                <w:sz w:val="21"/>
              </w:rPr>
            </w:pPr>
          </w:p>
        </w:tc>
      </w:tr>
      <w:tr w14:paraId="1A7FB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34" w:type="dxa"/>
            <w:vAlign w:val="top"/>
          </w:tcPr>
          <w:p w14:paraId="7CE04997">
            <w:pPr>
              <w:rPr>
                <w:rFonts w:ascii="Arial"/>
                <w:color w:val="auto"/>
                <w:sz w:val="21"/>
              </w:rPr>
            </w:pPr>
          </w:p>
        </w:tc>
        <w:tc>
          <w:tcPr>
            <w:tcW w:w="1329" w:type="dxa"/>
            <w:vAlign w:val="top"/>
          </w:tcPr>
          <w:p w14:paraId="245D2486">
            <w:pPr>
              <w:rPr>
                <w:rFonts w:ascii="Arial"/>
                <w:color w:val="auto"/>
                <w:sz w:val="21"/>
              </w:rPr>
            </w:pPr>
          </w:p>
        </w:tc>
        <w:tc>
          <w:tcPr>
            <w:tcW w:w="5850" w:type="dxa"/>
            <w:vAlign w:val="top"/>
          </w:tcPr>
          <w:p w14:paraId="17355E66">
            <w:pPr>
              <w:rPr>
                <w:rFonts w:ascii="Arial"/>
                <w:color w:val="auto"/>
                <w:sz w:val="21"/>
              </w:rPr>
            </w:pPr>
          </w:p>
        </w:tc>
      </w:tr>
      <w:tr w14:paraId="16DA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4" w:type="dxa"/>
            <w:vAlign w:val="top"/>
          </w:tcPr>
          <w:p w14:paraId="43C82168">
            <w:pPr>
              <w:rPr>
                <w:rFonts w:ascii="Arial"/>
                <w:color w:val="auto"/>
                <w:sz w:val="21"/>
              </w:rPr>
            </w:pPr>
          </w:p>
        </w:tc>
        <w:tc>
          <w:tcPr>
            <w:tcW w:w="1329" w:type="dxa"/>
            <w:vAlign w:val="top"/>
          </w:tcPr>
          <w:p w14:paraId="707F507E">
            <w:pPr>
              <w:rPr>
                <w:rFonts w:ascii="Arial"/>
                <w:color w:val="auto"/>
                <w:sz w:val="21"/>
              </w:rPr>
            </w:pPr>
          </w:p>
        </w:tc>
        <w:tc>
          <w:tcPr>
            <w:tcW w:w="5850" w:type="dxa"/>
            <w:vAlign w:val="top"/>
          </w:tcPr>
          <w:p w14:paraId="7B96571E">
            <w:pPr>
              <w:rPr>
                <w:rFonts w:ascii="Arial"/>
                <w:color w:val="auto"/>
                <w:sz w:val="21"/>
              </w:rPr>
            </w:pPr>
          </w:p>
        </w:tc>
      </w:tr>
      <w:tr w14:paraId="29D52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4" w:type="dxa"/>
            <w:vAlign w:val="top"/>
          </w:tcPr>
          <w:p w14:paraId="434B5565">
            <w:pPr>
              <w:rPr>
                <w:rFonts w:ascii="Arial"/>
                <w:color w:val="auto"/>
                <w:sz w:val="21"/>
              </w:rPr>
            </w:pPr>
          </w:p>
        </w:tc>
        <w:tc>
          <w:tcPr>
            <w:tcW w:w="1329" w:type="dxa"/>
            <w:vAlign w:val="top"/>
          </w:tcPr>
          <w:p w14:paraId="39FAF884">
            <w:pPr>
              <w:rPr>
                <w:rFonts w:ascii="Arial"/>
                <w:color w:val="auto"/>
                <w:sz w:val="21"/>
              </w:rPr>
            </w:pPr>
          </w:p>
        </w:tc>
        <w:tc>
          <w:tcPr>
            <w:tcW w:w="5850" w:type="dxa"/>
            <w:vAlign w:val="top"/>
          </w:tcPr>
          <w:p w14:paraId="13AFE07C">
            <w:pPr>
              <w:rPr>
                <w:rFonts w:ascii="Arial"/>
                <w:color w:val="auto"/>
                <w:sz w:val="21"/>
              </w:rPr>
            </w:pPr>
          </w:p>
        </w:tc>
      </w:tr>
      <w:tr w14:paraId="238FB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34" w:type="dxa"/>
            <w:vAlign w:val="top"/>
          </w:tcPr>
          <w:p w14:paraId="3090CFDA">
            <w:pPr>
              <w:rPr>
                <w:rFonts w:ascii="Arial"/>
                <w:color w:val="auto"/>
                <w:sz w:val="21"/>
              </w:rPr>
            </w:pPr>
          </w:p>
        </w:tc>
        <w:tc>
          <w:tcPr>
            <w:tcW w:w="1329" w:type="dxa"/>
            <w:vAlign w:val="top"/>
          </w:tcPr>
          <w:p w14:paraId="2275E9F9">
            <w:pPr>
              <w:rPr>
                <w:rFonts w:ascii="Arial"/>
                <w:color w:val="auto"/>
                <w:sz w:val="21"/>
              </w:rPr>
            </w:pPr>
          </w:p>
        </w:tc>
        <w:tc>
          <w:tcPr>
            <w:tcW w:w="5850" w:type="dxa"/>
            <w:vAlign w:val="top"/>
          </w:tcPr>
          <w:p w14:paraId="29C750BC">
            <w:pPr>
              <w:rPr>
                <w:rFonts w:ascii="Arial"/>
                <w:color w:val="auto"/>
                <w:sz w:val="21"/>
              </w:rPr>
            </w:pPr>
          </w:p>
        </w:tc>
      </w:tr>
      <w:tr w14:paraId="77826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4" w:type="dxa"/>
            <w:vAlign w:val="top"/>
          </w:tcPr>
          <w:p w14:paraId="4A9763B7">
            <w:pPr>
              <w:rPr>
                <w:rFonts w:ascii="Arial"/>
                <w:color w:val="auto"/>
                <w:sz w:val="21"/>
              </w:rPr>
            </w:pPr>
          </w:p>
        </w:tc>
        <w:tc>
          <w:tcPr>
            <w:tcW w:w="1329" w:type="dxa"/>
            <w:vAlign w:val="top"/>
          </w:tcPr>
          <w:p w14:paraId="3D9B627F">
            <w:pPr>
              <w:rPr>
                <w:rFonts w:ascii="Arial"/>
                <w:color w:val="auto"/>
                <w:sz w:val="21"/>
              </w:rPr>
            </w:pPr>
          </w:p>
        </w:tc>
        <w:tc>
          <w:tcPr>
            <w:tcW w:w="5850" w:type="dxa"/>
            <w:vAlign w:val="top"/>
          </w:tcPr>
          <w:p w14:paraId="4C2B83AD">
            <w:pPr>
              <w:rPr>
                <w:rFonts w:ascii="Arial"/>
                <w:color w:val="auto"/>
                <w:sz w:val="21"/>
              </w:rPr>
            </w:pPr>
          </w:p>
        </w:tc>
      </w:tr>
      <w:tr w14:paraId="069EF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34" w:type="dxa"/>
            <w:vAlign w:val="top"/>
          </w:tcPr>
          <w:p w14:paraId="0D8CC10B">
            <w:pPr>
              <w:rPr>
                <w:rFonts w:ascii="Arial"/>
                <w:color w:val="auto"/>
                <w:sz w:val="21"/>
              </w:rPr>
            </w:pPr>
          </w:p>
        </w:tc>
        <w:tc>
          <w:tcPr>
            <w:tcW w:w="1329" w:type="dxa"/>
            <w:vAlign w:val="top"/>
          </w:tcPr>
          <w:p w14:paraId="11E8AB3B">
            <w:pPr>
              <w:rPr>
                <w:rFonts w:ascii="Arial"/>
                <w:color w:val="auto"/>
                <w:sz w:val="21"/>
              </w:rPr>
            </w:pPr>
          </w:p>
        </w:tc>
        <w:tc>
          <w:tcPr>
            <w:tcW w:w="5850" w:type="dxa"/>
            <w:vAlign w:val="top"/>
          </w:tcPr>
          <w:p w14:paraId="1A169419">
            <w:pPr>
              <w:rPr>
                <w:rFonts w:ascii="Arial"/>
                <w:color w:val="auto"/>
                <w:sz w:val="21"/>
              </w:rPr>
            </w:pPr>
          </w:p>
        </w:tc>
      </w:tr>
      <w:tr w14:paraId="2700D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834" w:type="dxa"/>
            <w:vAlign w:val="top"/>
          </w:tcPr>
          <w:p w14:paraId="747DD1AF">
            <w:pPr>
              <w:rPr>
                <w:rFonts w:ascii="Arial"/>
                <w:color w:val="auto"/>
                <w:sz w:val="21"/>
              </w:rPr>
            </w:pPr>
          </w:p>
        </w:tc>
        <w:tc>
          <w:tcPr>
            <w:tcW w:w="1329" w:type="dxa"/>
            <w:vAlign w:val="top"/>
          </w:tcPr>
          <w:p w14:paraId="097EDD1A">
            <w:pPr>
              <w:rPr>
                <w:rFonts w:ascii="Arial"/>
                <w:color w:val="auto"/>
                <w:sz w:val="21"/>
              </w:rPr>
            </w:pPr>
          </w:p>
        </w:tc>
        <w:tc>
          <w:tcPr>
            <w:tcW w:w="5850" w:type="dxa"/>
            <w:vAlign w:val="top"/>
          </w:tcPr>
          <w:p w14:paraId="5CC42F92">
            <w:pPr>
              <w:rPr>
                <w:rFonts w:ascii="Arial"/>
                <w:color w:val="auto"/>
                <w:sz w:val="21"/>
              </w:rPr>
            </w:pPr>
          </w:p>
        </w:tc>
      </w:tr>
    </w:tbl>
    <w:p w14:paraId="6EBE6A04">
      <w:pPr>
        <w:rPr>
          <w:rFonts w:ascii="Arial"/>
          <w:color w:val="auto"/>
          <w:sz w:val="21"/>
        </w:rPr>
      </w:pPr>
    </w:p>
    <w:p w14:paraId="337C61B9">
      <w:pPr>
        <w:spacing w:line="246" w:lineRule="auto"/>
        <w:rPr>
          <w:rFonts w:ascii="Arial"/>
          <w:color w:val="auto"/>
          <w:sz w:val="21"/>
        </w:rPr>
      </w:pPr>
    </w:p>
    <w:p w14:paraId="09C93A98">
      <w:pPr>
        <w:spacing w:line="246" w:lineRule="auto"/>
        <w:rPr>
          <w:rFonts w:ascii="Arial"/>
          <w:color w:val="auto"/>
          <w:sz w:val="21"/>
        </w:rPr>
      </w:pPr>
    </w:p>
    <w:p w14:paraId="26BE6380">
      <w:pPr>
        <w:spacing w:line="246" w:lineRule="auto"/>
        <w:rPr>
          <w:rFonts w:ascii="Arial"/>
          <w:color w:val="auto"/>
          <w:sz w:val="21"/>
        </w:rPr>
      </w:pPr>
    </w:p>
    <w:p w14:paraId="01C9640C">
      <w:pPr>
        <w:spacing w:line="246" w:lineRule="auto"/>
        <w:rPr>
          <w:rFonts w:ascii="Arial"/>
          <w:color w:val="auto"/>
          <w:sz w:val="21"/>
        </w:rPr>
      </w:pPr>
    </w:p>
    <w:p w14:paraId="572D4056">
      <w:pPr>
        <w:pStyle w:val="2"/>
        <w:spacing w:before="143" w:line="219" w:lineRule="auto"/>
        <w:ind w:left="675"/>
        <w:outlineLvl w:val="0"/>
        <w:rPr>
          <w:color w:val="auto"/>
          <w:sz w:val="21"/>
          <w:szCs w:val="21"/>
        </w:rPr>
      </w:pPr>
      <w:r>
        <w:rPr>
          <w:color w:val="auto"/>
          <w:spacing w:val="-7"/>
          <w:sz w:val="44"/>
          <w:szCs w:val="44"/>
        </w:rPr>
        <w:t>第三章  评标办法</w:t>
      </w:r>
      <w:r>
        <w:rPr>
          <w:color w:val="auto"/>
          <w:spacing w:val="-7"/>
          <w:sz w:val="21"/>
          <w:szCs w:val="21"/>
        </w:rPr>
        <w:t>【</w:t>
      </w:r>
      <w:r>
        <w:rPr>
          <w:rFonts w:ascii="Times New Roman" w:hAnsi="Times New Roman" w:eastAsia="Times New Roman" w:cs="Times New Roman"/>
          <w:color w:val="auto"/>
          <w:spacing w:val="-7"/>
          <w:sz w:val="21"/>
          <w:szCs w:val="21"/>
        </w:rPr>
        <w:t>1</w:t>
      </w:r>
      <w:r>
        <w:rPr>
          <w:color w:val="auto"/>
          <w:spacing w:val="-7"/>
          <w:sz w:val="21"/>
          <w:szCs w:val="21"/>
        </w:rPr>
        <w:t>】</w:t>
      </w:r>
      <w:r>
        <w:rPr>
          <w:color w:val="auto"/>
          <w:spacing w:val="-7"/>
          <w:sz w:val="44"/>
          <w:szCs w:val="44"/>
        </w:rPr>
        <w:t>（综合评估法）</w:t>
      </w:r>
      <w:r>
        <w:rPr>
          <w:color w:val="auto"/>
          <w:spacing w:val="-77"/>
          <w:sz w:val="44"/>
          <w:szCs w:val="44"/>
        </w:rPr>
        <w:t xml:space="preserve"> </w:t>
      </w:r>
      <w:r>
        <w:rPr>
          <w:color w:val="auto"/>
          <w:spacing w:val="-7"/>
          <w:sz w:val="21"/>
          <w:szCs w:val="21"/>
        </w:rPr>
        <w:t>【</w:t>
      </w:r>
      <w:r>
        <w:rPr>
          <w:rFonts w:ascii="Times New Roman" w:hAnsi="Times New Roman" w:eastAsia="Times New Roman" w:cs="Times New Roman"/>
          <w:color w:val="auto"/>
          <w:spacing w:val="-7"/>
          <w:sz w:val="21"/>
          <w:szCs w:val="21"/>
        </w:rPr>
        <w:t>2</w:t>
      </w:r>
      <w:r>
        <w:rPr>
          <w:color w:val="auto"/>
          <w:spacing w:val="-7"/>
          <w:sz w:val="21"/>
          <w:szCs w:val="21"/>
        </w:rPr>
        <w:t>】</w:t>
      </w:r>
    </w:p>
    <w:p w14:paraId="5D4A00D2">
      <w:pPr>
        <w:spacing w:line="379" w:lineRule="auto"/>
        <w:rPr>
          <w:rFonts w:ascii="Arial"/>
          <w:color w:val="auto"/>
          <w:sz w:val="21"/>
        </w:rPr>
      </w:pPr>
    </w:p>
    <w:p w14:paraId="71E77D50">
      <w:pPr>
        <w:pStyle w:val="2"/>
        <w:spacing w:before="72" w:line="211" w:lineRule="auto"/>
        <w:ind w:left="3478"/>
        <w:jc w:val="left"/>
        <w:outlineLvl w:val="1"/>
        <w:rPr>
          <w:i w:val="0"/>
          <w:iCs w:val="0"/>
          <w:color w:val="auto"/>
          <w:sz w:val="22"/>
          <w:szCs w:val="22"/>
        </w:rPr>
      </w:pPr>
      <w:r>
        <w:rPr>
          <w:i w:val="0"/>
          <w:iCs w:val="0"/>
          <w:color w:val="auto"/>
          <w:spacing w:val="-3"/>
          <w:sz w:val="22"/>
          <w:szCs w:val="22"/>
        </w:rPr>
        <w:t>评标办法前附表</w:t>
      </w:r>
      <w:r>
        <w:rPr>
          <w:i w:val="0"/>
          <w:iCs w:val="0"/>
          <w:color w:val="auto"/>
          <w:spacing w:val="-3"/>
          <w:sz w:val="22"/>
          <w:szCs w:val="22"/>
          <w14:textOutline w14:w="3831" w14:cap="flat" w14:cmpd="sng">
            <w14:solidFill>
              <w14:srgbClr w14:val="000000"/>
            </w14:solidFill>
            <w14:prstDash w14:val="solid"/>
            <w14:miter w14:val="0"/>
          </w14:textOutline>
        </w:rPr>
        <w:t>【</w:t>
      </w:r>
      <w:r>
        <w:rPr>
          <w:rFonts w:ascii="宋体" w:hAnsi="宋体" w:eastAsia="宋体" w:cs="宋体"/>
          <w:i w:val="0"/>
          <w:iCs w:val="0"/>
          <w:color w:val="auto"/>
          <w:spacing w:val="-3"/>
          <w:sz w:val="22"/>
          <w:szCs w:val="22"/>
        </w:rPr>
        <w:t>3</w:t>
      </w:r>
      <w:r>
        <w:rPr>
          <w:i w:val="0"/>
          <w:iCs w:val="0"/>
          <w:color w:val="auto"/>
          <w:spacing w:val="-3"/>
          <w:sz w:val="22"/>
          <w:szCs w:val="22"/>
          <w14:textOutline w14:w="3831" w14:cap="flat" w14:cmpd="sng">
            <w14:solidFill>
              <w14:srgbClr w14:val="000000"/>
            </w14:solidFill>
            <w14:prstDash w14:val="solid"/>
            <w14:miter w14:val="0"/>
          </w14:textOutline>
        </w:rPr>
        <w:t>】</w:t>
      </w:r>
    </w:p>
    <w:p w14:paraId="6E331D77">
      <w:pPr>
        <w:spacing w:before="44"/>
        <w:rPr>
          <w:color w:val="auto"/>
        </w:rPr>
      </w:pPr>
    </w:p>
    <w:tbl>
      <w:tblPr>
        <w:tblStyle w:val="8"/>
        <w:tblW w:w="89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276"/>
        <w:gridCol w:w="6390"/>
      </w:tblGrid>
      <w:tr w14:paraId="1224A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2560" w:type="dxa"/>
            <w:gridSpan w:val="2"/>
            <w:vAlign w:val="top"/>
          </w:tcPr>
          <w:p w14:paraId="5EB078B8">
            <w:pPr>
              <w:spacing w:before="197" w:line="213" w:lineRule="auto"/>
              <w:ind w:left="831"/>
              <w:rPr>
                <w:rFonts w:ascii="宋体" w:hAnsi="宋体" w:eastAsia="宋体" w:cs="宋体"/>
                <w:color w:val="auto"/>
                <w:sz w:val="21"/>
                <w:szCs w:val="21"/>
              </w:rPr>
            </w:pPr>
            <w:r>
              <w:rPr>
                <w:rFonts w:ascii="宋体" w:hAnsi="宋体" w:eastAsia="宋体" w:cs="宋体"/>
                <w:color w:val="auto"/>
                <w:spacing w:val="-2"/>
                <w:sz w:val="21"/>
                <w:szCs w:val="21"/>
                <w14:textOutline w14:w="3831" w14:cap="flat" w14:cmpd="sng">
                  <w14:solidFill>
                    <w14:srgbClr w14:val="000000"/>
                  </w14:solidFill>
                  <w14:prstDash w14:val="solid"/>
                  <w14:miter w14:val="0"/>
                </w14:textOutline>
              </w:rPr>
              <w:t>条款号</w:t>
            </w:r>
          </w:p>
        </w:tc>
        <w:tc>
          <w:tcPr>
            <w:tcW w:w="6390" w:type="dxa"/>
            <w:vAlign w:val="top"/>
          </w:tcPr>
          <w:p w14:paraId="14AC6FCB">
            <w:pPr>
              <w:spacing w:before="197" w:line="213" w:lineRule="auto"/>
              <w:ind w:left="2333"/>
              <w:rPr>
                <w:rFonts w:ascii="宋体" w:hAnsi="宋体" w:eastAsia="宋体" w:cs="宋体"/>
                <w:color w:val="auto"/>
                <w:sz w:val="21"/>
                <w:szCs w:val="21"/>
              </w:rPr>
            </w:pPr>
            <w:r>
              <w:rPr>
                <w:rFonts w:ascii="宋体" w:hAnsi="宋体" w:eastAsia="宋体" w:cs="宋体"/>
                <w:color w:val="auto"/>
                <w:spacing w:val="7"/>
                <w:sz w:val="21"/>
                <w:szCs w:val="21"/>
                <w14:textOutline w14:w="3831" w14:cap="flat" w14:cmpd="sng">
                  <w14:solidFill>
                    <w14:srgbClr w14:val="000000"/>
                  </w14:solidFill>
                  <w14:prstDash w14:val="solid"/>
                  <w14:miter w14:val="0"/>
                </w14:textOutline>
              </w:rPr>
              <w:t>评审因素与评审标准</w:t>
            </w:r>
          </w:p>
        </w:tc>
      </w:tr>
      <w:tr w14:paraId="7EDD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jc w:val="center"/>
        </w:trPr>
        <w:tc>
          <w:tcPr>
            <w:tcW w:w="1284" w:type="dxa"/>
            <w:vAlign w:val="top"/>
          </w:tcPr>
          <w:p w14:paraId="705A0D79">
            <w:pPr>
              <w:spacing w:line="263" w:lineRule="auto"/>
              <w:rPr>
                <w:rFonts w:ascii="Arial"/>
                <w:color w:val="auto"/>
                <w:sz w:val="21"/>
              </w:rPr>
            </w:pPr>
          </w:p>
          <w:p w14:paraId="6017B0AC">
            <w:pPr>
              <w:spacing w:line="263" w:lineRule="auto"/>
              <w:rPr>
                <w:rFonts w:ascii="Arial"/>
                <w:color w:val="auto"/>
                <w:sz w:val="21"/>
              </w:rPr>
            </w:pPr>
          </w:p>
          <w:p w14:paraId="2E1F67A5">
            <w:pPr>
              <w:spacing w:line="264" w:lineRule="auto"/>
              <w:rPr>
                <w:rFonts w:ascii="Arial"/>
                <w:color w:val="auto"/>
                <w:sz w:val="21"/>
              </w:rPr>
            </w:pPr>
          </w:p>
          <w:p w14:paraId="22D03463">
            <w:pPr>
              <w:spacing w:line="264" w:lineRule="auto"/>
              <w:rPr>
                <w:rFonts w:ascii="Arial"/>
                <w:color w:val="auto"/>
                <w:sz w:val="21"/>
              </w:rPr>
            </w:pPr>
          </w:p>
          <w:p w14:paraId="4802D7BD">
            <w:pPr>
              <w:spacing w:before="60" w:line="187" w:lineRule="auto"/>
              <w:ind w:left="466"/>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1</w:t>
            </w:r>
          </w:p>
        </w:tc>
        <w:tc>
          <w:tcPr>
            <w:tcW w:w="1276" w:type="dxa"/>
            <w:vAlign w:val="top"/>
          </w:tcPr>
          <w:p w14:paraId="0C711C81">
            <w:pPr>
              <w:spacing w:line="249" w:lineRule="auto"/>
              <w:rPr>
                <w:rFonts w:hint="eastAsia" w:ascii="宋体" w:hAnsi="宋体" w:eastAsia="宋体" w:cs="宋体"/>
                <w:color w:val="auto"/>
                <w:sz w:val="21"/>
              </w:rPr>
            </w:pPr>
          </w:p>
          <w:p w14:paraId="49264F4A">
            <w:pPr>
              <w:spacing w:line="250" w:lineRule="auto"/>
              <w:rPr>
                <w:rFonts w:hint="eastAsia" w:ascii="宋体" w:hAnsi="宋体" w:eastAsia="宋体" w:cs="宋体"/>
                <w:color w:val="auto"/>
                <w:sz w:val="21"/>
              </w:rPr>
            </w:pPr>
          </w:p>
          <w:p w14:paraId="43151608">
            <w:pPr>
              <w:spacing w:line="250" w:lineRule="auto"/>
              <w:rPr>
                <w:rFonts w:hint="eastAsia" w:ascii="宋体" w:hAnsi="宋体" w:eastAsia="宋体" w:cs="宋体"/>
                <w:color w:val="auto"/>
                <w:sz w:val="21"/>
              </w:rPr>
            </w:pPr>
          </w:p>
          <w:p w14:paraId="4103D8C3">
            <w:pPr>
              <w:spacing w:before="68" w:line="221" w:lineRule="auto"/>
              <w:ind w:left="219"/>
              <w:rPr>
                <w:rFonts w:hint="eastAsia" w:ascii="宋体" w:hAnsi="宋体" w:eastAsia="宋体" w:cs="宋体"/>
                <w:color w:val="auto"/>
                <w:sz w:val="21"/>
                <w:szCs w:val="21"/>
              </w:rPr>
            </w:pPr>
            <w:r>
              <w:rPr>
                <w:rFonts w:hint="eastAsia" w:ascii="宋体" w:hAnsi="宋体" w:eastAsia="宋体" w:cs="宋体"/>
                <w:color w:val="auto"/>
                <w:spacing w:val="-1"/>
                <w:sz w:val="21"/>
                <w:szCs w:val="21"/>
              </w:rPr>
              <w:t>评标方法</w:t>
            </w:r>
          </w:p>
        </w:tc>
        <w:tc>
          <w:tcPr>
            <w:tcW w:w="6390" w:type="dxa"/>
            <w:vAlign w:val="top"/>
          </w:tcPr>
          <w:p w14:paraId="16B28E72">
            <w:pPr>
              <w:spacing w:before="194" w:line="436" w:lineRule="exact"/>
              <w:ind w:firstLine="202" w:firstLineChars="100"/>
              <w:rPr>
                <w:rFonts w:hint="eastAsia" w:ascii="宋体" w:hAnsi="宋体" w:eastAsia="宋体" w:cs="宋体"/>
                <w:color w:val="auto"/>
                <w:sz w:val="21"/>
                <w:szCs w:val="21"/>
              </w:rPr>
            </w:pPr>
            <w:r>
              <w:rPr>
                <w:rFonts w:hint="eastAsia" w:ascii="宋体" w:hAnsi="宋体" w:eastAsia="宋体" w:cs="宋体"/>
                <w:color w:val="auto"/>
                <w:spacing w:val="-4"/>
                <w:position w:val="17"/>
                <w:sz w:val="21"/>
                <w:szCs w:val="21"/>
              </w:rPr>
              <w:t>综合评分相等时，评标委员会依次按照以下优先顺序推荐中标候选</w:t>
            </w:r>
          </w:p>
          <w:p w14:paraId="6FF90C15">
            <w:pPr>
              <w:spacing w:line="221" w:lineRule="auto"/>
              <w:ind w:left="117"/>
              <w:rPr>
                <w:rFonts w:hint="eastAsia" w:ascii="宋体" w:hAnsi="宋体" w:eastAsia="宋体" w:cs="宋体"/>
                <w:color w:val="auto"/>
                <w:sz w:val="21"/>
                <w:szCs w:val="21"/>
              </w:rPr>
            </w:pPr>
            <w:r>
              <w:rPr>
                <w:rFonts w:hint="eastAsia" w:ascii="宋体" w:hAnsi="宋体" w:eastAsia="宋体" w:cs="宋体"/>
                <w:color w:val="auto"/>
                <w:spacing w:val="-5"/>
                <w:sz w:val="21"/>
                <w:szCs w:val="21"/>
              </w:rPr>
              <w:t>人或确定中标人：</w:t>
            </w:r>
          </w:p>
          <w:p w14:paraId="597A85E6">
            <w:pPr>
              <w:spacing w:before="190" w:line="219" w:lineRule="auto"/>
              <w:ind w:left="545"/>
              <w:rPr>
                <w:rFonts w:hint="eastAsia" w:ascii="宋体" w:hAnsi="宋体" w:eastAsia="宋体" w:cs="宋体"/>
                <w:color w:val="auto"/>
                <w:sz w:val="21"/>
                <w:szCs w:val="21"/>
              </w:rPr>
            </w:pPr>
            <w:r>
              <w:rPr>
                <w:rFonts w:hint="eastAsia" w:ascii="宋体" w:hAnsi="宋体" w:eastAsia="宋体" w:cs="宋体"/>
                <w:color w:val="auto"/>
                <w:spacing w:val="-4"/>
                <w:sz w:val="21"/>
                <w:szCs w:val="21"/>
              </w:rPr>
              <w:t>（1）评标价低的投标人优先；</w:t>
            </w:r>
          </w:p>
          <w:p w14:paraId="3CCA31CB">
            <w:pPr>
              <w:spacing w:before="191" w:line="221" w:lineRule="auto"/>
              <w:ind w:left="545"/>
              <w:rPr>
                <w:rFonts w:hint="eastAsia" w:ascii="宋体" w:hAnsi="宋体" w:eastAsia="宋体" w:cs="宋体"/>
                <w:color w:val="auto"/>
                <w:sz w:val="21"/>
                <w:szCs w:val="21"/>
              </w:rPr>
            </w:pPr>
            <w:r>
              <w:rPr>
                <w:rFonts w:hint="eastAsia" w:ascii="宋体" w:hAnsi="宋体" w:eastAsia="宋体" w:cs="宋体"/>
                <w:color w:val="auto"/>
                <w:spacing w:val="-1"/>
                <w:sz w:val="21"/>
                <w:szCs w:val="21"/>
              </w:rPr>
              <w:t>（2）商务和技术得分较高的投标人优先；</w:t>
            </w:r>
          </w:p>
          <w:p w14:paraId="73DCB82B">
            <w:pPr>
              <w:spacing w:before="186" w:line="213" w:lineRule="auto"/>
              <w:ind w:left="553"/>
              <w:rPr>
                <w:rFonts w:hint="eastAsia" w:ascii="宋体" w:hAnsi="宋体" w:eastAsia="宋体" w:cs="宋体"/>
                <w:color w:val="auto"/>
                <w:sz w:val="21"/>
                <w:szCs w:val="21"/>
              </w:rPr>
            </w:pPr>
            <w:r>
              <w:rPr>
                <w:rFonts w:hint="eastAsia" w:ascii="宋体" w:hAnsi="宋体" w:eastAsia="宋体" w:cs="宋体"/>
                <w:color w:val="auto"/>
                <w:spacing w:val="-3"/>
                <w:sz w:val="21"/>
                <w:szCs w:val="21"/>
              </w:rPr>
              <w:t>（3）随机摇号确定排序。</w:t>
            </w:r>
          </w:p>
        </w:tc>
      </w:tr>
      <w:tr w14:paraId="28B12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2560" w:type="dxa"/>
            <w:gridSpan w:val="2"/>
            <w:vAlign w:val="top"/>
          </w:tcPr>
          <w:p w14:paraId="2723160E">
            <w:pPr>
              <w:spacing w:before="125" w:line="221" w:lineRule="auto"/>
              <w:ind w:left="975"/>
              <w:rPr>
                <w:rFonts w:ascii="宋体" w:hAnsi="宋体" w:eastAsia="宋体" w:cs="宋体"/>
                <w:color w:val="auto"/>
                <w:sz w:val="21"/>
                <w:szCs w:val="21"/>
              </w:rPr>
            </w:pPr>
            <w:r>
              <w:rPr>
                <w:rFonts w:ascii="宋体" w:hAnsi="宋体" w:eastAsia="宋体" w:cs="宋体"/>
                <w:color w:val="auto"/>
                <w:spacing w:val="-2"/>
                <w:sz w:val="21"/>
                <w:szCs w:val="21"/>
                <w14:textOutline w14:w="3831" w14:cap="flat" w14:cmpd="sng">
                  <w14:solidFill>
                    <w14:srgbClr w14:val="000000"/>
                  </w14:solidFill>
                  <w14:prstDash w14:val="solid"/>
                  <w14:miter w14:val="0"/>
                </w14:textOutline>
              </w:rPr>
              <w:t>条款号</w:t>
            </w:r>
          </w:p>
        </w:tc>
        <w:tc>
          <w:tcPr>
            <w:tcW w:w="6390" w:type="dxa"/>
            <w:vAlign w:val="top"/>
          </w:tcPr>
          <w:p w14:paraId="55D1A32A">
            <w:pPr>
              <w:spacing w:before="125" w:line="221" w:lineRule="auto"/>
              <w:ind w:left="2249"/>
              <w:rPr>
                <w:rFonts w:ascii="宋体" w:hAnsi="宋体" w:eastAsia="宋体" w:cs="宋体"/>
                <w:color w:val="auto"/>
                <w:sz w:val="21"/>
                <w:szCs w:val="21"/>
              </w:rPr>
            </w:pPr>
            <w:r>
              <w:rPr>
                <w:rFonts w:ascii="宋体" w:hAnsi="宋体" w:eastAsia="宋体" w:cs="宋体"/>
                <w:color w:val="auto"/>
                <w:sz w:val="21"/>
                <w:szCs w:val="21"/>
                <w14:textOutline w14:w="3831" w14:cap="flat" w14:cmpd="sng">
                  <w14:solidFill>
                    <w14:srgbClr w14:val="000000"/>
                  </w14:solidFill>
                  <w14:prstDash w14:val="solid"/>
                  <w14:miter w14:val="0"/>
                </w14:textOutline>
              </w:rPr>
              <w:t>评审因素与评审标准</w:t>
            </w:r>
          </w:p>
        </w:tc>
      </w:tr>
      <w:tr w14:paraId="3EC6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jc w:val="center"/>
        </w:trPr>
        <w:tc>
          <w:tcPr>
            <w:tcW w:w="1284" w:type="dxa"/>
            <w:vAlign w:val="top"/>
          </w:tcPr>
          <w:p w14:paraId="0F0D1F2D">
            <w:pPr>
              <w:rPr>
                <w:rFonts w:ascii="Arial"/>
                <w:color w:val="auto"/>
                <w:sz w:val="21"/>
              </w:rPr>
            </w:pPr>
          </w:p>
          <w:p w14:paraId="7B5A54DA">
            <w:pPr>
              <w:rPr>
                <w:rFonts w:ascii="Arial"/>
                <w:color w:val="auto"/>
                <w:sz w:val="21"/>
              </w:rPr>
            </w:pPr>
          </w:p>
          <w:p w14:paraId="2BDB681D">
            <w:pPr>
              <w:rPr>
                <w:rFonts w:ascii="Arial"/>
                <w:color w:val="auto"/>
                <w:sz w:val="21"/>
              </w:rPr>
            </w:pPr>
          </w:p>
          <w:p w14:paraId="263E20AC">
            <w:pPr>
              <w:rPr>
                <w:rFonts w:ascii="Arial"/>
                <w:color w:val="auto"/>
                <w:sz w:val="21"/>
              </w:rPr>
            </w:pPr>
          </w:p>
          <w:p w14:paraId="6FCD78AB">
            <w:pPr>
              <w:rPr>
                <w:rFonts w:ascii="Arial"/>
                <w:color w:val="auto"/>
                <w:sz w:val="21"/>
              </w:rPr>
            </w:pPr>
          </w:p>
          <w:p w14:paraId="28296131">
            <w:pPr>
              <w:rPr>
                <w:rFonts w:ascii="Arial"/>
                <w:color w:val="auto"/>
                <w:sz w:val="21"/>
              </w:rPr>
            </w:pPr>
          </w:p>
          <w:p w14:paraId="6FABDCF9">
            <w:pPr>
              <w:rPr>
                <w:rFonts w:ascii="Arial"/>
                <w:color w:val="auto"/>
                <w:sz w:val="21"/>
              </w:rPr>
            </w:pPr>
          </w:p>
          <w:p w14:paraId="4D915EA5">
            <w:pPr>
              <w:rPr>
                <w:rFonts w:ascii="Arial"/>
                <w:color w:val="auto"/>
                <w:sz w:val="21"/>
              </w:rPr>
            </w:pPr>
          </w:p>
          <w:p w14:paraId="571BC43A">
            <w:pPr>
              <w:rPr>
                <w:rFonts w:ascii="Arial"/>
                <w:color w:val="auto"/>
                <w:sz w:val="21"/>
              </w:rPr>
            </w:pPr>
          </w:p>
          <w:p w14:paraId="63C76477">
            <w:pPr>
              <w:rPr>
                <w:rFonts w:ascii="Arial"/>
                <w:color w:val="auto"/>
                <w:sz w:val="21"/>
              </w:rPr>
            </w:pPr>
          </w:p>
          <w:p w14:paraId="061DBEE1">
            <w:pPr>
              <w:spacing w:line="241" w:lineRule="auto"/>
              <w:rPr>
                <w:rFonts w:ascii="Arial"/>
                <w:color w:val="auto"/>
                <w:sz w:val="21"/>
              </w:rPr>
            </w:pPr>
          </w:p>
          <w:p w14:paraId="7317AC25">
            <w:pPr>
              <w:spacing w:line="241" w:lineRule="auto"/>
              <w:rPr>
                <w:rFonts w:ascii="Arial"/>
                <w:color w:val="auto"/>
                <w:sz w:val="21"/>
              </w:rPr>
            </w:pPr>
          </w:p>
          <w:p w14:paraId="36B210C6">
            <w:pPr>
              <w:spacing w:line="241" w:lineRule="auto"/>
              <w:rPr>
                <w:rFonts w:ascii="Arial"/>
                <w:color w:val="auto"/>
                <w:sz w:val="21"/>
              </w:rPr>
            </w:pPr>
          </w:p>
          <w:p w14:paraId="776719E5">
            <w:pPr>
              <w:spacing w:line="241" w:lineRule="auto"/>
              <w:rPr>
                <w:rFonts w:ascii="Arial"/>
                <w:color w:val="auto"/>
                <w:sz w:val="21"/>
              </w:rPr>
            </w:pPr>
          </w:p>
          <w:p w14:paraId="010F1491">
            <w:pPr>
              <w:spacing w:line="241" w:lineRule="auto"/>
              <w:rPr>
                <w:rFonts w:ascii="Arial"/>
                <w:color w:val="auto"/>
                <w:sz w:val="21"/>
              </w:rPr>
            </w:pPr>
          </w:p>
          <w:p w14:paraId="7072FAD3">
            <w:pPr>
              <w:spacing w:before="69" w:line="183" w:lineRule="auto"/>
              <w:ind w:left="390"/>
              <w:rPr>
                <w:rFonts w:ascii="宋体" w:hAnsi="宋体" w:eastAsia="宋体" w:cs="宋体"/>
                <w:color w:val="auto"/>
                <w:sz w:val="21"/>
                <w:szCs w:val="21"/>
              </w:rPr>
            </w:pPr>
            <w:r>
              <w:rPr>
                <w:rFonts w:ascii="宋体" w:hAnsi="宋体" w:eastAsia="宋体" w:cs="宋体"/>
                <w:color w:val="auto"/>
                <w:spacing w:val="-2"/>
                <w:sz w:val="21"/>
                <w:szCs w:val="21"/>
              </w:rPr>
              <w:t>2.1.1</w:t>
            </w:r>
          </w:p>
          <w:p w14:paraId="708715C2">
            <w:pPr>
              <w:spacing w:before="65" w:line="183" w:lineRule="auto"/>
              <w:ind w:left="390"/>
              <w:rPr>
                <w:rFonts w:ascii="宋体" w:hAnsi="宋体" w:eastAsia="宋体" w:cs="宋体"/>
                <w:color w:val="auto"/>
                <w:sz w:val="21"/>
                <w:szCs w:val="21"/>
              </w:rPr>
            </w:pPr>
            <w:r>
              <w:rPr>
                <w:rFonts w:ascii="宋体" w:hAnsi="宋体" w:eastAsia="宋体" w:cs="宋体"/>
                <w:color w:val="auto"/>
                <w:spacing w:val="-2"/>
                <w:sz w:val="21"/>
                <w:szCs w:val="21"/>
              </w:rPr>
              <w:t>2.1.3</w:t>
            </w:r>
          </w:p>
        </w:tc>
        <w:tc>
          <w:tcPr>
            <w:tcW w:w="1276" w:type="dxa"/>
            <w:vAlign w:val="top"/>
          </w:tcPr>
          <w:p w14:paraId="3EDE6D05">
            <w:pPr>
              <w:spacing w:line="245" w:lineRule="auto"/>
              <w:rPr>
                <w:rFonts w:ascii="Arial"/>
                <w:color w:val="auto"/>
                <w:sz w:val="21"/>
              </w:rPr>
            </w:pPr>
          </w:p>
          <w:p w14:paraId="0B885E14">
            <w:pPr>
              <w:spacing w:line="245" w:lineRule="auto"/>
              <w:rPr>
                <w:rFonts w:ascii="Arial"/>
                <w:color w:val="auto"/>
                <w:sz w:val="21"/>
              </w:rPr>
            </w:pPr>
          </w:p>
          <w:p w14:paraId="1363CDB1">
            <w:pPr>
              <w:spacing w:line="245" w:lineRule="auto"/>
              <w:rPr>
                <w:rFonts w:ascii="Arial"/>
                <w:color w:val="auto"/>
                <w:sz w:val="21"/>
              </w:rPr>
            </w:pPr>
          </w:p>
          <w:p w14:paraId="653A38EA">
            <w:pPr>
              <w:spacing w:line="245" w:lineRule="auto"/>
              <w:rPr>
                <w:rFonts w:ascii="Arial"/>
                <w:color w:val="auto"/>
                <w:sz w:val="21"/>
              </w:rPr>
            </w:pPr>
          </w:p>
          <w:p w14:paraId="4BE11534">
            <w:pPr>
              <w:spacing w:line="245" w:lineRule="auto"/>
              <w:rPr>
                <w:rFonts w:ascii="Arial"/>
                <w:color w:val="auto"/>
                <w:sz w:val="21"/>
              </w:rPr>
            </w:pPr>
          </w:p>
          <w:p w14:paraId="546EF6DC">
            <w:pPr>
              <w:spacing w:line="245" w:lineRule="auto"/>
              <w:rPr>
                <w:rFonts w:ascii="Arial"/>
                <w:color w:val="auto"/>
                <w:sz w:val="21"/>
              </w:rPr>
            </w:pPr>
          </w:p>
          <w:p w14:paraId="1444AA49">
            <w:pPr>
              <w:spacing w:line="246" w:lineRule="auto"/>
              <w:rPr>
                <w:rFonts w:ascii="Arial"/>
                <w:color w:val="auto"/>
                <w:sz w:val="21"/>
              </w:rPr>
            </w:pPr>
          </w:p>
          <w:p w14:paraId="1FDB8D95">
            <w:pPr>
              <w:spacing w:line="246" w:lineRule="auto"/>
              <w:rPr>
                <w:rFonts w:ascii="Arial"/>
                <w:color w:val="auto"/>
                <w:sz w:val="21"/>
              </w:rPr>
            </w:pPr>
          </w:p>
          <w:p w14:paraId="7CE78A87">
            <w:pPr>
              <w:spacing w:line="246" w:lineRule="auto"/>
              <w:rPr>
                <w:rFonts w:ascii="Arial"/>
                <w:color w:val="auto"/>
                <w:sz w:val="21"/>
              </w:rPr>
            </w:pPr>
          </w:p>
          <w:p w14:paraId="2510F2F5">
            <w:pPr>
              <w:spacing w:line="246" w:lineRule="auto"/>
              <w:rPr>
                <w:rFonts w:ascii="Arial"/>
                <w:color w:val="auto"/>
                <w:sz w:val="21"/>
              </w:rPr>
            </w:pPr>
          </w:p>
          <w:p w14:paraId="5DB2495C">
            <w:pPr>
              <w:spacing w:line="246" w:lineRule="auto"/>
              <w:rPr>
                <w:rFonts w:ascii="Arial"/>
                <w:color w:val="auto"/>
                <w:sz w:val="21"/>
              </w:rPr>
            </w:pPr>
          </w:p>
          <w:p w14:paraId="751DE53F">
            <w:pPr>
              <w:spacing w:line="246" w:lineRule="auto"/>
              <w:rPr>
                <w:rFonts w:ascii="Arial"/>
                <w:color w:val="auto"/>
                <w:sz w:val="21"/>
              </w:rPr>
            </w:pPr>
          </w:p>
          <w:p w14:paraId="7B2F7730">
            <w:pPr>
              <w:spacing w:line="246" w:lineRule="auto"/>
              <w:rPr>
                <w:rFonts w:ascii="Arial"/>
                <w:color w:val="auto"/>
                <w:sz w:val="21"/>
              </w:rPr>
            </w:pPr>
          </w:p>
          <w:p w14:paraId="21DAB37A">
            <w:pPr>
              <w:spacing w:line="246" w:lineRule="auto"/>
              <w:rPr>
                <w:rFonts w:ascii="Arial"/>
                <w:color w:val="auto"/>
                <w:sz w:val="21"/>
              </w:rPr>
            </w:pPr>
          </w:p>
          <w:p w14:paraId="672FBE97">
            <w:pPr>
              <w:spacing w:before="68" w:line="221" w:lineRule="auto"/>
              <w:ind w:left="119"/>
              <w:rPr>
                <w:rFonts w:ascii="宋体" w:hAnsi="宋体" w:eastAsia="宋体" w:cs="宋体"/>
                <w:color w:val="auto"/>
                <w:sz w:val="21"/>
                <w:szCs w:val="21"/>
              </w:rPr>
            </w:pPr>
            <w:r>
              <w:rPr>
                <w:rFonts w:ascii="宋体" w:hAnsi="宋体" w:eastAsia="宋体" w:cs="宋体"/>
                <w:color w:val="auto"/>
                <w:spacing w:val="-1"/>
                <w:sz w:val="21"/>
                <w:szCs w:val="21"/>
              </w:rPr>
              <w:t>形式评审与</w:t>
            </w:r>
          </w:p>
          <w:p w14:paraId="58C186C4">
            <w:pPr>
              <w:spacing w:before="17" w:line="221" w:lineRule="auto"/>
              <w:ind w:left="127"/>
              <w:rPr>
                <w:rFonts w:ascii="宋体" w:hAnsi="宋体" w:eastAsia="宋体" w:cs="宋体"/>
                <w:color w:val="auto"/>
                <w:sz w:val="21"/>
                <w:szCs w:val="21"/>
              </w:rPr>
            </w:pPr>
            <w:r>
              <w:rPr>
                <w:rFonts w:ascii="宋体" w:hAnsi="宋体" w:eastAsia="宋体" w:cs="宋体"/>
                <w:color w:val="auto"/>
                <w:spacing w:val="-3"/>
                <w:sz w:val="21"/>
                <w:szCs w:val="21"/>
              </w:rPr>
              <w:t>响应性评审</w:t>
            </w:r>
          </w:p>
          <w:p w14:paraId="1E223773">
            <w:pPr>
              <w:spacing w:before="22" w:line="221" w:lineRule="auto"/>
              <w:ind w:left="434"/>
              <w:rPr>
                <w:rFonts w:ascii="宋体" w:hAnsi="宋体" w:eastAsia="宋体" w:cs="宋体"/>
                <w:color w:val="auto"/>
                <w:sz w:val="21"/>
                <w:szCs w:val="21"/>
              </w:rPr>
            </w:pPr>
            <w:r>
              <w:rPr>
                <w:rFonts w:ascii="宋体" w:hAnsi="宋体" w:eastAsia="宋体" w:cs="宋体"/>
                <w:color w:val="auto"/>
                <w:spacing w:val="-2"/>
                <w:sz w:val="21"/>
                <w:szCs w:val="21"/>
              </w:rPr>
              <w:t>标准</w:t>
            </w:r>
          </w:p>
        </w:tc>
        <w:tc>
          <w:tcPr>
            <w:tcW w:w="6390" w:type="dxa"/>
            <w:vAlign w:val="top"/>
          </w:tcPr>
          <w:p w14:paraId="31A7BDC5">
            <w:pPr>
              <w:spacing w:before="118" w:line="221" w:lineRule="auto"/>
              <w:ind w:left="112"/>
              <w:rPr>
                <w:rFonts w:ascii="宋体" w:hAnsi="宋体" w:eastAsia="宋体" w:cs="宋体"/>
                <w:color w:val="auto"/>
                <w:sz w:val="21"/>
                <w:szCs w:val="21"/>
              </w:rPr>
            </w:pPr>
            <w:r>
              <w:rPr>
                <w:rFonts w:ascii="宋体" w:hAnsi="宋体" w:eastAsia="宋体" w:cs="宋体"/>
                <w:color w:val="auto"/>
                <w:spacing w:val="-2"/>
                <w:sz w:val="21"/>
                <w:szCs w:val="21"/>
              </w:rPr>
              <w:t>第一个信封（商务及技术文件）评审标准：</w:t>
            </w:r>
          </w:p>
          <w:p w14:paraId="4C4EEF5D">
            <w:pPr>
              <w:numPr>
                <w:ilvl w:val="0"/>
                <w:numId w:val="2"/>
              </w:numPr>
              <w:spacing w:before="22" w:line="221" w:lineRule="auto"/>
              <w:ind w:left="150"/>
              <w:rPr>
                <w:rFonts w:ascii="宋体" w:hAnsi="宋体" w:eastAsia="宋体" w:cs="宋体"/>
                <w:color w:val="auto"/>
                <w:spacing w:val="-5"/>
                <w:sz w:val="21"/>
                <w:szCs w:val="21"/>
              </w:rPr>
            </w:pPr>
            <w:r>
              <w:rPr>
                <w:rFonts w:ascii="宋体" w:hAnsi="宋体" w:eastAsia="宋体" w:cs="宋体"/>
                <w:color w:val="auto"/>
                <w:spacing w:val="-4"/>
                <w:sz w:val="21"/>
                <w:szCs w:val="21"/>
              </w:rPr>
              <w:t>投标文件按照招标文件规定的格式、内容填写，字迹清晰</w:t>
            </w:r>
            <w:r>
              <w:rPr>
                <w:rFonts w:ascii="宋体" w:hAnsi="宋体" w:eastAsia="宋体" w:cs="宋体"/>
                <w:color w:val="auto"/>
                <w:spacing w:val="-5"/>
                <w:sz w:val="21"/>
                <w:szCs w:val="21"/>
              </w:rPr>
              <w:t>可辨</w:t>
            </w:r>
          </w:p>
          <w:p w14:paraId="65CC39BA">
            <w:pPr>
              <w:numPr>
                <w:ilvl w:val="0"/>
                <w:numId w:val="0"/>
              </w:numPr>
              <w:spacing w:before="22" w:line="221" w:lineRule="auto"/>
              <w:ind w:firstLine="202" w:firstLineChars="100"/>
              <w:rPr>
                <w:rFonts w:ascii="宋体" w:hAnsi="宋体" w:eastAsia="宋体" w:cs="宋体"/>
                <w:color w:val="auto"/>
                <w:sz w:val="21"/>
                <w:szCs w:val="21"/>
              </w:rPr>
            </w:pPr>
            <w:r>
              <w:rPr>
                <w:rFonts w:ascii="宋体" w:hAnsi="宋体" w:eastAsia="宋体" w:cs="宋体"/>
                <w:color w:val="auto"/>
                <w:spacing w:val="-4"/>
                <w:sz w:val="21"/>
                <w:szCs w:val="21"/>
              </w:rPr>
              <w:t>a.投标函按招标文件规定填报了项目名称、标段号、补遗书编号（如</w:t>
            </w:r>
          </w:p>
          <w:p w14:paraId="3FEF785B">
            <w:pPr>
              <w:spacing w:before="24" w:line="228" w:lineRule="auto"/>
              <w:ind w:left="109" w:right="762" w:firstLine="4"/>
              <w:rPr>
                <w:rFonts w:ascii="宋体" w:hAnsi="宋体" w:eastAsia="宋体" w:cs="宋体"/>
                <w:color w:val="auto"/>
                <w:sz w:val="21"/>
                <w:szCs w:val="21"/>
              </w:rPr>
            </w:pPr>
            <w:r>
              <w:rPr>
                <w:rFonts w:ascii="宋体" w:hAnsi="宋体" w:eastAsia="宋体" w:cs="宋体"/>
                <w:color w:val="auto"/>
                <w:spacing w:val="-6"/>
                <w:sz w:val="21"/>
                <w:szCs w:val="21"/>
              </w:rPr>
              <w:t>有）、咨询服务期限、服务质量要求、安全目标及环保目标；</w:t>
            </w:r>
            <w:r>
              <w:rPr>
                <w:rFonts w:ascii="宋体" w:hAnsi="宋体" w:eastAsia="宋体" w:cs="宋体"/>
                <w:color w:val="auto"/>
                <w:sz w:val="21"/>
                <w:szCs w:val="21"/>
              </w:rPr>
              <w:t xml:space="preserve"> b.投标文件组成齐全完整，内容均按规定填写</w:t>
            </w:r>
          </w:p>
          <w:p w14:paraId="75675271">
            <w:pPr>
              <w:spacing w:before="21" w:line="231" w:lineRule="auto"/>
              <w:ind w:left="113" w:right="102" w:firstLine="36"/>
              <w:rPr>
                <w:rFonts w:ascii="宋体" w:hAnsi="宋体" w:eastAsia="宋体" w:cs="宋体"/>
                <w:color w:val="auto"/>
                <w:sz w:val="21"/>
                <w:szCs w:val="21"/>
              </w:rPr>
            </w:pPr>
            <w:r>
              <w:rPr>
                <w:rFonts w:ascii="宋体" w:hAnsi="宋体" w:eastAsia="宋体" w:cs="宋体"/>
                <w:color w:val="auto"/>
                <w:spacing w:val="-7"/>
                <w:sz w:val="21"/>
                <w:szCs w:val="21"/>
              </w:rPr>
              <w:t>(2)投标文件上法定代表人的签章、投标人的单位章盖章齐全，符合</w:t>
            </w:r>
            <w:r>
              <w:rPr>
                <w:rFonts w:ascii="宋体" w:hAnsi="宋体" w:eastAsia="宋体" w:cs="宋体"/>
                <w:color w:val="auto"/>
                <w:spacing w:val="-3"/>
                <w:sz w:val="21"/>
                <w:szCs w:val="21"/>
              </w:rPr>
              <w:t>招标文件规定。</w:t>
            </w:r>
          </w:p>
          <w:p w14:paraId="6002575F">
            <w:pPr>
              <w:spacing w:before="292" w:line="234" w:lineRule="auto"/>
              <w:ind w:left="113" w:right="102" w:firstLine="36"/>
              <w:rPr>
                <w:rFonts w:ascii="宋体" w:hAnsi="宋体" w:eastAsia="宋体" w:cs="宋体"/>
                <w:color w:val="auto"/>
                <w:sz w:val="21"/>
                <w:szCs w:val="21"/>
              </w:rPr>
            </w:pPr>
            <w:r>
              <w:rPr>
                <w:rFonts w:ascii="宋体" w:hAnsi="宋体" w:eastAsia="宋体" w:cs="宋体"/>
                <w:color w:val="auto"/>
                <w:spacing w:val="-2"/>
                <w:sz w:val="21"/>
                <w:szCs w:val="21"/>
              </w:rPr>
              <w:t>(3)与申请资格预审时比较，投标人发生合并、分立、破产等重</w:t>
            </w:r>
            <w:r>
              <w:rPr>
                <w:rFonts w:ascii="宋体" w:hAnsi="宋体" w:eastAsia="宋体" w:cs="宋体"/>
                <w:color w:val="auto"/>
                <w:spacing w:val="-3"/>
                <w:sz w:val="21"/>
                <w:szCs w:val="21"/>
              </w:rPr>
              <w:t>大变</w:t>
            </w:r>
            <w:r>
              <w:rPr>
                <w:rFonts w:ascii="宋体" w:hAnsi="宋体" w:eastAsia="宋体" w:cs="宋体"/>
                <w:color w:val="auto"/>
                <w:sz w:val="21"/>
                <w:szCs w:val="21"/>
              </w:rPr>
              <w:t xml:space="preserve"> 化的，仍具备资格预审文件规定的相应资格</w:t>
            </w:r>
            <w:r>
              <w:rPr>
                <w:rFonts w:ascii="宋体" w:hAnsi="宋体" w:eastAsia="宋体" w:cs="宋体"/>
                <w:color w:val="auto"/>
                <w:spacing w:val="-1"/>
                <w:sz w:val="21"/>
                <w:szCs w:val="21"/>
              </w:rPr>
              <w:t>条件且其投标未影响招</w:t>
            </w:r>
            <w:r>
              <w:rPr>
                <w:rFonts w:ascii="宋体" w:hAnsi="宋体" w:eastAsia="宋体" w:cs="宋体"/>
                <w:color w:val="auto"/>
                <w:sz w:val="21"/>
                <w:szCs w:val="21"/>
              </w:rPr>
              <w:t xml:space="preserve">  </w:t>
            </w:r>
            <w:r>
              <w:rPr>
                <w:rFonts w:ascii="宋体" w:hAnsi="宋体" w:eastAsia="宋体" w:cs="宋体"/>
                <w:color w:val="auto"/>
                <w:spacing w:val="-1"/>
                <w:sz w:val="21"/>
                <w:szCs w:val="21"/>
              </w:rPr>
              <w:t>标公正性</w:t>
            </w:r>
          </w:p>
          <w:p w14:paraId="071658EE">
            <w:pPr>
              <w:spacing w:before="22" w:line="228" w:lineRule="auto"/>
              <w:ind w:left="116" w:right="188" w:hanging="3"/>
              <w:rPr>
                <w:rFonts w:ascii="宋体" w:hAnsi="宋体" w:eastAsia="宋体" w:cs="宋体"/>
                <w:color w:val="auto"/>
                <w:sz w:val="21"/>
                <w:szCs w:val="21"/>
              </w:rPr>
            </w:pPr>
            <w:r>
              <w:rPr>
                <w:rFonts w:ascii="宋体" w:hAnsi="宋体" w:eastAsia="宋体" w:cs="宋体"/>
                <w:color w:val="auto"/>
                <w:sz w:val="21"/>
                <w:szCs w:val="21"/>
              </w:rPr>
              <w:t>a.投标人应提供相关部门的合法批件及企业法</w:t>
            </w:r>
            <w:r>
              <w:rPr>
                <w:rFonts w:ascii="宋体" w:hAnsi="宋体" w:eastAsia="宋体" w:cs="宋体"/>
                <w:color w:val="auto"/>
                <w:spacing w:val="-1"/>
                <w:sz w:val="21"/>
                <w:szCs w:val="21"/>
              </w:rPr>
              <w:t>人营业执照和资质证</w:t>
            </w:r>
            <w:r>
              <w:rPr>
                <w:rFonts w:ascii="宋体" w:hAnsi="宋体" w:eastAsia="宋体" w:cs="宋体"/>
                <w:color w:val="auto"/>
                <w:sz w:val="21"/>
                <w:szCs w:val="21"/>
              </w:rPr>
              <w:t xml:space="preserve"> </w:t>
            </w:r>
            <w:r>
              <w:rPr>
                <w:rFonts w:ascii="宋体" w:hAnsi="宋体" w:eastAsia="宋体" w:cs="宋体"/>
                <w:color w:val="auto"/>
                <w:spacing w:val="-3"/>
                <w:sz w:val="21"/>
                <w:szCs w:val="21"/>
              </w:rPr>
              <w:t>书等证件的副本变更记录复印件；</w:t>
            </w:r>
          </w:p>
          <w:p w14:paraId="342BFF2A">
            <w:pPr>
              <w:spacing w:before="24" w:line="230" w:lineRule="auto"/>
              <w:ind w:left="118" w:right="395" w:hanging="9"/>
              <w:rPr>
                <w:rFonts w:ascii="宋体" w:hAnsi="宋体" w:eastAsia="宋体" w:cs="宋体"/>
                <w:color w:val="auto"/>
                <w:sz w:val="21"/>
                <w:szCs w:val="21"/>
              </w:rPr>
            </w:pPr>
            <w:r>
              <w:rPr>
                <w:rFonts w:ascii="宋体" w:hAnsi="宋体" w:eastAsia="宋体" w:cs="宋体"/>
                <w:color w:val="auto"/>
                <w:sz w:val="21"/>
                <w:szCs w:val="21"/>
              </w:rPr>
              <w:t xml:space="preserve">b.投标人仍然满足资格预审文件中规定的资格预审条件最低要求 </w:t>
            </w:r>
            <w:r>
              <w:rPr>
                <w:rFonts w:ascii="宋体" w:hAnsi="宋体" w:eastAsia="宋体" w:cs="宋体"/>
                <w:color w:val="auto"/>
                <w:spacing w:val="-8"/>
                <w:sz w:val="21"/>
                <w:szCs w:val="21"/>
              </w:rPr>
              <w:t>（资质、业绩、人员、信誉等</w:t>
            </w:r>
            <w:r>
              <w:rPr>
                <w:rFonts w:ascii="宋体" w:hAnsi="宋体" w:eastAsia="宋体" w:cs="宋体"/>
                <w:color w:val="auto"/>
                <w:spacing w:val="-12"/>
                <w:sz w:val="21"/>
                <w:szCs w:val="21"/>
              </w:rPr>
              <w:t>）；</w:t>
            </w:r>
          </w:p>
          <w:p w14:paraId="32535367">
            <w:pPr>
              <w:spacing w:before="25" w:line="232" w:lineRule="auto"/>
              <w:ind w:left="133" w:right="28" w:hanging="16"/>
              <w:rPr>
                <w:rFonts w:ascii="宋体" w:hAnsi="宋体" w:eastAsia="宋体" w:cs="宋体"/>
                <w:color w:val="auto"/>
                <w:sz w:val="21"/>
                <w:szCs w:val="21"/>
              </w:rPr>
            </w:pPr>
            <w:r>
              <w:rPr>
                <w:rFonts w:ascii="宋体" w:hAnsi="宋体" w:eastAsia="宋体" w:cs="宋体"/>
                <w:color w:val="auto"/>
                <w:spacing w:val="-1"/>
                <w:sz w:val="21"/>
                <w:szCs w:val="21"/>
              </w:rPr>
              <w:t>c.与所投标段的其他投标人不存在控股、管理关</w:t>
            </w:r>
            <w:r>
              <w:rPr>
                <w:rFonts w:ascii="宋体" w:hAnsi="宋体" w:eastAsia="宋体" w:cs="宋体"/>
                <w:color w:val="auto"/>
                <w:spacing w:val="-2"/>
                <w:sz w:val="21"/>
                <w:szCs w:val="21"/>
              </w:rPr>
              <w:t xml:space="preserve">系或单位负责人为  </w:t>
            </w:r>
            <w:r>
              <w:rPr>
                <w:rFonts w:ascii="宋体" w:hAnsi="宋体" w:eastAsia="宋体" w:cs="宋体"/>
                <w:color w:val="auto"/>
                <w:spacing w:val="-5"/>
                <w:sz w:val="21"/>
                <w:szCs w:val="21"/>
              </w:rPr>
              <w:t>同一人的情况；</w:t>
            </w:r>
            <w:r>
              <w:rPr>
                <w:rFonts w:ascii="宋体" w:hAnsi="宋体" w:eastAsia="宋体" w:cs="宋体"/>
                <w:color w:val="auto"/>
                <w:spacing w:val="-34"/>
                <w:sz w:val="21"/>
                <w:szCs w:val="21"/>
              </w:rPr>
              <w:t xml:space="preserve"> </w:t>
            </w:r>
            <w:r>
              <w:rPr>
                <w:rFonts w:ascii="宋体" w:hAnsi="宋体" w:eastAsia="宋体" w:cs="宋体"/>
                <w:color w:val="auto"/>
                <w:spacing w:val="-5"/>
                <w:sz w:val="21"/>
                <w:szCs w:val="21"/>
              </w:rPr>
              <w:t>与招标人也不存在利害关系并可能影响招标公正性。</w:t>
            </w:r>
            <w:r>
              <w:rPr>
                <w:rFonts w:ascii="宋体" w:hAnsi="宋体" w:eastAsia="宋体" w:cs="宋体"/>
                <w:color w:val="auto"/>
                <w:sz w:val="21"/>
                <w:szCs w:val="21"/>
              </w:rPr>
              <w:t xml:space="preserve"> </w:t>
            </w:r>
            <w:r>
              <w:rPr>
                <w:rFonts w:ascii="宋体" w:hAnsi="宋体" w:eastAsia="宋体" w:cs="宋体"/>
                <w:color w:val="auto"/>
                <w:spacing w:val="-1"/>
                <w:sz w:val="21"/>
                <w:szCs w:val="21"/>
              </w:rPr>
              <w:t>(4)投标人按照招标文件的规定提供了投标保</w:t>
            </w:r>
            <w:r>
              <w:rPr>
                <w:rFonts w:ascii="宋体" w:hAnsi="宋体" w:eastAsia="宋体" w:cs="宋体"/>
                <w:color w:val="auto"/>
                <w:spacing w:val="-2"/>
                <w:sz w:val="21"/>
                <w:szCs w:val="21"/>
              </w:rPr>
              <w:t>证金</w:t>
            </w:r>
          </w:p>
          <w:p w14:paraId="5E499D72">
            <w:pPr>
              <w:spacing w:before="23" w:line="229" w:lineRule="auto"/>
              <w:ind w:left="116" w:right="188" w:hanging="3"/>
              <w:rPr>
                <w:rFonts w:ascii="宋体" w:hAnsi="宋体" w:eastAsia="宋体" w:cs="宋体"/>
                <w:color w:val="auto"/>
                <w:sz w:val="21"/>
                <w:szCs w:val="21"/>
              </w:rPr>
            </w:pPr>
            <w:r>
              <w:rPr>
                <w:rFonts w:ascii="宋体" w:hAnsi="宋体" w:eastAsia="宋体" w:cs="宋体"/>
                <w:color w:val="auto"/>
                <w:sz w:val="21"/>
                <w:szCs w:val="21"/>
              </w:rPr>
              <w:t>a.投标保证金金额符合招标文件规定的金额，</w:t>
            </w:r>
            <w:r>
              <w:rPr>
                <w:rFonts w:ascii="宋体" w:hAnsi="宋体" w:eastAsia="宋体" w:cs="宋体"/>
                <w:color w:val="auto"/>
                <w:spacing w:val="-1"/>
                <w:sz w:val="21"/>
                <w:szCs w:val="21"/>
              </w:rPr>
              <w:t>且投标保证金有效期</w:t>
            </w:r>
            <w:r>
              <w:rPr>
                <w:rFonts w:ascii="宋体" w:hAnsi="宋体" w:eastAsia="宋体" w:cs="宋体"/>
                <w:color w:val="auto"/>
                <w:sz w:val="21"/>
                <w:szCs w:val="21"/>
              </w:rPr>
              <w:t xml:space="preserve"> </w:t>
            </w:r>
            <w:r>
              <w:rPr>
                <w:rFonts w:ascii="宋体" w:hAnsi="宋体" w:eastAsia="宋体" w:cs="宋体"/>
                <w:color w:val="auto"/>
                <w:spacing w:val="-4"/>
                <w:sz w:val="21"/>
                <w:szCs w:val="21"/>
              </w:rPr>
              <w:t>与投标有效期一致；</w:t>
            </w:r>
          </w:p>
          <w:p w14:paraId="042040A4">
            <w:pPr>
              <w:spacing w:before="23" w:line="234" w:lineRule="auto"/>
              <w:ind w:left="111" w:right="188" w:hanging="2"/>
              <w:rPr>
                <w:rFonts w:ascii="宋体" w:hAnsi="宋体" w:eastAsia="宋体" w:cs="宋体"/>
                <w:color w:val="auto"/>
                <w:sz w:val="21"/>
                <w:szCs w:val="21"/>
              </w:rPr>
            </w:pPr>
            <w:r>
              <w:rPr>
                <w:rFonts w:ascii="宋体" w:hAnsi="宋体" w:eastAsia="宋体" w:cs="宋体"/>
                <w:color w:val="auto"/>
                <w:sz w:val="21"/>
                <w:szCs w:val="21"/>
              </w:rPr>
              <w:t>b.若投标保证金采用现金或支票形式提交，投标人应在</w:t>
            </w:r>
            <w:r>
              <w:rPr>
                <w:rFonts w:ascii="宋体" w:hAnsi="宋体" w:eastAsia="宋体" w:cs="宋体"/>
                <w:color w:val="auto"/>
                <w:spacing w:val="-1"/>
                <w:sz w:val="21"/>
                <w:szCs w:val="21"/>
              </w:rPr>
              <w:t>递交投标文</w:t>
            </w:r>
            <w:r>
              <w:rPr>
                <w:rFonts w:ascii="宋体" w:hAnsi="宋体" w:eastAsia="宋体" w:cs="宋体"/>
                <w:color w:val="auto"/>
                <w:sz w:val="21"/>
                <w:szCs w:val="21"/>
              </w:rPr>
              <w:t xml:space="preserve"> 件截止时间之前，将投标保证金由投标人的基本</w:t>
            </w:r>
            <w:r>
              <w:rPr>
                <w:rFonts w:ascii="宋体" w:hAnsi="宋体" w:eastAsia="宋体" w:cs="宋体"/>
                <w:color w:val="auto"/>
                <w:spacing w:val="-1"/>
                <w:sz w:val="21"/>
                <w:szCs w:val="21"/>
              </w:rPr>
              <w:t>账户转入招标人指</w:t>
            </w:r>
            <w:r>
              <w:rPr>
                <w:rFonts w:ascii="宋体" w:hAnsi="宋体" w:eastAsia="宋体" w:cs="宋体"/>
                <w:color w:val="auto"/>
                <w:sz w:val="21"/>
                <w:szCs w:val="21"/>
              </w:rPr>
              <w:t xml:space="preserve"> </w:t>
            </w:r>
            <w:r>
              <w:rPr>
                <w:rFonts w:ascii="宋体" w:hAnsi="宋体" w:eastAsia="宋体" w:cs="宋体"/>
                <w:color w:val="auto"/>
                <w:spacing w:val="-10"/>
                <w:sz w:val="21"/>
                <w:szCs w:val="21"/>
              </w:rPr>
              <w:t>定账户；</w:t>
            </w:r>
          </w:p>
          <w:p w14:paraId="4FD89EBE">
            <w:pPr>
              <w:spacing w:before="17" w:line="234" w:lineRule="auto"/>
              <w:ind w:left="111" w:right="188" w:firstLine="5"/>
              <w:rPr>
                <w:rFonts w:ascii="宋体" w:hAnsi="宋体" w:eastAsia="宋体" w:cs="宋体"/>
                <w:color w:val="auto"/>
                <w:sz w:val="21"/>
                <w:szCs w:val="21"/>
              </w:rPr>
            </w:pPr>
            <w:r>
              <w:rPr>
                <w:rFonts w:ascii="宋体" w:hAnsi="宋体" w:eastAsia="宋体" w:cs="宋体"/>
                <w:color w:val="auto"/>
                <w:spacing w:val="-1"/>
                <w:sz w:val="21"/>
                <w:szCs w:val="21"/>
              </w:rPr>
              <w:t>c.若投标保证金采用银行电子保函形式提交，投标人开具电子保函</w:t>
            </w:r>
            <w:r>
              <w:rPr>
                <w:rFonts w:ascii="宋体" w:hAnsi="宋体" w:eastAsia="宋体" w:cs="宋体"/>
                <w:color w:val="auto"/>
                <w:spacing w:val="17"/>
                <w:sz w:val="21"/>
                <w:szCs w:val="21"/>
              </w:rPr>
              <w:t xml:space="preserve"> </w:t>
            </w:r>
            <w:r>
              <w:rPr>
                <w:rFonts w:ascii="宋体" w:hAnsi="宋体" w:eastAsia="宋体" w:cs="宋体"/>
                <w:color w:val="auto"/>
                <w:sz w:val="21"/>
                <w:szCs w:val="21"/>
              </w:rPr>
              <w:t>须对应到具体项目的具体标段，开具成功时间须在</w:t>
            </w:r>
            <w:r>
              <w:rPr>
                <w:rFonts w:ascii="宋体" w:hAnsi="宋体" w:eastAsia="宋体" w:cs="宋体"/>
                <w:color w:val="auto"/>
                <w:spacing w:val="-1"/>
                <w:sz w:val="21"/>
                <w:szCs w:val="21"/>
              </w:rPr>
              <w:t>所投项目保证金</w:t>
            </w:r>
            <w:r>
              <w:rPr>
                <w:rFonts w:ascii="宋体" w:hAnsi="宋体" w:eastAsia="宋体" w:cs="宋体"/>
                <w:color w:val="auto"/>
                <w:sz w:val="21"/>
                <w:szCs w:val="21"/>
              </w:rPr>
              <w:t xml:space="preserve"> </w:t>
            </w:r>
            <w:r>
              <w:rPr>
                <w:rFonts w:ascii="宋体" w:hAnsi="宋体" w:eastAsia="宋体" w:cs="宋体"/>
                <w:color w:val="auto"/>
                <w:spacing w:val="-3"/>
                <w:sz w:val="21"/>
                <w:szCs w:val="21"/>
              </w:rPr>
              <w:t>缴纳截止时间之前。</w:t>
            </w:r>
          </w:p>
          <w:p w14:paraId="7BB6B0AC">
            <w:pPr>
              <w:spacing w:before="22" w:line="221" w:lineRule="auto"/>
              <w:ind w:left="150"/>
              <w:rPr>
                <w:rFonts w:ascii="宋体" w:hAnsi="宋体" w:eastAsia="宋体" w:cs="宋体"/>
                <w:color w:val="auto"/>
                <w:sz w:val="21"/>
                <w:szCs w:val="21"/>
              </w:rPr>
            </w:pPr>
            <w:r>
              <w:rPr>
                <w:rFonts w:ascii="宋体" w:hAnsi="宋体" w:eastAsia="宋体" w:cs="宋体"/>
                <w:color w:val="auto"/>
                <w:spacing w:val="-2"/>
                <w:sz w:val="21"/>
                <w:szCs w:val="21"/>
              </w:rPr>
              <w:t>(5)投标人以联合体形式投标时，联合体满足招标文件的要求</w:t>
            </w:r>
          </w:p>
          <w:p w14:paraId="67386AB8">
            <w:pPr>
              <w:spacing w:before="18" w:line="220" w:lineRule="auto"/>
              <w:ind w:left="113"/>
              <w:rPr>
                <w:rFonts w:ascii="宋体" w:hAnsi="宋体" w:eastAsia="宋体" w:cs="宋体"/>
                <w:color w:val="auto"/>
                <w:sz w:val="21"/>
                <w:szCs w:val="21"/>
              </w:rPr>
            </w:pPr>
            <w:r>
              <w:rPr>
                <w:rFonts w:ascii="宋体" w:hAnsi="宋体" w:eastAsia="宋体" w:cs="宋体"/>
                <w:color w:val="auto"/>
                <w:sz w:val="21"/>
                <w:szCs w:val="21"/>
              </w:rPr>
              <w:t>a.未进行资格预审的，投标人按照招标文件提供的格</w:t>
            </w:r>
            <w:r>
              <w:rPr>
                <w:rFonts w:ascii="宋体" w:hAnsi="宋体" w:eastAsia="宋体" w:cs="宋体"/>
                <w:color w:val="auto"/>
                <w:spacing w:val="-1"/>
                <w:sz w:val="21"/>
                <w:szCs w:val="21"/>
              </w:rPr>
              <w:t>式签订了联合</w:t>
            </w:r>
          </w:p>
        </w:tc>
      </w:tr>
    </w:tbl>
    <w:p w14:paraId="680DAED6">
      <w:pPr>
        <w:spacing w:line="194" w:lineRule="exact"/>
        <w:rPr>
          <w:rFonts w:ascii="Arial"/>
          <w:color w:val="auto"/>
          <w:sz w:val="16"/>
        </w:rPr>
      </w:pPr>
    </w:p>
    <w:tbl>
      <w:tblPr>
        <w:tblStyle w:val="8"/>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276"/>
        <w:gridCol w:w="6390"/>
      </w:tblGrid>
      <w:tr w14:paraId="0D996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9" w:hRule="atLeast"/>
        </w:trPr>
        <w:tc>
          <w:tcPr>
            <w:tcW w:w="1284" w:type="dxa"/>
            <w:vAlign w:val="top"/>
          </w:tcPr>
          <w:p w14:paraId="6EBFE6AF">
            <w:pPr>
              <w:rPr>
                <w:rFonts w:ascii="Arial"/>
                <w:color w:val="auto"/>
                <w:sz w:val="21"/>
              </w:rPr>
            </w:pPr>
          </w:p>
        </w:tc>
        <w:tc>
          <w:tcPr>
            <w:tcW w:w="1276" w:type="dxa"/>
            <w:vAlign w:val="top"/>
          </w:tcPr>
          <w:p w14:paraId="5455960C">
            <w:pPr>
              <w:rPr>
                <w:rFonts w:ascii="Arial"/>
                <w:color w:val="auto"/>
                <w:sz w:val="21"/>
              </w:rPr>
            </w:pPr>
          </w:p>
        </w:tc>
        <w:tc>
          <w:tcPr>
            <w:tcW w:w="6390" w:type="dxa"/>
            <w:vAlign w:val="top"/>
          </w:tcPr>
          <w:p w14:paraId="4F0201EE">
            <w:pPr>
              <w:spacing w:before="125" w:line="220" w:lineRule="auto"/>
              <w:ind w:left="112"/>
              <w:rPr>
                <w:rFonts w:ascii="宋体" w:hAnsi="宋体" w:eastAsia="宋体" w:cs="宋体"/>
                <w:color w:val="auto"/>
                <w:sz w:val="21"/>
                <w:szCs w:val="21"/>
              </w:rPr>
            </w:pPr>
            <w:r>
              <w:rPr>
                <w:rFonts w:ascii="宋体" w:hAnsi="宋体" w:eastAsia="宋体" w:cs="宋体"/>
                <w:color w:val="auto"/>
                <w:spacing w:val="-5"/>
                <w:sz w:val="21"/>
                <w:szCs w:val="21"/>
              </w:rPr>
              <w:t>体协议书， 明确各方承担连带责任，并明确</w:t>
            </w:r>
            <w:r>
              <w:rPr>
                <w:rFonts w:ascii="宋体" w:hAnsi="宋体" w:eastAsia="宋体" w:cs="宋体"/>
                <w:color w:val="auto"/>
                <w:spacing w:val="-6"/>
                <w:sz w:val="21"/>
                <w:szCs w:val="21"/>
              </w:rPr>
              <w:t>了联合体牵头人；</w:t>
            </w:r>
          </w:p>
          <w:p w14:paraId="6ADA75E9">
            <w:pPr>
              <w:spacing w:before="23" w:line="233" w:lineRule="auto"/>
              <w:ind w:left="113" w:right="188" w:hanging="4"/>
              <w:jc w:val="both"/>
              <w:rPr>
                <w:rFonts w:ascii="宋体" w:hAnsi="宋体" w:eastAsia="宋体" w:cs="宋体"/>
                <w:color w:val="auto"/>
                <w:sz w:val="21"/>
                <w:szCs w:val="21"/>
              </w:rPr>
            </w:pPr>
            <w:r>
              <w:rPr>
                <w:rFonts w:ascii="宋体" w:hAnsi="宋体" w:eastAsia="宋体" w:cs="宋体"/>
                <w:color w:val="auto"/>
                <w:sz w:val="21"/>
                <w:szCs w:val="21"/>
              </w:rPr>
              <w:t>b.已进行资格预审的，投标人提供了资格预审申请文件</w:t>
            </w:r>
            <w:r>
              <w:rPr>
                <w:rFonts w:ascii="宋体" w:hAnsi="宋体" w:eastAsia="宋体" w:cs="宋体"/>
                <w:color w:val="auto"/>
                <w:spacing w:val="-1"/>
                <w:sz w:val="21"/>
                <w:szCs w:val="21"/>
              </w:rPr>
              <w:t>中所附的联</w:t>
            </w:r>
            <w:r>
              <w:rPr>
                <w:rFonts w:ascii="宋体" w:hAnsi="宋体" w:eastAsia="宋体" w:cs="宋体"/>
                <w:color w:val="auto"/>
                <w:sz w:val="21"/>
                <w:szCs w:val="21"/>
              </w:rPr>
              <w:t xml:space="preserve"> </w:t>
            </w:r>
            <w:r>
              <w:rPr>
                <w:rFonts w:ascii="宋体" w:hAnsi="宋体" w:eastAsia="宋体" w:cs="宋体"/>
                <w:color w:val="auto"/>
                <w:spacing w:val="-4"/>
                <w:sz w:val="21"/>
                <w:szCs w:val="21"/>
              </w:rPr>
              <w:t>合体协议书复印件， 且通过资格预审后的联合体无成员增减或更换</w:t>
            </w:r>
            <w:r>
              <w:rPr>
                <w:rFonts w:ascii="宋体" w:hAnsi="宋体" w:eastAsia="宋体" w:cs="宋体"/>
                <w:color w:val="auto"/>
                <w:spacing w:val="5"/>
                <w:sz w:val="21"/>
                <w:szCs w:val="21"/>
              </w:rPr>
              <w:t xml:space="preserve"> </w:t>
            </w:r>
            <w:r>
              <w:rPr>
                <w:rFonts w:ascii="宋体" w:hAnsi="宋体" w:eastAsia="宋体" w:cs="宋体"/>
                <w:color w:val="auto"/>
                <w:spacing w:val="-7"/>
                <w:sz w:val="21"/>
                <w:szCs w:val="21"/>
              </w:rPr>
              <w:t>的情况。</w:t>
            </w:r>
          </w:p>
          <w:p w14:paraId="6282C3CD">
            <w:pPr>
              <w:spacing w:before="20" w:line="234" w:lineRule="auto"/>
              <w:ind w:left="98" w:right="133" w:firstLine="51"/>
              <w:rPr>
                <w:rFonts w:ascii="宋体" w:hAnsi="宋体" w:eastAsia="宋体" w:cs="宋体"/>
                <w:color w:val="auto"/>
                <w:sz w:val="21"/>
                <w:szCs w:val="21"/>
              </w:rPr>
            </w:pPr>
            <w:r>
              <w:rPr>
                <w:rFonts w:ascii="宋体" w:hAnsi="宋体" w:eastAsia="宋体" w:cs="宋体"/>
                <w:color w:val="auto"/>
                <w:spacing w:val="-3"/>
                <w:sz w:val="21"/>
                <w:szCs w:val="21"/>
              </w:rPr>
              <w:t>(6)投标人如有分包计划，符合招标文件第二章“投</w:t>
            </w:r>
            <w:r>
              <w:rPr>
                <w:rFonts w:ascii="宋体" w:hAnsi="宋体" w:eastAsia="宋体" w:cs="宋体"/>
                <w:color w:val="auto"/>
                <w:spacing w:val="-4"/>
                <w:sz w:val="21"/>
                <w:szCs w:val="21"/>
              </w:rPr>
              <w:t>标人须知</w:t>
            </w:r>
            <w:r>
              <w:rPr>
                <w:rFonts w:ascii="宋体" w:hAnsi="宋体" w:eastAsia="宋体" w:cs="宋体"/>
                <w:color w:val="auto"/>
                <w:spacing w:val="-77"/>
                <w:sz w:val="21"/>
                <w:szCs w:val="21"/>
              </w:rPr>
              <w:t xml:space="preserve"> </w:t>
            </w:r>
            <w:r>
              <w:rPr>
                <w:rFonts w:ascii="宋体" w:hAnsi="宋体" w:eastAsia="宋体" w:cs="宋体"/>
                <w:color w:val="auto"/>
                <w:spacing w:val="-4"/>
                <w:sz w:val="21"/>
                <w:szCs w:val="21"/>
              </w:rPr>
              <w:t xml:space="preserve">”第  </w:t>
            </w:r>
            <w:r>
              <w:rPr>
                <w:rFonts w:ascii="宋体" w:hAnsi="宋体" w:eastAsia="宋体" w:cs="宋体"/>
                <w:color w:val="auto"/>
                <w:spacing w:val="-1"/>
                <w:sz w:val="21"/>
                <w:szCs w:val="21"/>
              </w:rPr>
              <w:t>1.11</w:t>
            </w:r>
            <w:r>
              <w:rPr>
                <w:rFonts w:ascii="宋体" w:hAnsi="宋体" w:eastAsia="宋体" w:cs="宋体"/>
                <w:color w:val="auto"/>
                <w:spacing w:val="-42"/>
                <w:sz w:val="21"/>
                <w:szCs w:val="21"/>
              </w:rPr>
              <w:t xml:space="preserve"> </w:t>
            </w:r>
            <w:r>
              <w:rPr>
                <w:rFonts w:ascii="宋体" w:hAnsi="宋体" w:eastAsia="宋体" w:cs="宋体"/>
                <w:color w:val="auto"/>
                <w:spacing w:val="-1"/>
                <w:sz w:val="21"/>
                <w:szCs w:val="21"/>
              </w:rPr>
              <w:t>款规定，且按招标文件第七章“投标文件格式</w:t>
            </w:r>
            <w:r>
              <w:rPr>
                <w:rFonts w:ascii="宋体" w:hAnsi="宋体" w:eastAsia="宋体" w:cs="宋体"/>
                <w:color w:val="auto"/>
                <w:spacing w:val="-76"/>
                <w:sz w:val="21"/>
                <w:szCs w:val="21"/>
              </w:rPr>
              <w:t xml:space="preserve"> </w:t>
            </w:r>
            <w:r>
              <w:rPr>
                <w:rFonts w:ascii="宋体" w:hAnsi="宋体" w:eastAsia="宋体" w:cs="宋体"/>
                <w:color w:val="auto"/>
                <w:spacing w:val="-1"/>
                <w:sz w:val="21"/>
                <w:szCs w:val="21"/>
              </w:rPr>
              <w:t>”的要求填写了</w:t>
            </w:r>
            <w:r>
              <w:rPr>
                <w:rFonts w:ascii="宋体" w:hAnsi="宋体" w:eastAsia="宋体" w:cs="宋体"/>
                <w:color w:val="auto"/>
                <w:sz w:val="21"/>
                <w:szCs w:val="21"/>
              </w:rPr>
              <w:t xml:space="preserve"> </w:t>
            </w:r>
            <w:r>
              <w:rPr>
                <w:rFonts w:ascii="宋体" w:hAnsi="宋体" w:eastAsia="宋体" w:cs="宋体"/>
                <w:color w:val="auto"/>
                <w:spacing w:val="1"/>
                <w:sz w:val="21"/>
                <w:szCs w:val="21"/>
              </w:rPr>
              <w:t>“拟分包项目情况表</w:t>
            </w:r>
          </w:p>
          <w:p w14:paraId="02BF91C3">
            <w:pPr>
              <w:spacing w:before="291" w:line="231" w:lineRule="auto"/>
              <w:ind w:left="117" w:right="102" w:firstLine="32"/>
              <w:rPr>
                <w:rFonts w:ascii="宋体" w:hAnsi="宋体" w:eastAsia="宋体" w:cs="宋体"/>
                <w:color w:val="auto"/>
                <w:sz w:val="21"/>
                <w:szCs w:val="21"/>
              </w:rPr>
            </w:pPr>
            <w:r>
              <w:rPr>
                <w:rFonts w:ascii="宋体" w:hAnsi="宋体" w:eastAsia="宋体" w:cs="宋体"/>
                <w:color w:val="auto"/>
                <w:spacing w:val="-2"/>
                <w:sz w:val="21"/>
                <w:szCs w:val="21"/>
              </w:rPr>
              <w:t>(7)同一投标人未提交两个以上不同的投标文件，但招标文件要</w:t>
            </w:r>
            <w:r>
              <w:rPr>
                <w:rFonts w:ascii="宋体" w:hAnsi="宋体" w:eastAsia="宋体" w:cs="宋体"/>
                <w:color w:val="auto"/>
                <w:spacing w:val="-3"/>
                <w:sz w:val="21"/>
                <w:szCs w:val="21"/>
              </w:rPr>
              <w:t>求提</w:t>
            </w:r>
            <w:r>
              <w:rPr>
                <w:rFonts w:ascii="宋体" w:hAnsi="宋体" w:eastAsia="宋体" w:cs="宋体"/>
                <w:color w:val="auto"/>
                <w:sz w:val="21"/>
                <w:szCs w:val="21"/>
              </w:rPr>
              <w:t xml:space="preserve"> </w:t>
            </w:r>
            <w:r>
              <w:rPr>
                <w:rFonts w:ascii="宋体" w:hAnsi="宋体" w:eastAsia="宋体" w:cs="宋体"/>
                <w:color w:val="auto"/>
                <w:spacing w:val="-1"/>
                <w:sz w:val="21"/>
                <w:szCs w:val="21"/>
              </w:rPr>
              <w:t>交备选投标的除外</w:t>
            </w:r>
          </w:p>
          <w:p w14:paraId="02AF6666">
            <w:pPr>
              <w:spacing w:before="291" w:line="219" w:lineRule="auto"/>
              <w:ind w:left="150"/>
              <w:rPr>
                <w:rFonts w:ascii="宋体" w:hAnsi="宋体" w:eastAsia="宋体" w:cs="宋体"/>
                <w:color w:val="auto"/>
                <w:sz w:val="21"/>
                <w:szCs w:val="21"/>
              </w:rPr>
            </w:pPr>
            <w:r>
              <w:rPr>
                <w:rFonts w:ascii="宋体" w:hAnsi="宋体" w:eastAsia="宋体" w:cs="宋体"/>
                <w:color w:val="auto"/>
                <w:spacing w:val="-2"/>
                <w:sz w:val="21"/>
                <w:szCs w:val="21"/>
              </w:rPr>
              <w:t>(8)投标文件中未出现有关投标报价的内容</w:t>
            </w:r>
          </w:p>
          <w:p w14:paraId="3211D0BF">
            <w:pPr>
              <w:spacing w:before="298" w:line="542" w:lineRule="exact"/>
              <w:ind w:left="150"/>
              <w:rPr>
                <w:rFonts w:ascii="宋体" w:hAnsi="宋体" w:eastAsia="宋体" w:cs="宋体"/>
                <w:color w:val="auto"/>
                <w:sz w:val="21"/>
                <w:szCs w:val="21"/>
              </w:rPr>
            </w:pPr>
            <w:r>
              <w:rPr>
                <w:rFonts w:ascii="宋体" w:hAnsi="宋体" w:eastAsia="宋体" w:cs="宋体"/>
                <w:color w:val="auto"/>
                <w:spacing w:val="-2"/>
                <w:position w:val="25"/>
                <w:sz w:val="21"/>
                <w:szCs w:val="21"/>
              </w:rPr>
              <w:t>(9)投标文件载明的招标项目完成期限未超过招标文件规定的时限</w:t>
            </w:r>
          </w:p>
          <w:p w14:paraId="15509FA8">
            <w:pPr>
              <w:spacing w:before="1" w:line="220" w:lineRule="auto"/>
              <w:ind w:left="150"/>
              <w:rPr>
                <w:rFonts w:ascii="宋体" w:hAnsi="宋体" w:eastAsia="宋体" w:cs="宋体"/>
                <w:color w:val="auto"/>
                <w:sz w:val="21"/>
                <w:szCs w:val="21"/>
              </w:rPr>
            </w:pPr>
            <w:r>
              <w:rPr>
                <w:rFonts w:ascii="宋体" w:hAnsi="宋体" w:eastAsia="宋体" w:cs="宋体"/>
                <w:color w:val="auto"/>
                <w:spacing w:val="-2"/>
                <w:sz w:val="21"/>
                <w:szCs w:val="21"/>
              </w:rPr>
              <w:t>(10)投标文件对招标文件的实质性要求和条件作出响应</w:t>
            </w:r>
          </w:p>
          <w:p w14:paraId="25BECBA6">
            <w:pPr>
              <w:spacing w:before="296" w:line="221" w:lineRule="auto"/>
              <w:ind w:left="150"/>
              <w:rPr>
                <w:rFonts w:ascii="宋体" w:hAnsi="宋体" w:eastAsia="宋体" w:cs="宋体"/>
                <w:color w:val="auto"/>
                <w:sz w:val="21"/>
                <w:szCs w:val="21"/>
              </w:rPr>
            </w:pPr>
            <w:r>
              <w:rPr>
                <w:rFonts w:ascii="宋体" w:hAnsi="宋体" w:eastAsia="宋体" w:cs="宋体"/>
                <w:color w:val="auto"/>
                <w:spacing w:val="-3"/>
                <w:sz w:val="21"/>
                <w:szCs w:val="21"/>
              </w:rPr>
              <w:t>(11)权利义务符合招标文件规定</w:t>
            </w:r>
          </w:p>
          <w:p w14:paraId="6673F806">
            <w:pPr>
              <w:spacing w:before="24" w:line="228" w:lineRule="auto"/>
              <w:ind w:left="114" w:right="188" w:hanging="1"/>
              <w:rPr>
                <w:rFonts w:ascii="宋体" w:hAnsi="宋体" w:eastAsia="宋体" w:cs="宋体"/>
                <w:color w:val="auto"/>
                <w:sz w:val="21"/>
                <w:szCs w:val="21"/>
              </w:rPr>
            </w:pPr>
            <w:r>
              <w:rPr>
                <w:rFonts w:ascii="宋体" w:hAnsi="宋体" w:eastAsia="宋体" w:cs="宋体"/>
                <w:color w:val="auto"/>
                <w:spacing w:val="-4"/>
                <w:sz w:val="21"/>
                <w:szCs w:val="21"/>
              </w:rPr>
              <w:t>a.投标人应接受招标文件规定的风险划分原则， 未提出新的风险划</w:t>
            </w:r>
            <w:r>
              <w:rPr>
                <w:rFonts w:ascii="宋体" w:hAnsi="宋体" w:eastAsia="宋体" w:cs="宋体"/>
                <w:color w:val="auto"/>
                <w:spacing w:val="10"/>
                <w:sz w:val="21"/>
                <w:szCs w:val="21"/>
              </w:rPr>
              <w:t xml:space="preserve"> </w:t>
            </w:r>
            <w:r>
              <w:rPr>
                <w:rFonts w:ascii="宋体" w:hAnsi="宋体" w:eastAsia="宋体" w:cs="宋体"/>
                <w:color w:val="auto"/>
                <w:spacing w:val="-11"/>
                <w:sz w:val="21"/>
                <w:szCs w:val="21"/>
              </w:rPr>
              <w:t>分办法；</w:t>
            </w:r>
          </w:p>
          <w:p w14:paraId="10CCBBAC">
            <w:pPr>
              <w:spacing w:before="22" w:line="231" w:lineRule="auto"/>
              <w:ind w:left="116" w:right="1078" w:hanging="7"/>
              <w:rPr>
                <w:rFonts w:ascii="宋体" w:hAnsi="宋体" w:eastAsia="宋体" w:cs="宋体"/>
                <w:color w:val="auto"/>
                <w:sz w:val="21"/>
                <w:szCs w:val="21"/>
              </w:rPr>
            </w:pPr>
            <w:r>
              <w:rPr>
                <w:rFonts w:ascii="宋体" w:hAnsi="宋体" w:eastAsia="宋体" w:cs="宋体"/>
                <w:color w:val="auto"/>
                <w:spacing w:val="-2"/>
                <w:sz w:val="21"/>
                <w:szCs w:val="21"/>
              </w:rPr>
              <w:t>b.投标人未增加委托人的责任范围，或减少投标人</w:t>
            </w:r>
            <w:r>
              <w:rPr>
                <w:rFonts w:ascii="宋体" w:hAnsi="宋体" w:eastAsia="宋体" w:cs="宋体"/>
                <w:color w:val="auto"/>
                <w:spacing w:val="-3"/>
                <w:sz w:val="21"/>
                <w:szCs w:val="21"/>
              </w:rPr>
              <w:t>义务；</w:t>
            </w:r>
            <w:r>
              <w:rPr>
                <w:rFonts w:ascii="宋体" w:hAnsi="宋体" w:eastAsia="宋体" w:cs="宋体"/>
                <w:color w:val="auto"/>
                <w:sz w:val="21"/>
                <w:szCs w:val="21"/>
              </w:rPr>
              <w:t xml:space="preserve"> </w:t>
            </w:r>
            <w:r>
              <w:rPr>
                <w:rFonts w:ascii="宋体" w:hAnsi="宋体" w:eastAsia="宋体" w:cs="宋体"/>
                <w:color w:val="auto"/>
                <w:spacing w:val="-3"/>
                <w:sz w:val="21"/>
                <w:szCs w:val="21"/>
              </w:rPr>
              <w:t>c.投标人未提出不同的支付办法；</w:t>
            </w:r>
          </w:p>
          <w:p w14:paraId="7BAA3837">
            <w:pPr>
              <w:spacing w:before="18" w:line="241" w:lineRule="auto"/>
              <w:ind w:left="117"/>
              <w:rPr>
                <w:rFonts w:ascii="宋体" w:hAnsi="宋体" w:eastAsia="宋体" w:cs="宋体"/>
                <w:color w:val="auto"/>
                <w:sz w:val="21"/>
                <w:szCs w:val="21"/>
              </w:rPr>
            </w:pPr>
            <w:r>
              <w:rPr>
                <w:rFonts w:ascii="宋体" w:hAnsi="宋体" w:eastAsia="宋体" w:cs="宋体"/>
                <w:color w:val="auto"/>
                <w:spacing w:val="-1"/>
                <w:sz w:val="21"/>
                <w:szCs w:val="21"/>
              </w:rPr>
              <w:t>d.投标人对合同纠纷、事故处理办法未提出异议；</w:t>
            </w:r>
          </w:p>
          <w:p w14:paraId="05B399FC">
            <w:pPr>
              <w:spacing w:line="220" w:lineRule="auto"/>
              <w:ind w:left="118"/>
              <w:rPr>
                <w:rFonts w:ascii="宋体" w:hAnsi="宋体" w:eastAsia="宋体" w:cs="宋体"/>
                <w:color w:val="auto"/>
                <w:sz w:val="21"/>
                <w:szCs w:val="21"/>
              </w:rPr>
            </w:pPr>
            <w:r>
              <w:rPr>
                <w:rFonts w:ascii="宋体" w:hAnsi="宋体" w:eastAsia="宋体" w:cs="宋体"/>
                <w:color w:val="auto"/>
                <w:spacing w:val="-3"/>
                <w:sz w:val="21"/>
                <w:szCs w:val="21"/>
              </w:rPr>
              <w:t>e.投标人在投标活动中无欺诈行为；</w:t>
            </w:r>
          </w:p>
          <w:p w14:paraId="774AF1AA">
            <w:pPr>
              <w:spacing w:before="22" w:line="221" w:lineRule="auto"/>
              <w:ind w:left="116"/>
              <w:rPr>
                <w:rFonts w:ascii="宋体" w:hAnsi="宋体" w:eastAsia="宋体" w:cs="宋体"/>
                <w:color w:val="auto"/>
                <w:sz w:val="21"/>
                <w:szCs w:val="21"/>
              </w:rPr>
            </w:pPr>
            <w:r>
              <w:rPr>
                <w:rFonts w:ascii="宋体" w:hAnsi="宋体" w:eastAsia="宋体" w:cs="宋体"/>
                <w:color w:val="auto"/>
                <w:spacing w:val="-2"/>
                <w:sz w:val="21"/>
                <w:szCs w:val="21"/>
              </w:rPr>
              <w:t>f.投标人未对合同条款有重要保留。</w:t>
            </w:r>
          </w:p>
          <w:p w14:paraId="75DD908A">
            <w:pPr>
              <w:spacing w:before="23" w:line="229" w:lineRule="auto"/>
              <w:ind w:left="117" w:right="604" w:firstLine="32"/>
              <w:rPr>
                <w:rFonts w:ascii="宋体" w:hAnsi="宋体" w:eastAsia="宋体" w:cs="宋体"/>
                <w:color w:val="auto"/>
                <w:sz w:val="21"/>
                <w:szCs w:val="21"/>
              </w:rPr>
            </w:pPr>
            <w:r>
              <w:rPr>
                <w:rFonts w:ascii="宋体" w:hAnsi="宋体" w:eastAsia="宋体" w:cs="宋体"/>
                <w:color w:val="auto"/>
                <w:spacing w:val="-3"/>
                <w:sz w:val="21"/>
                <w:szCs w:val="21"/>
              </w:rPr>
              <w:t>(12)纸质投标文件份数符合招标文件第二章“投标人须知</w:t>
            </w:r>
            <w:r>
              <w:rPr>
                <w:rFonts w:ascii="宋体" w:hAnsi="宋体" w:eastAsia="宋体" w:cs="宋体"/>
                <w:color w:val="auto"/>
                <w:spacing w:val="-59"/>
                <w:sz w:val="21"/>
                <w:szCs w:val="21"/>
              </w:rPr>
              <w:t xml:space="preserve"> </w:t>
            </w:r>
            <w:r>
              <w:rPr>
                <w:rFonts w:ascii="宋体" w:hAnsi="宋体" w:eastAsia="宋体" w:cs="宋体"/>
                <w:color w:val="auto"/>
                <w:spacing w:val="-3"/>
                <w:sz w:val="21"/>
                <w:szCs w:val="21"/>
              </w:rPr>
              <w:t>”第</w:t>
            </w:r>
            <w:r>
              <w:rPr>
                <w:rFonts w:ascii="宋体" w:hAnsi="宋体" w:eastAsia="宋体" w:cs="宋体"/>
                <w:color w:val="auto"/>
                <w:spacing w:val="-2"/>
                <w:sz w:val="21"/>
                <w:szCs w:val="21"/>
              </w:rPr>
              <w:t>3.7.5</w:t>
            </w:r>
            <w:r>
              <w:rPr>
                <w:rFonts w:ascii="宋体" w:hAnsi="宋体" w:eastAsia="宋体" w:cs="宋体"/>
                <w:color w:val="auto"/>
                <w:spacing w:val="-40"/>
                <w:sz w:val="21"/>
                <w:szCs w:val="21"/>
              </w:rPr>
              <w:t xml:space="preserve"> </w:t>
            </w:r>
            <w:r>
              <w:rPr>
                <w:rFonts w:ascii="宋体" w:hAnsi="宋体" w:eastAsia="宋体" w:cs="宋体"/>
                <w:color w:val="auto"/>
                <w:spacing w:val="-2"/>
                <w:sz w:val="21"/>
                <w:szCs w:val="21"/>
              </w:rPr>
              <w:t>项规定</w:t>
            </w:r>
          </w:p>
          <w:p w14:paraId="3CD3247D">
            <w:pPr>
              <w:spacing w:before="295" w:line="219" w:lineRule="auto"/>
              <w:ind w:left="112"/>
              <w:rPr>
                <w:rFonts w:ascii="宋体" w:hAnsi="宋体" w:eastAsia="宋体" w:cs="宋体"/>
                <w:color w:val="auto"/>
                <w:sz w:val="21"/>
                <w:szCs w:val="21"/>
              </w:rPr>
            </w:pPr>
            <w:r>
              <w:rPr>
                <w:rFonts w:ascii="宋体" w:hAnsi="宋体" w:eastAsia="宋体" w:cs="宋体"/>
                <w:color w:val="auto"/>
                <w:spacing w:val="-3"/>
                <w:sz w:val="21"/>
                <w:szCs w:val="21"/>
              </w:rPr>
              <w:t>第二个信封（报价文件）评审标准：</w:t>
            </w:r>
          </w:p>
          <w:p w14:paraId="3FE9A5D7">
            <w:pPr>
              <w:spacing w:before="26" w:line="228" w:lineRule="auto"/>
              <w:ind w:left="138" w:right="130" w:firstLine="11"/>
              <w:rPr>
                <w:rFonts w:ascii="宋体" w:hAnsi="宋体" w:eastAsia="宋体" w:cs="宋体"/>
                <w:color w:val="auto"/>
                <w:sz w:val="21"/>
                <w:szCs w:val="21"/>
              </w:rPr>
            </w:pPr>
            <w:r>
              <w:rPr>
                <w:rFonts w:ascii="宋体" w:hAnsi="宋体" w:eastAsia="宋体" w:cs="宋体"/>
                <w:color w:val="auto"/>
                <w:spacing w:val="-6"/>
                <w:sz w:val="21"/>
                <w:szCs w:val="21"/>
              </w:rPr>
              <w:t>(1)投标文件按照招标文件规定的格式、内容填写，字迹清晰可辨，</w:t>
            </w:r>
            <w:r>
              <w:rPr>
                <w:rFonts w:ascii="宋体" w:hAnsi="宋体" w:eastAsia="宋体" w:cs="宋体"/>
                <w:color w:val="auto"/>
                <w:sz w:val="21"/>
                <w:szCs w:val="21"/>
              </w:rPr>
              <w:t xml:space="preserve"> </w:t>
            </w:r>
            <w:r>
              <w:rPr>
                <w:rFonts w:ascii="宋体" w:hAnsi="宋体" w:eastAsia="宋体" w:cs="宋体"/>
                <w:color w:val="auto"/>
                <w:spacing w:val="-5"/>
                <w:sz w:val="21"/>
                <w:szCs w:val="21"/>
              </w:rPr>
              <w:t>内容齐全完整</w:t>
            </w:r>
          </w:p>
          <w:p w14:paraId="2C30306C">
            <w:pPr>
              <w:spacing w:before="22" w:line="230" w:lineRule="auto"/>
              <w:ind w:left="113" w:right="113"/>
              <w:rPr>
                <w:rFonts w:ascii="宋体" w:hAnsi="宋体" w:eastAsia="宋体" w:cs="宋体"/>
                <w:color w:val="auto"/>
                <w:sz w:val="21"/>
                <w:szCs w:val="21"/>
              </w:rPr>
            </w:pPr>
            <w:r>
              <w:rPr>
                <w:rFonts w:ascii="宋体" w:hAnsi="宋体" w:eastAsia="宋体" w:cs="宋体"/>
                <w:color w:val="auto"/>
                <w:spacing w:val="-5"/>
                <w:sz w:val="21"/>
                <w:szCs w:val="21"/>
              </w:rPr>
              <w:t>a.投标函按招标文件规定填报了项目名称、标段号、补遗书编号（如</w:t>
            </w:r>
            <w:r>
              <w:rPr>
                <w:rFonts w:ascii="宋体" w:hAnsi="宋体" w:eastAsia="宋体" w:cs="宋体"/>
                <w:color w:val="auto"/>
                <w:spacing w:val="11"/>
                <w:sz w:val="21"/>
                <w:szCs w:val="21"/>
              </w:rPr>
              <w:t xml:space="preserve"> </w:t>
            </w:r>
            <w:r>
              <w:rPr>
                <w:rFonts w:ascii="宋体" w:hAnsi="宋体" w:eastAsia="宋体" w:cs="宋体"/>
                <w:color w:val="auto"/>
                <w:spacing w:val="-6"/>
                <w:sz w:val="21"/>
                <w:szCs w:val="21"/>
              </w:rPr>
              <w:t>有）、投标价（包括大写金额和小写金额</w:t>
            </w:r>
            <w:r>
              <w:rPr>
                <w:rFonts w:ascii="宋体" w:hAnsi="宋体" w:eastAsia="宋体" w:cs="宋体"/>
                <w:color w:val="auto"/>
                <w:spacing w:val="-53"/>
                <w:w w:val="95"/>
                <w:sz w:val="21"/>
                <w:szCs w:val="21"/>
              </w:rPr>
              <w:t>）；</w:t>
            </w:r>
          </w:p>
          <w:p w14:paraId="01FC90DC">
            <w:pPr>
              <w:spacing w:before="26" w:line="228" w:lineRule="auto"/>
              <w:ind w:left="117" w:right="188" w:hanging="8"/>
              <w:rPr>
                <w:rFonts w:ascii="宋体" w:hAnsi="宋体" w:eastAsia="宋体" w:cs="宋体"/>
                <w:color w:val="auto"/>
                <w:sz w:val="21"/>
                <w:szCs w:val="21"/>
              </w:rPr>
            </w:pPr>
            <w:r>
              <w:rPr>
                <w:rFonts w:ascii="宋体" w:hAnsi="宋体" w:eastAsia="宋体" w:cs="宋体"/>
                <w:color w:val="auto"/>
                <w:sz w:val="21"/>
                <w:szCs w:val="21"/>
              </w:rPr>
              <w:t>b.已标价咨询服务费用清单说明文字与招标文件规定一</w:t>
            </w:r>
            <w:r>
              <w:rPr>
                <w:rFonts w:ascii="宋体" w:hAnsi="宋体" w:eastAsia="宋体" w:cs="宋体"/>
                <w:color w:val="auto"/>
                <w:spacing w:val="-1"/>
                <w:sz w:val="21"/>
                <w:szCs w:val="21"/>
              </w:rPr>
              <w:t>致，未进行</w:t>
            </w:r>
            <w:r>
              <w:rPr>
                <w:rFonts w:ascii="宋体" w:hAnsi="宋体" w:eastAsia="宋体" w:cs="宋体"/>
                <w:color w:val="auto"/>
                <w:sz w:val="21"/>
                <w:szCs w:val="21"/>
              </w:rPr>
              <w:t xml:space="preserve"> </w:t>
            </w:r>
            <w:r>
              <w:rPr>
                <w:rFonts w:ascii="宋体" w:hAnsi="宋体" w:eastAsia="宋体" w:cs="宋体"/>
                <w:color w:val="auto"/>
                <w:spacing w:val="-5"/>
                <w:sz w:val="21"/>
                <w:szCs w:val="21"/>
              </w:rPr>
              <w:t>实质性修改和删减；</w:t>
            </w:r>
          </w:p>
          <w:p w14:paraId="0AB51527">
            <w:pPr>
              <w:spacing w:before="22" w:line="221" w:lineRule="auto"/>
              <w:ind w:left="117"/>
              <w:rPr>
                <w:rFonts w:ascii="宋体" w:hAnsi="宋体" w:eastAsia="宋体" w:cs="宋体"/>
                <w:color w:val="auto"/>
                <w:sz w:val="21"/>
                <w:szCs w:val="21"/>
              </w:rPr>
            </w:pPr>
            <w:r>
              <w:rPr>
                <w:rFonts w:ascii="宋体" w:hAnsi="宋体" w:eastAsia="宋体" w:cs="宋体"/>
                <w:color w:val="auto"/>
                <w:spacing w:val="-2"/>
                <w:sz w:val="21"/>
                <w:szCs w:val="21"/>
              </w:rPr>
              <w:t>c.投标文件组成齐全完整，内容均按规定填写。</w:t>
            </w:r>
          </w:p>
          <w:p w14:paraId="7436F0D6">
            <w:pPr>
              <w:spacing w:before="22" w:line="231" w:lineRule="auto"/>
              <w:ind w:left="113" w:right="102" w:firstLine="36"/>
              <w:rPr>
                <w:rFonts w:ascii="宋体" w:hAnsi="宋体" w:eastAsia="宋体" w:cs="宋体"/>
                <w:color w:val="auto"/>
                <w:sz w:val="21"/>
                <w:szCs w:val="21"/>
              </w:rPr>
            </w:pPr>
            <w:r>
              <w:rPr>
                <w:rFonts w:ascii="宋体" w:hAnsi="宋体" w:eastAsia="宋体" w:cs="宋体"/>
                <w:color w:val="auto"/>
                <w:spacing w:val="-7"/>
                <w:sz w:val="21"/>
                <w:szCs w:val="21"/>
              </w:rPr>
              <w:t>(2)投标文件上法定代表人的签字、投标人的单位章盖章齐全，符合</w:t>
            </w:r>
            <w:r>
              <w:rPr>
                <w:rFonts w:ascii="宋体" w:hAnsi="宋体" w:eastAsia="宋体" w:cs="宋体"/>
                <w:color w:val="auto"/>
                <w:sz w:val="21"/>
                <w:szCs w:val="21"/>
              </w:rPr>
              <w:t xml:space="preserve"> </w:t>
            </w:r>
            <w:r>
              <w:rPr>
                <w:rFonts w:ascii="宋体" w:hAnsi="宋体" w:eastAsia="宋体" w:cs="宋体"/>
                <w:color w:val="auto"/>
                <w:spacing w:val="-1"/>
                <w:sz w:val="21"/>
                <w:szCs w:val="21"/>
              </w:rPr>
              <w:t>招标文件规定</w:t>
            </w:r>
          </w:p>
          <w:p w14:paraId="04351A7A">
            <w:pPr>
              <w:spacing w:before="292" w:line="547" w:lineRule="exact"/>
              <w:ind w:left="150"/>
              <w:rPr>
                <w:rFonts w:ascii="宋体" w:hAnsi="宋体" w:eastAsia="宋体" w:cs="宋体"/>
                <w:color w:val="auto"/>
                <w:sz w:val="21"/>
                <w:szCs w:val="21"/>
              </w:rPr>
            </w:pPr>
            <w:r>
              <w:rPr>
                <w:rFonts w:ascii="宋体" w:hAnsi="宋体" w:eastAsia="宋体" w:cs="宋体"/>
                <w:color w:val="auto"/>
                <w:spacing w:val="-2"/>
                <w:position w:val="26"/>
                <w:sz w:val="21"/>
                <w:szCs w:val="21"/>
              </w:rPr>
              <w:t>(3)投标报价未超过招标文件设定的最高投标限</w:t>
            </w:r>
            <w:r>
              <w:rPr>
                <w:rFonts w:ascii="宋体" w:hAnsi="宋体" w:eastAsia="宋体" w:cs="宋体"/>
                <w:color w:val="auto"/>
                <w:spacing w:val="-3"/>
                <w:position w:val="26"/>
                <w:sz w:val="21"/>
                <w:szCs w:val="21"/>
              </w:rPr>
              <w:t>价（如有）</w:t>
            </w:r>
          </w:p>
          <w:p w14:paraId="0DF19688">
            <w:pPr>
              <w:spacing w:line="219" w:lineRule="auto"/>
              <w:ind w:left="150"/>
              <w:rPr>
                <w:rFonts w:ascii="宋体" w:hAnsi="宋体" w:eastAsia="宋体" w:cs="宋体"/>
                <w:color w:val="auto"/>
                <w:sz w:val="21"/>
                <w:szCs w:val="21"/>
              </w:rPr>
            </w:pPr>
            <w:r>
              <w:rPr>
                <w:rFonts w:ascii="宋体" w:hAnsi="宋体" w:eastAsia="宋体" w:cs="宋体"/>
                <w:color w:val="auto"/>
                <w:spacing w:val="-2"/>
                <w:sz w:val="21"/>
                <w:szCs w:val="21"/>
              </w:rPr>
              <w:t>(4)投标报价的大写金额能够确定具体数值</w:t>
            </w:r>
          </w:p>
          <w:p w14:paraId="3AE5E641">
            <w:pPr>
              <w:spacing w:before="293" w:line="231" w:lineRule="auto"/>
              <w:ind w:left="117" w:right="100" w:firstLine="32"/>
              <w:rPr>
                <w:rFonts w:ascii="宋体" w:hAnsi="宋体" w:eastAsia="宋体" w:cs="宋体"/>
                <w:color w:val="auto"/>
                <w:sz w:val="21"/>
                <w:szCs w:val="21"/>
              </w:rPr>
            </w:pPr>
            <w:r>
              <w:rPr>
                <w:rFonts w:ascii="宋体" w:hAnsi="宋体" w:eastAsia="宋体" w:cs="宋体"/>
                <w:color w:val="auto"/>
                <w:spacing w:val="-2"/>
                <w:sz w:val="21"/>
                <w:szCs w:val="21"/>
              </w:rPr>
              <w:t>(5)同一投标人未提交两个以上不同的投标报价，但招标文件要求提</w:t>
            </w:r>
            <w:r>
              <w:rPr>
                <w:rFonts w:ascii="宋体" w:hAnsi="宋体" w:eastAsia="宋体" w:cs="宋体"/>
                <w:color w:val="auto"/>
                <w:sz w:val="21"/>
                <w:szCs w:val="21"/>
              </w:rPr>
              <w:t xml:space="preserve"> </w:t>
            </w:r>
            <w:r>
              <w:rPr>
                <w:rFonts w:ascii="宋体" w:hAnsi="宋体" w:eastAsia="宋体" w:cs="宋体"/>
                <w:color w:val="auto"/>
                <w:spacing w:val="-1"/>
                <w:sz w:val="21"/>
                <w:szCs w:val="21"/>
              </w:rPr>
              <w:t>交备选投标的除外</w:t>
            </w:r>
          </w:p>
          <w:p w14:paraId="65EC391B">
            <w:pPr>
              <w:spacing w:before="291" w:line="231" w:lineRule="auto"/>
              <w:ind w:left="116" w:right="133" w:firstLine="33"/>
              <w:rPr>
                <w:rFonts w:ascii="宋体" w:hAnsi="宋体" w:eastAsia="宋体" w:cs="宋体"/>
                <w:color w:val="auto"/>
                <w:sz w:val="21"/>
                <w:szCs w:val="21"/>
              </w:rPr>
            </w:pPr>
            <w:r>
              <w:rPr>
                <w:rFonts w:ascii="宋体" w:hAnsi="宋体" w:eastAsia="宋体" w:cs="宋体"/>
                <w:color w:val="auto"/>
                <w:spacing w:val="-3"/>
                <w:sz w:val="21"/>
                <w:szCs w:val="21"/>
              </w:rPr>
              <w:t>(6)纸质投标文件份数符合招标文件第二章“投标人须知</w:t>
            </w:r>
            <w:r>
              <w:rPr>
                <w:rFonts w:ascii="宋体" w:hAnsi="宋体" w:eastAsia="宋体" w:cs="宋体"/>
                <w:color w:val="auto"/>
                <w:spacing w:val="-62"/>
                <w:sz w:val="21"/>
                <w:szCs w:val="21"/>
              </w:rPr>
              <w:t xml:space="preserve"> </w:t>
            </w:r>
            <w:r>
              <w:rPr>
                <w:rFonts w:ascii="宋体" w:hAnsi="宋体" w:eastAsia="宋体" w:cs="宋体"/>
                <w:color w:val="auto"/>
                <w:spacing w:val="-3"/>
                <w:sz w:val="21"/>
                <w:szCs w:val="21"/>
              </w:rPr>
              <w:t>”第</w:t>
            </w:r>
            <w:r>
              <w:rPr>
                <w:rFonts w:ascii="宋体" w:hAnsi="宋体" w:eastAsia="宋体" w:cs="宋体"/>
                <w:color w:val="auto"/>
                <w:spacing w:val="-40"/>
                <w:sz w:val="21"/>
                <w:szCs w:val="21"/>
              </w:rPr>
              <w:t xml:space="preserve"> </w:t>
            </w:r>
            <w:r>
              <w:rPr>
                <w:rFonts w:ascii="宋体" w:hAnsi="宋体" w:eastAsia="宋体" w:cs="宋体"/>
                <w:color w:val="auto"/>
                <w:spacing w:val="-3"/>
                <w:sz w:val="21"/>
                <w:szCs w:val="21"/>
              </w:rPr>
              <w:t>3.7.5</w:t>
            </w:r>
            <w:r>
              <w:rPr>
                <w:rFonts w:ascii="宋体" w:hAnsi="宋体" w:eastAsia="宋体" w:cs="宋体"/>
                <w:color w:val="auto"/>
                <w:sz w:val="21"/>
                <w:szCs w:val="21"/>
              </w:rPr>
              <w:t xml:space="preserve"> </w:t>
            </w:r>
            <w:r>
              <w:rPr>
                <w:rFonts w:ascii="宋体" w:hAnsi="宋体" w:eastAsia="宋体" w:cs="宋体"/>
                <w:color w:val="auto"/>
                <w:spacing w:val="-2"/>
                <w:sz w:val="21"/>
                <w:szCs w:val="21"/>
              </w:rPr>
              <w:t>项规定</w:t>
            </w:r>
          </w:p>
        </w:tc>
      </w:tr>
    </w:tbl>
    <w:p w14:paraId="432A519A">
      <w:pPr>
        <w:spacing w:line="175" w:lineRule="exact"/>
        <w:rPr>
          <w:rFonts w:ascii="Arial"/>
          <w:color w:val="auto"/>
          <w:sz w:val="15"/>
        </w:rPr>
      </w:pPr>
    </w:p>
    <w:p w14:paraId="2D7D885B">
      <w:pPr>
        <w:spacing w:line="175" w:lineRule="exact"/>
        <w:rPr>
          <w:rFonts w:ascii="Arial" w:hAnsi="Arial" w:eastAsia="Arial" w:cs="Arial"/>
          <w:color w:val="auto"/>
          <w:sz w:val="15"/>
          <w:szCs w:val="15"/>
        </w:rPr>
        <w:sectPr>
          <w:headerReference r:id="rId9" w:type="default"/>
          <w:footerReference r:id="rId10" w:type="default"/>
          <w:pgSz w:w="11909" w:h="16839"/>
          <w:pgMar w:top="1306" w:right="1478" w:bottom="1394" w:left="1474" w:header="1025" w:footer="1229" w:gutter="0"/>
          <w:pgNumType w:fmt="decimal"/>
          <w:cols w:space="720" w:num="1"/>
        </w:sectPr>
      </w:pPr>
    </w:p>
    <w:p w14:paraId="2CC2B87F">
      <w:pPr>
        <w:spacing w:before="152"/>
        <w:rPr>
          <w:color w:val="auto"/>
        </w:rPr>
      </w:pPr>
    </w:p>
    <w:tbl>
      <w:tblPr>
        <w:tblStyle w:val="8"/>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4"/>
        <w:gridCol w:w="1276"/>
        <w:gridCol w:w="6390"/>
      </w:tblGrid>
      <w:tr w14:paraId="3D4A8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84" w:type="dxa"/>
            <w:vAlign w:val="top"/>
          </w:tcPr>
          <w:p w14:paraId="7D3CFE82">
            <w:pPr>
              <w:rPr>
                <w:rFonts w:ascii="Arial"/>
                <w:color w:val="auto"/>
                <w:sz w:val="21"/>
              </w:rPr>
            </w:pPr>
          </w:p>
        </w:tc>
        <w:tc>
          <w:tcPr>
            <w:tcW w:w="1276" w:type="dxa"/>
            <w:vAlign w:val="top"/>
          </w:tcPr>
          <w:p w14:paraId="5CA4323B">
            <w:pPr>
              <w:rPr>
                <w:rFonts w:ascii="Arial"/>
                <w:color w:val="auto"/>
                <w:sz w:val="21"/>
              </w:rPr>
            </w:pPr>
          </w:p>
        </w:tc>
        <w:tc>
          <w:tcPr>
            <w:tcW w:w="6390" w:type="dxa"/>
            <w:vAlign w:val="top"/>
          </w:tcPr>
          <w:p w14:paraId="57D56FA4">
            <w:pPr>
              <w:rPr>
                <w:rFonts w:ascii="Arial"/>
                <w:color w:val="auto"/>
                <w:sz w:val="21"/>
              </w:rPr>
            </w:pPr>
          </w:p>
        </w:tc>
      </w:tr>
      <w:tr w14:paraId="000F1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7" w:hRule="atLeast"/>
        </w:trPr>
        <w:tc>
          <w:tcPr>
            <w:tcW w:w="1284" w:type="dxa"/>
            <w:vAlign w:val="top"/>
          </w:tcPr>
          <w:p w14:paraId="528FE30C">
            <w:pPr>
              <w:spacing w:line="244" w:lineRule="auto"/>
              <w:rPr>
                <w:rFonts w:ascii="Arial"/>
                <w:color w:val="auto"/>
                <w:sz w:val="21"/>
              </w:rPr>
            </w:pPr>
          </w:p>
          <w:p w14:paraId="0769B7E5">
            <w:pPr>
              <w:spacing w:line="244" w:lineRule="auto"/>
              <w:rPr>
                <w:rFonts w:ascii="Arial"/>
                <w:color w:val="auto"/>
                <w:sz w:val="21"/>
              </w:rPr>
            </w:pPr>
          </w:p>
          <w:p w14:paraId="0BAFED6A">
            <w:pPr>
              <w:spacing w:line="244" w:lineRule="auto"/>
              <w:rPr>
                <w:rFonts w:ascii="Arial"/>
                <w:color w:val="auto"/>
                <w:sz w:val="21"/>
              </w:rPr>
            </w:pPr>
          </w:p>
          <w:p w14:paraId="415E431F">
            <w:pPr>
              <w:spacing w:line="244" w:lineRule="auto"/>
              <w:rPr>
                <w:rFonts w:ascii="Arial"/>
                <w:color w:val="auto"/>
                <w:sz w:val="21"/>
              </w:rPr>
            </w:pPr>
          </w:p>
          <w:p w14:paraId="65A22336">
            <w:pPr>
              <w:spacing w:line="245" w:lineRule="auto"/>
              <w:rPr>
                <w:rFonts w:ascii="Arial"/>
                <w:color w:val="auto"/>
                <w:sz w:val="21"/>
              </w:rPr>
            </w:pPr>
          </w:p>
          <w:p w14:paraId="243F651E">
            <w:pPr>
              <w:spacing w:line="245" w:lineRule="auto"/>
              <w:rPr>
                <w:rFonts w:ascii="Arial"/>
                <w:color w:val="auto"/>
                <w:sz w:val="21"/>
              </w:rPr>
            </w:pPr>
          </w:p>
          <w:p w14:paraId="24818E5B">
            <w:pPr>
              <w:spacing w:line="245" w:lineRule="auto"/>
              <w:rPr>
                <w:rFonts w:ascii="Arial"/>
                <w:color w:val="auto"/>
                <w:sz w:val="21"/>
              </w:rPr>
            </w:pPr>
          </w:p>
          <w:p w14:paraId="397C2ABF">
            <w:pPr>
              <w:spacing w:before="68" w:line="183" w:lineRule="auto"/>
              <w:ind w:left="390"/>
              <w:rPr>
                <w:rFonts w:ascii="宋体" w:hAnsi="宋体" w:eastAsia="宋体" w:cs="宋体"/>
                <w:color w:val="auto"/>
                <w:sz w:val="21"/>
                <w:szCs w:val="21"/>
              </w:rPr>
            </w:pPr>
            <w:r>
              <w:rPr>
                <w:rFonts w:ascii="宋体" w:hAnsi="宋体" w:eastAsia="宋体" w:cs="宋体"/>
                <w:color w:val="auto"/>
                <w:spacing w:val="-2"/>
                <w:sz w:val="21"/>
                <w:szCs w:val="21"/>
              </w:rPr>
              <w:t>2.1.2</w:t>
            </w:r>
          </w:p>
        </w:tc>
        <w:tc>
          <w:tcPr>
            <w:tcW w:w="1276" w:type="dxa"/>
            <w:vAlign w:val="top"/>
          </w:tcPr>
          <w:p w14:paraId="5688C4D0">
            <w:pPr>
              <w:spacing w:line="257" w:lineRule="auto"/>
              <w:rPr>
                <w:rFonts w:ascii="Arial"/>
                <w:color w:val="auto"/>
                <w:sz w:val="21"/>
              </w:rPr>
            </w:pPr>
          </w:p>
          <w:p w14:paraId="230517E5">
            <w:pPr>
              <w:spacing w:line="257" w:lineRule="auto"/>
              <w:rPr>
                <w:rFonts w:ascii="Arial"/>
                <w:color w:val="auto"/>
                <w:sz w:val="21"/>
              </w:rPr>
            </w:pPr>
          </w:p>
          <w:p w14:paraId="79B12D4C">
            <w:pPr>
              <w:spacing w:line="257" w:lineRule="auto"/>
              <w:rPr>
                <w:rFonts w:ascii="Arial"/>
                <w:color w:val="auto"/>
                <w:sz w:val="21"/>
              </w:rPr>
            </w:pPr>
          </w:p>
          <w:p w14:paraId="591D4C14">
            <w:pPr>
              <w:spacing w:line="257" w:lineRule="auto"/>
              <w:rPr>
                <w:rFonts w:ascii="Arial"/>
                <w:color w:val="auto"/>
                <w:sz w:val="21"/>
              </w:rPr>
            </w:pPr>
          </w:p>
          <w:p w14:paraId="57249758">
            <w:pPr>
              <w:spacing w:line="258" w:lineRule="auto"/>
              <w:rPr>
                <w:rFonts w:ascii="Arial"/>
                <w:color w:val="auto"/>
                <w:sz w:val="21"/>
              </w:rPr>
            </w:pPr>
          </w:p>
          <w:p w14:paraId="0CA92711">
            <w:pPr>
              <w:spacing w:line="258" w:lineRule="auto"/>
              <w:rPr>
                <w:rFonts w:ascii="Arial"/>
                <w:color w:val="auto"/>
                <w:sz w:val="21"/>
              </w:rPr>
            </w:pPr>
          </w:p>
          <w:p w14:paraId="0A7AEF1D">
            <w:pPr>
              <w:spacing w:before="68" w:line="229" w:lineRule="auto"/>
              <w:ind w:left="276" w:right="106" w:hanging="151"/>
              <w:rPr>
                <w:rFonts w:ascii="宋体" w:hAnsi="宋体" w:eastAsia="宋体" w:cs="宋体"/>
                <w:color w:val="auto"/>
                <w:sz w:val="21"/>
                <w:szCs w:val="21"/>
              </w:rPr>
            </w:pPr>
            <w:r>
              <w:rPr>
                <w:rFonts w:ascii="宋体" w:hAnsi="宋体" w:eastAsia="宋体" w:cs="宋体"/>
                <w:color w:val="auto"/>
                <w:spacing w:val="-3"/>
                <w:sz w:val="21"/>
                <w:szCs w:val="21"/>
              </w:rPr>
              <w:t>资格评审标</w:t>
            </w:r>
            <w:r>
              <w:rPr>
                <w:rFonts w:ascii="宋体" w:hAnsi="宋体" w:eastAsia="宋体" w:cs="宋体"/>
                <w:color w:val="auto"/>
                <w:spacing w:val="2"/>
                <w:sz w:val="21"/>
                <w:szCs w:val="21"/>
              </w:rPr>
              <w:t xml:space="preserve"> </w:t>
            </w:r>
            <w:r>
              <w:rPr>
                <w:rFonts w:ascii="宋体" w:hAnsi="宋体" w:eastAsia="宋体" w:cs="宋体"/>
                <w:color w:val="auto"/>
                <w:spacing w:val="-2"/>
                <w:sz w:val="21"/>
                <w:szCs w:val="21"/>
              </w:rPr>
              <w:t>准【4】</w:t>
            </w:r>
          </w:p>
        </w:tc>
        <w:tc>
          <w:tcPr>
            <w:tcW w:w="6390" w:type="dxa"/>
            <w:vAlign w:val="top"/>
          </w:tcPr>
          <w:p w14:paraId="0FD3B9AA">
            <w:pPr>
              <w:spacing w:before="124" w:line="228" w:lineRule="auto"/>
              <w:ind w:left="113" w:right="115" w:firstLine="36"/>
              <w:rPr>
                <w:rFonts w:ascii="宋体" w:hAnsi="宋体" w:eastAsia="宋体" w:cs="宋体"/>
                <w:color w:val="auto"/>
                <w:sz w:val="21"/>
                <w:szCs w:val="21"/>
              </w:rPr>
            </w:pPr>
            <w:r>
              <w:rPr>
                <w:rFonts w:ascii="宋体" w:hAnsi="宋体" w:eastAsia="宋体" w:cs="宋体"/>
                <w:color w:val="auto"/>
                <w:spacing w:val="-3"/>
                <w:sz w:val="21"/>
                <w:szCs w:val="21"/>
              </w:rPr>
              <w:t>(1)投标人具备有效的营业执照、组织机构代码证、资质证书（如需</w:t>
            </w:r>
            <w:r>
              <w:rPr>
                <w:rFonts w:ascii="宋体" w:hAnsi="宋体" w:eastAsia="宋体" w:cs="宋体"/>
                <w:color w:val="auto"/>
                <w:spacing w:val="16"/>
                <w:sz w:val="21"/>
                <w:szCs w:val="21"/>
              </w:rPr>
              <w:t xml:space="preserve"> </w:t>
            </w:r>
            <w:r>
              <w:rPr>
                <w:rFonts w:ascii="宋体" w:hAnsi="宋体" w:eastAsia="宋体" w:cs="宋体"/>
                <w:color w:val="auto"/>
                <w:spacing w:val="-1"/>
                <w:sz w:val="21"/>
                <w:szCs w:val="21"/>
              </w:rPr>
              <w:t>要）和基本账户开户许可证</w:t>
            </w:r>
          </w:p>
          <w:p w14:paraId="7E6DCD2C">
            <w:pPr>
              <w:spacing w:before="23" w:line="221" w:lineRule="auto"/>
              <w:ind w:left="150"/>
              <w:rPr>
                <w:rFonts w:ascii="宋体" w:hAnsi="宋体" w:eastAsia="宋体" w:cs="宋体"/>
                <w:color w:val="auto"/>
                <w:sz w:val="21"/>
                <w:szCs w:val="21"/>
              </w:rPr>
            </w:pPr>
            <w:r>
              <w:rPr>
                <w:rFonts w:ascii="宋体" w:hAnsi="宋体" w:eastAsia="宋体" w:cs="宋体"/>
                <w:color w:val="auto"/>
                <w:spacing w:val="-3"/>
                <w:sz w:val="21"/>
                <w:szCs w:val="21"/>
              </w:rPr>
              <w:t>(2)投标人的资质等级符合招标文件规定</w:t>
            </w:r>
          </w:p>
          <w:p w14:paraId="5C436665">
            <w:pPr>
              <w:spacing w:before="22" w:line="241" w:lineRule="auto"/>
              <w:ind w:left="150"/>
              <w:rPr>
                <w:rFonts w:ascii="宋体" w:hAnsi="宋体" w:eastAsia="宋体" w:cs="宋体"/>
                <w:color w:val="auto"/>
                <w:sz w:val="21"/>
                <w:szCs w:val="21"/>
              </w:rPr>
            </w:pPr>
            <w:r>
              <w:rPr>
                <w:rFonts w:ascii="宋体" w:hAnsi="宋体" w:eastAsia="宋体" w:cs="宋体"/>
                <w:color w:val="auto"/>
                <w:spacing w:val="-2"/>
                <w:sz w:val="21"/>
                <w:szCs w:val="21"/>
              </w:rPr>
              <w:t>(3)投标人的类似项目业绩符合招标文件规定</w:t>
            </w:r>
          </w:p>
          <w:p w14:paraId="2159C908">
            <w:pPr>
              <w:spacing w:line="219" w:lineRule="auto"/>
              <w:ind w:left="150"/>
              <w:rPr>
                <w:rFonts w:ascii="宋体" w:hAnsi="宋体" w:eastAsia="宋体" w:cs="宋体"/>
                <w:color w:val="auto"/>
                <w:sz w:val="21"/>
                <w:szCs w:val="21"/>
              </w:rPr>
            </w:pPr>
            <w:r>
              <w:rPr>
                <w:rFonts w:ascii="宋体" w:hAnsi="宋体" w:eastAsia="宋体" w:cs="宋体"/>
                <w:color w:val="auto"/>
                <w:spacing w:val="-3"/>
                <w:sz w:val="21"/>
                <w:szCs w:val="21"/>
              </w:rPr>
              <w:t>(4)投标人的信誉符合招标文件规定</w:t>
            </w:r>
          </w:p>
          <w:p w14:paraId="0E0EC223">
            <w:pPr>
              <w:spacing w:before="18" w:line="241" w:lineRule="auto"/>
              <w:ind w:left="150"/>
              <w:rPr>
                <w:rFonts w:ascii="宋体" w:hAnsi="宋体" w:eastAsia="宋体" w:cs="宋体"/>
                <w:color w:val="auto"/>
                <w:sz w:val="21"/>
                <w:szCs w:val="21"/>
              </w:rPr>
            </w:pPr>
            <w:r>
              <w:rPr>
                <w:rFonts w:ascii="宋体" w:hAnsi="宋体" w:eastAsia="宋体" w:cs="宋体"/>
                <w:color w:val="auto"/>
                <w:spacing w:val="-2"/>
                <w:sz w:val="21"/>
                <w:szCs w:val="21"/>
              </w:rPr>
              <w:t>(5)投标人的项目负责人资格符合招标文件规定【5】</w:t>
            </w:r>
          </w:p>
          <w:p w14:paraId="2EC09396">
            <w:pPr>
              <w:spacing w:line="220" w:lineRule="auto"/>
              <w:ind w:left="150"/>
              <w:rPr>
                <w:rFonts w:ascii="宋体" w:hAnsi="宋体" w:eastAsia="宋体" w:cs="宋体"/>
                <w:color w:val="auto"/>
                <w:sz w:val="21"/>
                <w:szCs w:val="21"/>
              </w:rPr>
            </w:pPr>
            <w:r>
              <w:rPr>
                <w:rFonts w:ascii="宋体" w:hAnsi="宋体" w:eastAsia="宋体" w:cs="宋体"/>
                <w:color w:val="auto"/>
                <w:spacing w:val="-3"/>
                <w:sz w:val="21"/>
                <w:szCs w:val="21"/>
              </w:rPr>
              <w:t>(6)投标人的其他要求符合招标文件规定</w:t>
            </w:r>
          </w:p>
          <w:p w14:paraId="496E7B33">
            <w:pPr>
              <w:spacing w:before="22" w:line="231" w:lineRule="auto"/>
              <w:ind w:left="118" w:right="100" w:firstLine="32"/>
              <w:rPr>
                <w:rFonts w:ascii="宋体" w:hAnsi="宋体" w:eastAsia="宋体" w:cs="宋体"/>
                <w:color w:val="auto"/>
                <w:sz w:val="21"/>
                <w:szCs w:val="21"/>
              </w:rPr>
            </w:pPr>
            <w:r>
              <w:rPr>
                <w:rFonts w:ascii="宋体" w:hAnsi="宋体" w:eastAsia="宋体" w:cs="宋体"/>
                <w:color w:val="auto"/>
                <w:spacing w:val="-4"/>
                <w:sz w:val="21"/>
                <w:szCs w:val="21"/>
              </w:rPr>
              <w:t>(7)投标人不存在第二章“投标人须知</w:t>
            </w:r>
            <w:r>
              <w:rPr>
                <w:rFonts w:ascii="宋体" w:hAnsi="宋体" w:eastAsia="宋体" w:cs="宋体"/>
                <w:color w:val="auto"/>
                <w:spacing w:val="-76"/>
                <w:sz w:val="21"/>
                <w:szCs w:val="21"/>
              </w:rPr>
              <w:t xml:space="preserve"> </w:t>
            </w:r>
            <w:r>
              <w:rPr>
                <w:rFonts w:ascii="宋体" w:hAnsi="宋体" w:eastAsia="宋体" w:cs="宋体"/>
                <w:color w:val="auto"/>
                <w:spacing w:val="-4"/>
                <w:sz w:val="21"/>
                <w:szCs w:val="21"/>
              </w:rPr>
              <w:t>”第</w:t>
            </w:r>
            <w:r>
              <w:rPr>
                <w:rFonts w:ascii="宋体" w:hAnsi="宋体" w:eastAsia="宋体" w:cs="宋体"/>
                <w:color w:val="auto"/>
                <w:spacing w:val="-33"/>
                <w:sz w:val="21"/>
                <w:szCs w:val="21"/>
              </w:rPr>
              <w:t xml:space="preserve"> </w:t>
            </w:r>
            <w:r>
              <w:rPr>
                <w:rFonts w:ascii="宋体" w:hAnsi="宋体" w:eastAsia="宋体" w:cs="宋体"/>
                <w:color w:val="auto"/>
                <w:spacing w:val="-4"/>
                <w:sz w:val="21"/>
                <w:szCs w:val="21"/>
              </w:rPr>
              <w:t>1.4.3</w:t>
            </w:r>
            <w:r>
              <w:rPr>
                <w:rFonts w:ascii="宋体" w:hAnsi="宋体" w:eastAsia="宋体" w:cs="宋体"/>
                <w:color w:val="auto"/>
                <w:spacing w:val="-45"/>
                <w:sz w:val="21"/>
                <w:szCs w:val="21"/>
              </w:rPr>
              <w:t xml:space="preserve"> </w:t>
            </w:r>
            <w:r>
              <w:rPr>
                <w:rFonts w:ascii="宋体" w:hAnsi="宋体" w:eastAsia="宋体" w:cs="宋体"/>
                <w:color w:val="auto"/>
                <w:spacing w:val="-4"/>
                <w:sz w:val="21"/>
                <w:szCs w:val="21"/>
              </w:rPr>
              <w:t>项或第</w:t>
            </w:r>
            <w:r>
              <w:rPr>
                <w:rFonts w:ascii="宋体" w:hAnsi="宋体" w:eastAsia="宋体" w:cs="宋体"/>
                <w:color w:val="auto"/>
                <w:spacing w:val="-33"/>
                <w:sz w:val="21"/>
                <w:szCs w:val="21"/>
              </w:rPr>
              <w:t xml:space="preserve"> </w:t>
            </w:r>
            <w:r>
              <w:rPr>
                <w:rFonts w:ascii="宋体" w:hAnsi="宋体" w:eastAsia="宋体" w:cs="宋体"/>
                <w:color w:val="auto"/>
                <w:spacing w:val="-4"/>
                <w:sz w:val="21"/>
                <w:szCs w:val="21"/>
              </w:rPr>
              <w:t>1.4.4</w:t>
            </w:r>
            <w:r>
              <w:rPr>
                <w:rFonts w:ascii="宋体" w:hAnsi="宋体" w:eastAsia="宋体" w:cs="宋体"/>
                <w:color w:val="auto"/>
                <w:spacing w:val="-50"/>
                <w:sz w:val="21"/>
                <w:szCs w:val="21"/>
              </w:rPr>
              <w:t xml:space="preserve"> </w:t>
            </w:r>
            <w:r>
              <w:rPr>
                <w:rFonts w:ascii="宋体" w:hAnsi="宋体" w:eastAsia="宋体" w:cs="宋体"/>
                <w:color w:val="auto"/>
                <w:spacing w:val="-4"/>
                <w:sz w:val="21"/>
                <w:szCs w:val="21"/>
              </w:rPr>
              <w:t>项规</w:t>
            </w:r>
            <w:r>
              <w:rPr>
                <w:rFonts w:ascii="宋体" w:hAnsi="宋体" w:eastAsia="宋体" w:cs="宋体"/>
                <w:color w:val="auto"/>
                <w:sz w:val="21"/>
                <w:szCs w:val="21"/>
              </w:rPr>
              <w:t xml:space="preserve"> </w:t>
            </w:r>
            <w:r>
              <w:rPr>
                <w:rFonts w:ascii="宋体" w:hAnsi="宋体" w:eastAsia="宋体" w:cs="宋体"/>
                <w:color w:val="auto"/>
                <w:spacing w:val="-1"/>
                <w:sz w:val="21"/>
                <w:szCs w:val="21"/>
              </w:rPr>
              <w:t>定的任何一种情形</w:t>
            </w:r>
          </w:p>
          <w:p w14:paraId="5406B516">
            <w:pPr>
              <w:spacing w:before="18" w:line="234" w:lineRule="auto"/>
              <w:ind w:left="114" w:right="102" w:firstLine="35"/>
              <w:jc w:val="both"/>
              <w:rPr>
                <w:rFonts w:ascii="宋体" w:hAnsi="宋体" w:eastAsia="宋体" w:cs="宋体"/>
                <w:color w:val="auto"/>
                <w:sz w:val="21"/>
                <w:szCs w:val="21"/>
              </w:rPr>
            </w:pPr>
          </w:p>
        </w:tc>
      </w:tr>
      <w:tr w14:paraId="2D153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84" w:type="dxa"/>
            <w:vAlign w:val="top"/>
          </w:tcPr>
          <w:p w14:paraId="41F1F907">
            <w:pPr>
              <w:spacing w:before="126" w:line="221" w:lineRule="auto"/>
              <w:ind w:left="331"/>
              <w:rPr>
                <w:rFonts w:ascii="宋体" w:hAnsi="宋体" w:eastAsia="宋体" w:cs="宋体"/>
                <w:color w:val="auto"/>
                <w:sz w:val="21"/>
                <w:szCs w:val="21"/>
              </w:rPr>
            </w:pPr>
            <w:r>
              <w:rPr>
                <w:rFonts w:ascii="宋体" w:hAnsi="宋体" w:eastAsia="宋体" w:cs="宋体"/>
                <w:color w:val="auto"/>
                <w:spacing w:val="-2"/>
                <w:sz w:val="21"/>
                <w:szCs w:val="21"/>
                <w14:textOutline w14:w="3831" w14:cap="flat" w14:cmpd="sng">
                  <w14:solidFill>
                    <w14:srgbClr w14:val="000000"/>
                  </w14:solidFill>
                  <w14:prstDash w14:val="solid"/>
                  <w14:miter w14:val="0"/>
                </w14:textOutline>
              </w:rPr>
              <w:t>条款号</w:t>
            </w:r>
          </w:p>
        </w:tc>
        <w:tc>
          <w:tcPr>
            <w:tcW w:w="1276" w:type="dxa"/>
            <w:vAlign w:val="top"/>
          </w:tcPr>
          <w:p w14:paraId="16C6B034">
            <w:pPr>
              <w:spacing w:before="126" w:line="221" w:lineRule="auto"/>
              <w:ind w:left="219"/>
              <w:rPr>
                <w:rFonts w:ascii="宋体" w:hAnsi="宋体" w:eastAsia="宋体" w:cs="宋体"/>
                <w:color w:val="auto"/>
                <w:sz w:val="21"/>
                <w:szCs w:val="21"/>
              </w:rPr>
            </w:pPr>
            <w:r>
              <w:rPr>
                <w:rFonts w:ascii="宋体" w:hAnsi="宋体" w:eastAsia="宋体" w:cs="宋体"/>
                <w:color w:val="auto"/>
                <w:spacing w:val="-1"/>
                <w:sz w:val="21"/>
                <w:szCs w:val="21"/>
                <w14:textOutline w14:w="3831" w14:cap="flat" w14:cmpd="sng">
                  <w14:solidFill>
                    <w14:srgbClr w14:val="000000"/>
                  </w14:solidFill>
                  <w14:prstDash w14:val="solid"/>
                  <w14:miter w14:val="0"/>
                </w14:textOutline>
              </w:rPr>
              <w:t>条款内容</w:t>
            </w:r>
          </w:p>
        </w:tc>
        <w:tc>
          <w:tcPr>
            <w:tcW w:w="6390" w:type="dxa"/>
            <w:vAlign w:val="top"/>
          </w:tcPr>
          <w:p w14:paraId="7F93327E">
            <w:pPr>
              <w:spacing w:before="126" w:line="221" w:lineRule="auto"/>
              <w:ind w:left="2780"/>
              <w:rPr>
                <w:rFonts w:ascii="宋体" w:hAnsi="宋体" w:eastAsia="宋体" w:cs="宋体"/>
                <w:color w:val="auto"/>
                <w:sz w:val="21"/>
                <w:szCs w:val="21"/>
              </w:rPr>
            </w:pPr>
            <w:r>
              <w:rPr>
                <w:rFonts w:ascii="宋体" w:hAnsi="宋体" w:eastAsia="宋体" w:cs="宋体"/>
                <w:color w:val="auto"/>
                <w:spacing w:val="-1"/>
                <w:sz w:val="21"/>
                <w:szCs w:val="21"/>
                <w14:textOutline w14:w="3831" w14:cap="flat" w14:cmpd="sng">
                  <w14:solidFill>
                    <w14:srgbClr w14:val="000000"/>
                  </w14:solidFill>
                  <w14:prstDash w14:val="solid"/>
                  <w14:miter w14:val="0"/>
                </w14:textOutline>
              </w:rPr>
              <w:t>编列内容</w:t>
            </w:r>
          </w:p>
        </w:tc>
      </w:tr>
      <w:tr w14:paraId="0AF7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7" w:hRule="atLeast"/>
        </w:trPr>
        <w:tc>
          <w:tcPr>
            <w:tcW w:w="1284" w:type="dxa"/>
            <w:vAlign w:val="top"/>
          </w:tcPr>
          <w:p w14:paraId="4F38331D">
            <w:pPr>
              <w:spacing w:line="259" w:lineRule="auto"/>
              <w:rPr>
                <w:rFonts w:ascii="Arial"/>
                <w:color w:val="auto"/>
                <w:sz w:val="21"/>
              </w:rPr>
            </w:pPr>
          </w:p>
          <w:p w14:paraId="4DE65C12">
            <w:pPr>
              <w:spacing w:line="259" w:lineRule="auto"/>
              <w:rPr>
                <w:rFonts w:ascii="Arial"/>
                <w:color w:val="auto"/>
                <w:sz w:val="21"/>
              </w:rPr>
            </w:pPr>
          </w:p>
          <w:p w14:paraId="3AC88803">
            <w:pPr>
              <w:spacing w:line="259" w:lineRule="auto"/>
              <w:rPr>
                <w:rFonts w:ascii="Arial"/>
                <w:color w:val="auto"/>
                <w:sz w:val="21"/>
              </w:rPr>
            </w:pPr>
          </w:p>
          <w:p w14:paraId="6BA8A7B4">
            <w:pPr>
              <w:spacing w:line="260" w:lineRule="auto"/>
              <w:rPr>
                <w:rFonts w:ascii="Arial"/>
                <w:color w:val="auto"/>
                <w:sz w:val="21"/>
              </w:rPr>
            </w:pPr>
          </w:p>
          <w:p w14:paraId="49B1BA7C">
            <w:pPr>
              <w:spacing w:before="68" w:line="183" w:lineRule="auto"/>
              <w:ind w:left="390"/>
              <w:rPr>
                <w:rFonts w:ascii="宋体" w:hAnsi="宋体" w:eastAsia="宋体" w:cs="宋体"/>
                <w:color w:val="auto"/>
                <w:sz w:val="21"/>
                <w:szCs w:val="21"/>
              </w:rPr>
            </w:pPr>
            <w:r>
              <w:rPr>
                <w:rFonts w:ascii="宋体" w:hAnsi="宋体" w:eastAsia="宋体" w:cs="宋体"/>
                <w:color w:val="auto"/>
                <w:spacing w:val="-2"/>
                <w:sz w:val="21"/>
                <w:szCs w:val="21"/>
              </w:rPr>
              <w:t>2.2.1</w:t>
            </w:r>
          </w:p>
        </w:tc>
        <w:tc>
          <w:tcPr>
            <w:tcW w:w="1276" w:type="dxa"/>
            <w:vAlign w:val="top"/>
          </w:tcPr>
          <w:p w14:paraId="12D6FBFF">
            <w:pPr>
              <w:spacing w:line="298" w:lineRule="auto"/>
              <w:rPr>
                <w:rFonts w:ascii="Arial"/>
                <w:color w:val="auto"/>
                <w:sz w:val="21"/>
              </w:rPr>
            </w:pPr>
          </w:p>
          <w:p w14:paraId="06FBFFC7">
            <w:pPr>
              <w:spacing w:line="299" w:lineRule="auto"/>
              <w:rPr>
                <w:rFonts w:ascii="Arial"/>
                <w:color w:val="auto"/>
                <w:sz w:val="21"/>
              </w:rPr>
            </w:pPr>
          </w:p>
          <w:p w14:paraId="53F95747">
            <w:pPr>
              <w:spacing w:before="68" w:line="221" w:lineRule="auto"/>
              <w:ind w:left="225"/>
              <w:rPr>
                <w:rFonts w:ascii="宋体" w:hAnsi="宋体" w:eastAsia="宋体" w:cs="宋体"/>
                <w:color w:val="auto"/>
                <w:sz w:val="21"/>
                <w:szCs w:val="21"/>
              </w:rPr>
            </w:pPr>
            <w:r>
              <w:rPr>
                <w:rFonts w:ascii="宋体" w:hAnsi="宋体" w:eastAsia="宋体" w:cs="宋体"/>
                <w:color w:val="auto"/>
                <w:spacing w:val="-2"/>
                <w:sz w:val="21"/>
                <w:szCs w:val="21"/>
              </w:rPr>
              <w:t>分值构成</w:t>
            </w:r>
          </w:p>
          <w:p w14:paraId="4F6A548B">
            <w:pPr>
              <w:spacing w:before="23" w:line="221" w:lineRule="auto"/>
              <w:rPr>
                <w:rFonts w:ascii="宋体" w:hAnsi="宋体" w:eastAsia="宋体" w:cs="宋体"/>
                <w:color w:val="auto"/>
                <w:sz w:val="21"/>
                <w:szCs w:val="21"/>
              </w:rPr>
            </w:pPr>
            <w:r>
              <w:rPr>
                <w:rFonts w:ascii="宋体" w:hAnsi="宋体" w:eastAsia="宋体" w:cs="宋体"/>
                <w:color w:val="auto"/>
                <w:spacing w:val="-5"/>
                <w:sz w:val="21"/>
                <w:szCs w:val="21"/>
              </w:rPr>
              <w:t>（总分10</w:t>
            </w:r>
            <w:r>
              <w:rPr>
                <w:rFonts w:hint="eastAsia" w:ascii="宋体" w:hAnsi="宋体" w:eastAsia="宋体" w:cs="宋体"/>
                <w:color w:val="auto"/>
                <w:spacing w:val="-5"/>
                <w:sz w:val="21"/>
                <w:szCs w:val="21"/>
                <w:lang w:val="en-US" w:eastAsia="zh-CN"/>
              </w:rPr>
              <w:t>0</w:t>
            </w:r>
            <w:r>
              <w:rPr>
                <w:rFonts w:ascii="宋体" w:hAnsi="宋体" w:eastAsia="宋体" w:cs="宋体"/>
                <w:color w:val="auto"/>
                <w:spacing w:val="-5"/>
                <w:sz w:val="21"/>
                <w:szCs w:val="21"/>
              </w:rPr>
              <w:t>分）</w:t>
            </w:r>
          </w:p>
          <w:p w14:paraId="7C1001BD">
            <w:pPr>
              <w:spacing w:before="22" w:line="228" w:lineRule="auto"/>
              <w:ind w:left="371"/>
              <w:rPr>
                <w:rFonts w:ascii="宋体" w:hAnsi="宋体" w:eastAsia="宋体" w:cs="宋体"/>
                <w:color w:val="auto"/>
                <w:sz w:val="21"/>
                <w:szCs w:val="21"/>
              </w:rPr>
            </w:pPr>
            <w:r>
              <w:rPr>
                <w:rFonts w:ascii="宋体" w:hAnsi="宋体" w:eastAsia="宋体" w:cs="宋体"/>
                <w:color w:val="auto"/>
                <w:sz w:val="21"/>
                <w:szCs w:val="21"/>
              </w:rPr>
              <w:t>【6】</w:t>
            </w:r>
          </w:p>
        </w:tc>
        <w:tc>
          <w:tcPr>
            <w:tcW w:w="6390" w:type="dxa"/>
            <w:vAlign w:val="top"/>
          </w:tcPr>
          <w:p w14:paraId="53196A0E">
            <w:pPr>
              <w:spacing w:before="121" w:line="241" w:lineRule="auto"/>
              <w:ind w:left="112"/>
              <w:rPr>
                <w:rFonts w:ascii="宋体" w:hAnsi="宋体" w:eastAsia="宋体" w:cs="宋体"/>
                <w:color w:val="auto"/>
                <w:sz w:val="21"/>
                <w:szCs w:val="21"/>
              </w:rPr>
            </w:pPr>
            <w:r>
              <w:rPr>
                <w:rFonts w:ascii="宋体" w:hAnsi="宋体" w:eastAsia="宋体" w:cs="宋体"/>
                <w:color w:val="auto"/>
                <w:spacing w:val="1"/>
                <w:sz w:val="21"/>
                <w:szCs w:val="21"/>
              </w:rPr>
              <w:t>第一个信封（商务及技术文件）评分分值构成:</w:t>
            </w:r>
          </w:p>
          <w:p w14:paraId="0ABAA88D">
            <w:pPr>
              <w:spacing w:line="219" w:lineRule="auto"/>
              <w:ind w:left="113"/>
              <w:rPr>
                <w:rFonts w:ascii="宋体" w:hAnsi="宋体" w:eastAsia="宋体" w:cs="宋体"/>
                <w:color w:val="auto"/>
                <w:sz w:val="21"/>
                <w:szCs w:val="21"/>
              </w:rPr>
            </w:pPr>
            <w:r>
              <w:rPr>
                <w:rFonts w:ascii="宋体" w:hAnsi="宋体" w:eastAsia="宋体" w:cs="宋体"/>
                <w:color w:val="auto"/>
                <w:spacing w:val="-2"/>
                <w:sz w:val="21"/>
                <w:szCs w:val="21"/>
              </w:rPr>
              <w:t>技术建议书：25.0</w:t>
            </w:r>
            <w:r>
              <w:rPr>
                <w:rFonts w:ascii="宋体" w:hAnsi="宋体" w:eastAsia="宋体" w:cs="宋体"/>
                <w:color w:val="auto"/>
                <w:spacing w:val="-30"/>
                <w:sz w:val="21"/>
                <w:szCs w:val="21"/>
              </w:rPr>
              <w:t xml:space="preserve"> </w:t>
            </w:r>
            <w:r>
              <w:rPr>
                <w:rFonts w:ascii="宋体" w:hAnsi="宋体" w:eastAsia="宋体" w:cs="宋体"/>
                <w:color w:val="auto"/>
                <w:spacing w:val="-2"/>
                <w:sz w:val="21"/>
                <w:szCs w:val="21"/>
              </w:rPr>
              <w:t>分（25~35</w:t>
            </w:r>
            <w:r>
              <w:rPr>
                <w:rFonts w:ascii="宋体" w:hAnsi="宋体" w:eastAsia="宋体" w:cs="宋体"/>
                <w:color w:val="auto"/>
                <w:spacing w:val="-46"/>
                <w:sz w:val="21"/>
                <w:szCs w:val="21"/>
              </w:rPr>
              <w:t xml:space="preserve"> </w:t>
            </w:r>
            <w:r>
              <w:rPr>
                <w:rFonts w:ascii="宋体" w:hAnsi="宋体" w:eastAsia="宋体" w:cs="宋体"/>
                <w:color w:val="auto"/>
                <w:spacing w:val="-2"/>
                <w:sz w:val="21"/>
                <w:szCs w:val="21"/>
              </w:rPr>
              <w:t>分）</w:t>
            </w:r>
          </w:p>
          <w:p w14:paraId="7F898BF7">
            <w:pPr>
              <w:spacing w:before="22" w:line="241" w:lineRule="auto"/>
              <w:ind w:left="114"/>
              <w:rPr>
                <w:rFonts w:ascii="宋体" w:hAnsi="宋体" w:eastAsia="宋体" w:cs="宋体"/>
                <w:color w:val="auto"/>
                <w:sz w:val="21"/>
                <w:szCs w:val="21"/>
              </w:rPr>
            </w:pPr>
            <w:r>
              <w:rPr>
                <w:rFonts w:ascii="宋体" w:hAnsi="宋体" w:eastAsia="宋体" w:cs="宋体"/>
                <w:color w:val="auto"/>
                <w:spacing w:val="-10"/>
                <w:sz w:val="21"/>
                <w:szCs w:val="21"/>
              </w:rPr>
              <w:t>主要人员：3</w:t>
            </w:r>
            <w:r>
              <w:rPr>
                <w:rFonts w:hint="eastAsia" w:ascii="宋体" w:hAnsi="宋体" w:eastAsia="宋体" w:cs="宋体"/>
                <w:color w:val="auto"/>
                <w:spacing w:val="-10"/>
                <w:sz w:val="21"/>
                <w:szCs w:val="21"/>
                <w:lang w:val="en-US" w:eastAsia="zh-CN"/>
              </w:rPr>
              <w:t>0</w:t>
            </w:r>
            <w:r>
              <w:rPr>
                <w:rFonts w:ascii="宋体" w:hAnsi="宋体" w:eastAsia="宋体" w:cs="宋体"/>
                <w:color w:val="auto"/>
                <w:spacing w:val="-10"/>
                <w:sz w:val="21"/>
                <w:szCs w:val="21"/>
              </w:rPr>
              <w:t>.0</w:t>
            </w:r>
            <w:r>
              <w:rPr>
                <w:rFonts w:ascii="宋体" w:hAnsi="宋体" w:eastAsia="宋体" w:cs="宋体"/>
                <w:color w:val="auto"/>
                <w:spacing w:val="-41"/>
                <w:sz w:val="21"/>
                <w:szCs w:val="21"/>
              </w:rPr>
              <w:t xml:space="preserve"> </w:t>
            </w:r>
            <w:r>
              <w:rPr>
                <w:rFonts w:ascii="宋体" w:hAnsi="宋体" w:eastAsia="宋体" w:cs="宋体"/>
                <w:color w:val="auto"/>
                <w:spacing w:val="-10"/>
                <w:sz w:val="21"/>
                <w:szCs w:val="21"/>
              </w:rPr>
              <w:t>分（25~40</w:t>
            </w:r>
            <w:r>
              <w:rPr>
                <w:rFonts w:ascii="宋体" w:hAnsi="宋体" w:eastAsia="宋体" w:cs="宋体"/>
                <w:color w:val="auto"/>
                <w:spacing w:val="-41"/>
                <w:sz w:val="21"/>
                <w:szCs w:val="21"/>
              </w:rPr>
              <w:t xml:space="preserve"> </w:t>
            </w:r>
            <w:r>
              <w:rPr>
                <w:rFonts w:ascii="宋体" w:hAnsi="宋体" w:eastAsia="宋体" w:cs="宋体"/>
                <w:color w:val="auto"/>
                <w:spacing w:val="-10"/>
                <w:sz w:val="21"/>
                <w:szCs w:val="21"/>
              </w:rPr>
              <w:t>分）</w:t>
            </w:r>
          </w:p>
          <w:p w14:paraId="2E875FAD">
            <w:pPr>
              <w:spacing w:before="1" w:line="220" w:lineRule="auto"/>
              <w:ind w:left="113"/>
              <w:rPr>
                <w:rFonts w:ascii="宋体" w:hAnsi="宋体" w:eastAsia="宋体" w:cs="宋体"/>
                <w:color w:val="auto"/>
                <w:sz w:val="21"/>
                <w:szCs w:val="21"/>
              </w:rPr>
            </w:pPr>
            <w:r>
              <w:rPr>
                <w:rFonts w:ascii="宋体" w:hAnsi="宋体" w:eastAsia="宋体" w:cs="宋体"/>
                <w:color w:val="auto"/>
                <w:spacing w:val="-9"/>
                <w:sz w:val="21"/>
                <w:szCs w:val="21"/>
              </w:rPr>
              <w:t>技术能力【7】：5</w:t>
            </w:r>
            <w:r>
              <w:rPr>
                <w:rFonts w:ascii="宋体" w:hAnsi="宋体" w:eastAsia="宋体" w:cs="宋体"/>
                <w:color w:val="auto"/>
                <w:spacing w:val="-31"/>
                <w:sz w:val="21"/>
                <w:szCs w:val="21"/>
              </w:rPr>
              <w:t xml:space="preserve"> </w:t>
            </w:r>
            <w:r>
              <w:rPr>
                <w:rFonts w:ascii="宋体" w:hAnsi="宋体" w:eastAsia="宋体" w:cs="宋体"/>
                <w:color w:val="auto"/>
                <w:spacing w:val="-9"/>
                <w:sz w:val="21"/>
                <w:szCs w:val="21"/>
              </w:rPr>
              <w:t>分（0~5</w:t>
            </w:r>
            <w:r>
              <w:rPr>
                <w:rFonts w:ascii="宋体" w:hAnsi="宋体" w:eastAsia="宋体" w:cs="宋体"/>
                <w:color w:val="auto"/>
                <w:spacing w:val="-41"/>
                <w:sz w:val="21"/>
                <w:szCs w:val="21"/>
              </w:rPr>
              <w:t xml:space="preserve"> </w:t>
            </w:r>
            <w:r>
              <w:rPr>
                <w:rFonts w:ascii="宋体" w:hAnsi="宋体" w:eastAsia="宋体" w:cs="宋体"/>
                <w:color w:val="auto"/>
                <w:spacing w:val="-9"/>
                <w:sz w:val="21"/>
                <w:szCs w:val="21"/>
              </w:rPr>
              <w:t>分）</w:t>
            </w:r>
          </w:p>
          <w:p w14:paraId="0D710989">
            <w:pPr>
              <w:spacing w:before="18" w:line="221" w:lineRule="auto"/>
              <w:ind w:left="112"/>
              <w:rPr>
                <w:rFonts w:ascii="宋体" w:hAnsi="宋体" w:eastAsia="宋体" w:cs="宋体"/>
                <w:color w:val="auto"/>
                <w:sz w:val="21"/>
                <w:szCs w:val="21"/>
              </w:rPr>
            </w:pPr>
            <w:r>
              <w:rPr>
                <w:rFonts w:ascii="宋体" w:hAnsi="宋体" w:eastAsia="宋体" w:cs="宋体"/>
                <w:color w:val="auto"/>
                <w:spacing w:val="-9"/>
                <w:sz w:val="21"/>
                <w:szCs w:val="21"/>
              </w:rPr>
              <w:t>业绩：25</w:t>
            </w:r>
            <w:r>
              <w:rPr>
                <w:rFonts w:ascii="宋体" w:hAnsi="宋体" w:eastAsia="宋体" w:cs="宋体"/>
                <w:color w:val="auto"/>
                <w:spacing w:val="-36"/>
                <w:sz w:val="21"/>
                <w:szCs w:val="21"/>
              </w:rPr>
              <w:t xml:space="preserve"> </w:t>
            </w:r>
            <w:r>
              <w:rPr>
                <w:rFonts w:ascii="宋体" w:hAnsi="宋体" w:eastAsia="宋体" w:cs="宋体"/>
                <w:color w:val="auto"/>
                <w:spacing w:val="-9"/>
                <w:sz w:val="21"/>
                <w:szCs w:val="21"/>
              </w:rPr>
              <w:t>分（10~25</w:t>
            </w:r>
            <w:r>
              <w:rPr>
                <w:rFonts w:ascii="宋体" w:hAnsi="宋体" w:eastAsia="宋体" w:cs="宋体"/>
                <w:color w:val="auto"/>
                <w:spacing w:val="-46"/>
                <w:sz w:val="21"/>
                <w:szCs w:val="21"/>
              </w:rPr>
              <w:t xml:space="preserve"> </w:t>
            </w:r>
            <w:r>
              <w:rPr>
                <w:rFonts w:ascii="宋体" w:hAnsi="宋体" w:eastAsia="宋体" w:cs="宋体"/>
                <w:color w:val="auto"/>
                <w:spacing w:val="-9"/>
                <w:sz w:val="21"/>
                <w:szCs w:val="21"/>
              </w:rPr>
              <w:t>分）</w:t>
            </w:r>
          </w:p>
          <w:p w14:paraId="6131C0B6">
            <w:pPr>
              <w:spacing w:before="22" w:line="220" w:lineRule="auto"/>
              <w:ind w:left="116"/>
              <w:rPr>
                <w:rFonts w:ascii="宋体" w:hAnsi="宋体" w:eastAsia="宋体" w:cs="宋体"/>
                <w:color w:val="auto"/>
                <w:sz w:val="21"/>
                <w:szCs w:val="21"/>
              </w:rPr>
            </w:pPr>
            <w:r>
              <w:rPr>
                <w:rFonts w:ascii="宋体" w:hAnsi="宋体" w:eastAsia="宋体" w:cs="宋体"/>
                <w:color w:val="auto"/>
                <w:spacing w:val="-12"/>
                <w:sz w:val="21"/>
                <w:szCs w:val="21"/>
              </w:rPr>
              <w:t>履约信誉：5</w:t>
            </w:r>
            <w:r>
              <w:rPr>
                <w:rFonts w:ascii="宋体" w:hAnsi="宋体" w:eastAsia="宋体" w:cs="宋体"/>
                <w:color w:val="auto"/>
                <w:spacing w:val="-46"/>
                <w:sz w:val="21"/>
                <w:szCs w:val="21"/>
              </w:rPr>
              <w:t xml:space="preserve"> </w:t>
            </w:r>
            <w:r>
              <w:rPr>
                <w:rFonts w:ascii="宋体" w:hAnsi="宋体" w:eastAsia="宋体" w:cs="宋体"/>
                <w:color w:val="auto"/>
                <w:spacing w:val="-12"/>
                <w:sz w:val="21"/>
                <w:szCs w:val="21"/>
              </w:rPr>
              <w:t>分（5~10</w:t>
            </w:r>
            <w:r>
              <w:rPr>
                <w:rFonts w:ascii="宋体" w:hAnsi="宋体" w:eastAsia="宋体" w:cs="宋体"/>
                <w:color w:val="auto"/>
                <w:spacing w:val="-41"/>
                <w:sz w:val="21"/>
                <w:szCs w:val="21"/>
              </w:rPr>
              <w:t xml:space="preserve"> </w:t>
            </w:r>
            <w:r>
              <w:rPr>
                <w:rFonts w:ascii="宋体" w:hAnsi="宋体" w:eastAsia="宋体" w:cs="宋体"/>
                <w:color w:val="auto"/>
                <w:spacing w:val="-12"/>
                <w:sz w:val="21"/>
                <w:szCs w:val="21"/>
              </w:rPr>
              <w:t>分）</w:t>
            </w:r>
          </w:p>
          <w:p w14:paraId="54DC7EB3">
            <w:pPr>
              <w:spacing w:before="23" w:line="241" w:lineRule="auto"/>
              <w:ind w:left="112"/>
              <w:rPr>
                <w:rFonts w:ascii="宋体" w:hAnsi="宋体" w:eastAsia="宋体" w:cs="宋体"/>
                <w:color w:val="auto"/>
                <w:sz w:val="21"/>
                <w:szCs w:val="21"/>
              </w:rPr>
            </w:pPr>
            <w:r>
              <w:rPr>
                <w:rFonts w:ascii="宋体" w:hAnsi="宋体" w:eastAsia="宋体" w:cs="宋体"/>
                <w:color w:val="auto"/>
                <w:spacing w:val="-1"/>
                <w:sz w:val="21"/>
                <w:szCs w:val="21"/>
              </w:rPr>
              <w:t>第二个信封（报价文件）评分分值构成：</w:t>
            </w:r>
          </w:p>
          <w:p w14:paraId="69A10B50">
            <w:pPr>
              <w:spacing w:line="219" w:lineRule="auto"/>
              <w:ind w:left="112"/>
              <w:rPr>
                <w:rFonts w:ascii="宋体" w:hAnsi="宋体" w:eastAsia="宋体" w:cs="宋体"/>
                <w:color w:val="auto"/>
                <w:sz w:val="21"/>
                <w:szCs w:val="21"/>
              </w:rPr>
            </w:pPr>
            <w:r>
              <w:rPr>
                <w:rFonts w:ascii="宋体" w:hAnsi="宋体" w:eastAsia="宋体" w:cs="宋体"/>
                <w:color w:val="auto"/>
                <w:spacing w:val="-8"/>
                <w:sz w:val="21"/>
                <w:szCs w:val="21"/>
              </w:rPr>
              <w:t>评标价【8】：10.0 分</w:t>
            </w:r>
          </w:p>
        </w:tc>
      </w:tr>
      <w:tr w14:paraId="6A4DD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1" w:hRule="atLeast"/>
        </w:trPr>
        <w:tc>
          <w:tcPr>
            <w:tcW w:w="1284" w:type="dxa"/>
            <w:vAlign w:val="top"/>
          </w:tcPr>
          <w:p w14:paraId="0B0B2843">
            <w:pPr>
              <w:rPr>
                <w:rFonts w:hint="eastAsia" w:ascii="宋体" w:hAnsi="宋体" w:eastAsia="宋体" w:cs="宋体"/>
                <w:color w:val="auto"/>
                <w:sz w:val="21"/>
              </w:rPr>
            </w:pPr>
          </w:p>
          <w:p w14:paraId="2EE280CA">
            <w:pPr>
              <w:rPr>
                <w:rFonts w:hint="eastAsia" w:ascii="宋体" w:hAnsi="宋体" w:eastAsia="宋体" w:cs="宋体"/>
                <w:color w:val="auto"/>
                <w:sz w:val="21"/>
              </w:rPr>
            </w:pPr>
          </w:p>
          <w:p w14:paraId="420683A3">
            <w:pPr>
              <w:rPr>
                <w:rFonts w:hint="eastAsia" w:ascii="宋体" w:hAnsi="宋体" w:eastAsia="宋体" w:cs="宋体"/>
                <w:color w:val="auto"/>
                <w:sz w:val="21"/>
              </w:rPr>
            </w:pPr>
          </w:p>
          <w:p w14:paraId="12EDF329">
            <w:pPr>
              <w:rPr>
                <w:rFonts w:hint="eastAsia" w:ascii="宋体" w:hAnsi="宋体" w:eastAsia="宋体" w:cs="宋体"/>
                <w:color w:val="auto"/>
                <w:sz w:val="21"/>
              </w:rPr>
            </w:pPr>
          </w:p>
          <w:p w14:paraId="11DB4572">
            <w:pPr>
              <w:rPr>
                <w:rFonts w:hint="eastAsia" w:ascii="宋体" w:hAnsi="宋体" w:eastAsia="宋体" w:cs="宋体"/>
                <w:color w:val="auto"/>
                <w:sz w:val="21"/>
              </w:rPr>
            </w:pPr>
          </w:p>
          <w:p w14:paraId="29157536">
            <w:pPr>
              <w:spacing w:line="241" w:lineRule="auto"/>
              <w:rPr>
                <w:rFonts w:hint="eastAsia" w:ascii="宋体" w:hAnsi="宋体" w:eastAsia="宋体" w:cs="宋体"/>
                <w:color w:val="auto"/>
                <w:sz w:val="21"/>
              </w:rPr>
            </w:pPr>
          </w:p>
          <w:p w14:paraId="3ED17BC9">
            <w:pPr>
              <w:spacing w:line="241" w:lineRule="auto"/>
              <w:rPr>
                <w:rFonts w:hint="eastAsia" w:ascii="宋体" w:hAnsi="宋体" w:eastAsia="宋体" w:cs="宋体"/>
                <w:color w:val="auto"/>
                <w:sz w:val="21"/>
              </w:rPr>
            </w:pPr>
          </w:p>
          <w:p w14:paraId="5E1A099C">
            <w:pPr>
              <w:spacing w:line="241" w:lineRule="auto"/>
              <w:rPr>
                <w:rFonts w:hint="eastAsia" w:ascii="宋体" w:hAnsi="宋体" w:eastAsia="宋体" w:cs="宋体"/>
                <w:color w:val="auto"/>
                <w:sz w:val="21"/>
              </w:rPr>
            </w:pPr>
          </w:p>
          <w:p w14:paraId="0B96FE2A">
            <w:pPr>
              <w:spacing w:line="241" w:lineRule="auto"/>
              <w:rPr>
                <w:rFonts w:hint="eastAsia" w:ascii="宋体" w:hAnsi="宋体" w:eastAsia="宋体" w:cs="宋体"/>
                <w:color w:val="auto"/>
                <w:sz w:val="21"/>
              </w:rPr>
            </w:pPr>
          </w:p>
          <w:p w14:paraId="35A60F57">
            <w:pPr>
              <w:spacing w:line="241" w:lineRule="auto"/>
              <w:rPr>
                <w:rFonts w:hint="eastAsia" w:ascii="宋体" w:hAnsi="宋体" w:eastAsia="宋体" w:cs="宋体"/>
                <w:color w:val="auto"/>
                <w:sz w:val="21"/>
              </w:rPr>
            </w:pPr>
          </w:p>
          <w:p w14:paraId="12E94C25">
            <w:pPr>
              <w:spacing w:line="241" w:lineRule="auto"/>
              <w:rPr>
                <w:rFonts w:hint="eastAsia" w:ascii="宋体" w:hAnsi="宋体" w:eastAsia="宋体" w:cs="宋体"/>
                <w:color w:val="auto"/>
                <w:sz w:val="21"/>
              </w:rPr>
            </w:pPr>
          </w:p>
          <w:p w14:paraId="07E81906">
            <w:pPr>
              <w:spacing w:before="61" w:line="187" w:lineRule="auto"/>
              <w:ind w:left="277"/>
              <w:rPr>
                <w:rFonts w:hint="eastAsia" w:ascii="宋体" w:hAnsi="宋体" w:eastAsia="宋体" w:cs="宋体"/>
                <w:color w:val="auto"/>
                <w:sz w:val="21"/>
                <w:szCs w:val="21"/>
              </w:rPr>
            </w:pPr>
            <w:r>
              <w:rPr>
                <w:rFonts w:hint="eastAsia" w:ascii="宋体" w:hAnsi="宋体" w:eastAsia="宋体" w:cs="宋体"/>
                <w:color w:val="auto"/>
                <w:spacing w:val="-1"/>
                <w:sz w:val="21"/>
                <w:szCs w:val="21"/>
              </w:rPr>
              <w:t>2.2.2</w:t>
            </w:r>
          </w:p>
        </w:tc>
        <w:tc>
          <w:tcPr>
            <w:tcW w:w="1276" w:type="dxa"/>
            <w:vAlign w:val="top"/>
          </w:tcPr>
          <w:p w14:paraId="11C2E530">
            <w:pPr>
              <w:spacing w:line="264" w:lineRule="auto"/>
              <w:rPr>
                <w:rFonts w:hint="eastAsia" w:ascii="宋体" w:hAnsi="宋体" w:eastAsia="宋体" w:cs="宋体"/>
                <w:color w:val="auto"/>
                <w:sz w:val="21"/>
              </w:rPr>
            </w:pPr>
          </w:p>
          <w:p w14:paraId="2E4A3467">
            <w:pPr>
              <w:spacing w:line="264" w:lineRule="auto"/>
              <w:rPr>
                <w:rFonts w:hint="eastAsia" w:ascii="宋体" w:hAnsi="宋体" w:eastAsia="宋体" w:cs="宋体"/>
                <w:color w:val="auto"/>
                <w:sz w:val="21"/>
              </w:rPr>
            </w:pPr>
          </w:p>
          <w:p w14:paraId="331100C0">
            <w:pPr>
              <w:spacing w:line="264" w:lineRule="auto"/>
              <w:rPr>
                <w:rFonts w:hint="eastAsia" w:ascii="宋体" w:hAnsi="宋体" w:eastAsia="宋体" w:cs="宋体"/>
                <w:color w:val="auto"/>
                <w:sz w:val="21"/>
              </w:rPr>
            </w:pPr>
          </w:p>
          <w:p w14:paraId="68E9CB35">
            <w:pPr>
              <w:spacing w:line="264" w:lineRule="auto"/>
              <w:rPr>
                <w:rFonts w:hint="eastAsia" w:ascii="宋体" w:hAnsi="宋体" w:eastAsia="宋体" w:cs="宋体"/>
                <w:color w:val="auto"/>
                <w:sz w:val="21"/>
              </w:rPr>
            </w:pPr>
          </w:p>
          <w:p w14:paraId="359F82C4">
            <w:pPr>
              <w:spacing w:line="264" w:lineRule="auto"/>
              <w:rPr>
                <w:rFonts w:hint="eastAsia" w:ascii="宋体" w:hAnsi="宋体" w:eastAsia="宋体" w:cs="宋体"/>
                <w:color w:val="auto"/>
                <w:sz w:val="21"/>
              </w:rPr>
            </w:pPr>
          </w:p>
          <w:p w14:paraId="457226B2">
            <w:pPr>
              <w:spacing w:line="264" w:lineRule="auto"/>
              <w:rPr>
                <w:rFonts w:hint="eastAsia" w:ascii="宋体" w:hAnsi="宋体" w:eastAsia="宋体" w:cs="宋体"/>
                <w:color w:val="auto"/>
                <w:sz w:val="21"/>
              </w:rPr>
            </w:pPr>
          </w:p>
          <w:p w14:paraId="023868BE">
            <w:pPr>
              <w:spacing w:line="264" w:lineRule="auto"/>
              <w:rPr>
                <w:rFonts w:hint="eastAsia" w:ascii="宋体" w:hAnsi="宋体" w:eastAsia="宋体" w:cs="宋体"/>
                <w:color w:val="auto"/>
                <w:sz w:val="21"/>
              </w:rPr>
            </w:pPr>
          </w:p>
          <w:p w14:paraId="246A0F94">
            <w:pPr>
              <w:spacing w:line="264" w:lineRule="auto"/>
              <w:rPr>
                <w:rFonts w:hint="eastAsia" w:ascii="宋体" w:hAnsi="宋体" w:eastAsia="宋体" w:cs="宋体"/>
                <w:color w:val="auto"/>
                <w:sz w:val="21"/>
              </w:rPr>
            </w:pPr>
          </w:p>
          <w:p w14:paraId="39AD68EC">
            <w:pPr>
              <w:spacing w:line="264" w:lineRule="auto"/>
              <w:rPr>
                <w:rFonts w:hint="eastAsia" w:ascii="宋体" w:hAnsi="宋体" w:eastAsia="宋体" w:cs="宋体"/>
                <w:color w:val="auto"/>
                <w:sz w:val="21"/>
              </w:rPr>
            </w:pPr>
          </w:p>
          <w:p w14:paraId="6F857EEC">
            <w:pPr>
              <w:spacing w:before="68" w:line="219" w:lineRule="auto"/>
              <w:ind w:left="185"/>
              <w:rPr>
                <w:rFonts w:hint="eastAsia" w:ascii="宋体" w:hAnsi="宋体" w:eastAsia="宋体" w:cs="宋体"/>
                <w:color w:val="auto"/>
                <w:sz w:val="21"/>
                <w:szCs w:val="21"/>
              </w:rPr>
            </w:pPr>
            <w:r>
              <w:rPr>
                <w:rFonts w:hint="eastAsia" w:ascii="宋体" w:hAnsi="宋体" w:eastAsia="宋体" w:cs="宋体"/>
                <w:color w:val="auto"/>
                <w:spacing w:val="-1"/>
                <w:sz w:val="21"/>
                <w:szCs w:val="21"/>
              </w:rPr>
              <w:t>评标基准价</w:t>
            </w:r>
          </w:p>
          <w:p w14:paraId="2ABCC565">
            <w:pPr>
              <w:spacing w:before="187" w:line="221" w:lineRule="auto"/>
              <w:ind w:left="291"/>
              <w:rPr>
                <w:rFonts w:hint="eastAsia" w:ascii="宋体" w:hAnsi="宋体" w:eastAsia="宋体" w:cs="宋体"/>
                <w:color w:val="auto"/>
                <w:sz w:val="21"/>
                <w:szCs w:val="21"/>
              </w:rPr>
            </w:pPr>
            <w:r>
              <w:rPr>
                <w:rFonts w:hint="eastAsia" w:ascii="宋体" w:hAnsi="宋体" w:eastAsia="宋体" w:cs="宋体"/>
                <w:color w:val="auto"/>
                <w:spacing w:val="-1"/>
                <w:sz w:val="21"/>
                <w:szCs w:val="21"/>
              </w:rPr>
              <w:t>计算方法</w:t>
            </w:r>
          </w:p>
        </w:tc>
        <w:tc>
          <w:tcPr>
            <w:tcW w:w="6390" w:type="dxa"/>
            <w:vAlign w:val="top"/>
          </w:tcPr>
          <w:p w14:paraId="0EC16098">
            <w:pPr>
              <w:spacing w:before="121" w:line="219" w:lineRule="auto"/>
              <w:ind w:left="109"/>
              <w:rPr>
                <w:rFonts w:hint="eastAsia" w:ascii="宋体" w:hAnsi="宋体" w:eastAsia="宋体" w:cs="宋体"/>
                <w:color w:val="auto"/>
                <w:sz w:val="21"/>
                <w:szCs w:val="21"/>
              </w:rPr>
            </w:pPr>
            <w:r>
              <w:rPr>
                <w:rFonts w:hint="eastAsia" w:ascii="宋体" w:hAnsi="宋体" w:eastAsia="宋体" w:cs="宋体"/>
                <w:color w:val="auto"/>
                <w:spacing w:val="-1"/>
                <w:sz w:val="21"/>
                <w:szCs w:val="21"/>
              </w:rPr>
              <w:t>评标基准价计算方法：</w:t>
            </w:r>
          </w:p>
          <w:p w14:paraId="7269E11B">
            <w:pPr>
              <w:spacing w:before="110" w:line="360" w:lineRule="exact"/>
              <w:ind w:left="108"/>
              <w:rPr>
                <w:rFonts w:hint="eastAsia" w:ascii="宋体" w:hAnsi="宋体" w:eastAsia="宋体" w:cs="宋体"/>
                <w:color w:val="auto"/>
                <w:sz w:val="21"/>
                <w:szCs w:val="21"/>
              </w:rPr>
            </w:pPr>
            <w:r>
              <w:rPr>
                <w:rFonts w:hint="eastAsia" w:ascii="宋体" w:hAnsi="宋体" w:eastAsia="宋体" w:cs="宋体"/>
                <w:color w:val="auto"/>
                <w:spacing w:val="-1"/>
                <w:position w:val="11"/>
                <w:sz w:val="21"/>
                <w:szCs w:val="21"/>
              </w:rPr>
              <w:t>在开标现场，招标人将当场计算并宣布评标基准价。</w:t>
            </w:r>
          </w:p>
          <w:p w14:paraId="58B20ECC">
            <w:pPr>
              <w:spacing w:line="213" w:lineRule="auto"/>
              <w:ind w:left="110"/>
              <w:rPr>
                <w:rFonts w:hint="eastAsia" w:ascii="宋体" w:hAnsi="宋体" w:eastAsia="宋体" w:cs="宋体"/>
                <w:color w:val="auto"/>
                <w:sz w:val="21"/>
                <w:szCs w:val="21"/>
              </w:rPr>
            </w:pPr>
            <w:r>
              <w:rPr>
                <w:rFonts w:hint="eastAsia" w:ascii="宋体" w:hAnsi="宋体" w:eastAsia="宋体" w:cs="宋体"/>
                <w:color w:val="auto"/>
                <w:spacing w:val="-1"/>
                <w:sz w:val="21"/>
                <w:szCs w:val="21"/>
              </w:rPr>
              <w:t>(1)评标价的确定：评标价=投标函文字报价</w:t>
            </w:r>
          </w:p>
          <w:p w14:paraId="4E469B85">
            <w:pPr>
              <w:spacing w:before="116" w:line="214" w:lineRule="auto"/>
              <w:ind w:left="110"/>
              <w:rPr>
                <w:rFonts w:hint="eastAsia" w:ascii="宋体" w:hAnsi="宋体" w:eastAsia="宋体" w:cs="宋体"/>
                <w:color w:val="auto"/>
                <w:sz w:val="21"/>
                <w:szCs w:val="21"/>
              </w:rPr>
            </w:pPr>
            <w:r>
              <w:rPr>
                <w:rFonts w:hint="eastAsia" w:ascii="宋体" w:hAnsi="宋体" w:eastAsia="宋体" w:cs="宋体"/>
                <w:color w:val="auto"/>
                <w:spacing w:val="-1"/>
                <w:sz w:val="21"/>
                <w:szCs w:val="21"/>
              </w:rPr>
              <w:t>(2)评标价平均值的计算：</w:t>
            </w:r>
          </w:p>
          <w:p w14:paraId="103C51BC">
            <w:pPr>
              <w:spacing w:before="114" w:line="296" w:lineRule="auto"/>
              <w:ind w:left="108" w:right="102" w:firstLine="11"/>
              <w:rPr>
                <w:rFonts w:hint="eastAsia" w:ascii="宋体" w:hAnsi="宋体" w:eastAsia="宋体" w:cs="宋体"/>
                <w:color w:val="auto"/>
                <w:sz w:val="21"/>
                <w:szCs w:val="21"/>
              </w:rPr>
            </w:pP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rPr>
              <w:t>方案一：按第一个信封（商务及技术文件）评审得分由高到低的 顺</w:t>
            </w:r>
            <w:r>
              <w:rPr>
                <w:rFonts w:hint="eastAsia" w:ascii="宋体" w:hAnsi="宋体" w:eastAsia="宋体" w:cs="宋体"/>
                <w:color w:val="auto"/>
                <w:sz w:val="21"/>
                <w:szCs w:val="21"/>
              </w:rPr>
              <w:t>序选取前 3 名（若不足 3</w:t>
            </w:r>
            <w:r>
              <w:rPr>
                <w:rFonts w:hint="eastAsia" w:ascii="宋体" w:hAnsi="宋体" w:eastAsia="宋体" w:cs="宋体"/>
                <w:color w:val="auto"/>
                <w:spacing w:val="5"/>
                <w:sz w:val="21"/>
                <w:szCs w:val="21"/>
              </w:rPr>
              <w:t xml:space="preserve"> </w:t>
            </w:r>
            <w:r>
              <w:rPr>
                <w:rFonts w:hint="eastAsia" w:ascii="宋体" w:hAnsi="宋体" w:eastAsia="宋体" w:cs="宋体"/>
                <w:color w:val="auto"/>
                <w:sz w:val="21"/>
                <w:szCs w:val="21"/>
              </w:rPr>
              <w:t>名，则选取相应数量</w:t>
            </w:r>
            <w:r>
              <w:rPr>
                <w:rFonts w:hint="eastAsia" w:ascii="宋体" w:hAnsi="宋体" w:eastAsia="宋体" w:cs="宋体"/>
                <w:color w:val="auto"/>
                <w:spacing w:val="-48"/>
                <w:sz w:val="21"/>
                <w:szCs w:val="21"/>
              </w:rPr>
              <w:t>），</w:t>
            </w:r>
            <w:r>
              <w:rPr>
                <w:rFonts w:hint="eastAsia" w:ascii="宋体" w:hAnsi="宋体" w:eastAsia="宋体" w:cs="宋体"/>
                <w:color w:val="auto"/>
                <w:sz w:val="21"/>
                <w:szCs w:val="21"/>
              </w:rPr>
              <w:t>对其第二个信封</w:t>
            </w:r>
            <w:r>
              <w:rPr>
                <w:rFonts w:hint="eastAsia" w:ascii="宋体" w:hAnsi="宋体" w:eastAsia="宋体" w:cs="宋体"/>
                <w:color w:val="auto"/>
                <w:spacing w:val="-5"/>
                <w:sz w:val="21"/>
                <w:szCs w:val="21"/>
              </w:rPr>
              <w:t>（报价文件）的评标价作算术平均（根据第二章“投标人</w:t>
            </w:r>
            <w:r>
              <w:rPr>
                <w:rFonts w:hint="eastAsia" w:ascii="宋体" w:hAnsi="宋体" w:eastAsia="宋体" w:cs="宋体"/>
                <w:color w:val="auto"/>
                <w:spacing w:val="-6"/>
                <w:sz w:val="21"/>
                <w:szCs w:val="21"/>
              </w:rPr>
              <w:t>须知”第 5.2.4</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rPr>
              <w:t>项规定在开标现场被宣布为不进入评标基准价计算的投标报价除</w:t>
            </w:r>
            <w:r>
              <w:rPr>
                <w:rFonts w:hint="eastAsia" w:ascii="宋体" w:hAnsi="宋体" w:eastAsia="宋体" w:cs="宋体"/>
                <w:color w:val="auto"/>
                <w:spacing w:val="-5"/>
                <w:sz w:val="21"/>
                <w:szCs w:val="21"/>
              </w:rPr>
              <w:t>外</w:t>
            </w:r>
            <w:r>
              <w:rPr>
                <w:rFonts w:hint="eastAsia" w:ascii="宋体" w:hAnsi="宋体" w:eastAsia="宋体" w:cs="宋体"/>
                <w:color w:val="auto"/>
                <w:spacing w:val="-28"/>
                <w:sz w:val="21"/>
                <w:szCs w:val="21"/>
              </w:rPr>
              <w:t>），</w:t>
            </w:r>
            <w:r>
              <w:rPr>
                <w:rFonts w:hint="eastAsia" w:ascii="宋体" w:hAnsi="宋体" w:eastAsia="宋体" w:cs="宋体"/>
                <w:color w:val="auto"/>
                <w:spacing w:val="-5"/>
                <w:sz w:val="21"/>
                <w:szCs w:val="21"/>
              </w:rPr>
              <w:t>将该平均值作为评标价平均值；</w:t>
            </w:r>
          </w:p>
          <w:p w14:paraId="401651FD">
            <w:pPr>
              <w:spacing w:before="117" w:line="295" w:lineRule="auto"/>
              <w:ind w:left="109" w:right="105" w:firstLine="9"/>
              <w:rPr>
                <w:rFonts w:hint="eastAsia" w:ascii="宋体" w:hAnsi="宋体" w:eastAsia="宋体" w:cs="宋体"/>
                <w:color w:val="auto"/>
                <w:sz w:val="21"/>
                <w:szCs w:val="21"/>
              </w:rPr>
            </w:pPr>
            <w:r>
              <w:rPr>
                <w:rFonts w:hint="eastAsia" w:ascii="宋体" w:hAnsi="宋体" w:eastAsia="宋体" w:cs="宋体"/>
                <w:color w:val="auto"/>
                <w:spacing w:val="-3"/>
                <w:sz w:val="21"/>
                <w:szCs w:val="21"/>
              </w:rPr>
              <w:t>☑</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3"/>
                <w:sz w:val="21"/>
                <w:szCs w:val="21"/>
              </w:rPr>
              <w:t>方案二：除按第二章“投标人须知”第</w:t>
            </w:r>
            <w:r>
              <w:rPr>
                <w:rFonts w:hint="eastAsia" w:ascii="宋体" w:hAnsi="宋体" w:eastAsia="宋体" w:cs="宋体"/>
                <w:color w:val="auto"/>
                <w:spacing w:val="-42"/>
                <w:sz w:val="21"/>
                <w:szCs w:val="21"/>
              </w:rPr>
              <w:t xml:space="preserve"> </w:t>
            </w:r>
            <w:r>
              <w:rPr>
                <w:rFonts w:hint="eastAsia" w:ascii="宋体" w:hAnsi="宋体" w:eastAsia="宋体" w:cs="宋体"/>
                <w:color w:val="auto"/>
                <w:spacing w:val="-3"/>
                <w:sz w:val="21"/>
                <w:szCs w:val="21"/>
              </w:rPr>
              <w:t>5.</w:t>
            </w:r>
            <w:r>
              <w:rPr>
                <w:rFonts w:hint="eastAsia" w:ascii="宋体" w:hAnsi="宋体" w:eastAsia="宋体" w:cs="宋体"/>
                <w:color w:val="auto"/>
                <w:spacing w:val="-4"/>
                <w:sz w:val="21"/>
                <w:szCs w:val="21"/>
              </w:rPr>
              <w:t>2.4 项规定开标现场被宣布为</w:t>
            </w:r>
            <w:r>
              <w:rPr>
                <w:rFonts w:hint="eastAsia" w:ascii="宋体" w:hAnsi="宋体" w:eastAsia="宋体" w:cs="宋体"/>
                <w:color w:val="auto"/>
                <w:sz w:val="21"/>
                <w:szCs w:val="21"/>
              </w:rPr>
              <w:t>不进入评标基准价计算的投标报价之外，所有投标人</w:t>
            </w:r>
            <w:r>
              <w:rPr>
                <w:rFonts w:hint="eastAsia" w:ascii="宋体" w:hAnsi="宋体" w:eastAsia="宋体" w:cs="宋体"/>
                <w:color w:val="auto"/>
                <w:spacing w:val="-1"/>
                <w:sz w:val="21"/>
                <w:szCs w:val="21"/>
              </w:rPr>
              <w:t>的评标价去掉一</w:t>
            </w:r>
            <w:r>
              <w:rPr>
                <w:rFonts w:hint="eastAsia" w:ascii="宋体" w:hAnsi="宋体" w:eastAsia="宋体" w:cs="宋体"/>
                <w:color w:val="auto"/>
                <w:sz w:val="21"/>
                <w:szCs w:val="21"/>
              </w:rPr>
              <w:t>个最高值和一个最低值后的算术平均值即为评标价平</w:t>
            </w:r>
            <w:r>
              <w:rPr>
                <w:rFonts w:hint="eastAsia" w:ascii="宋体" w:hAnsi="宋体" w:eastAsia="宋体" w:cs="宋体"/>
                <w:color w:val="auto"/>
                <w:spacing w:val="-1"/>
                <w:sz w:val="21"/>
                <w:szCs w:val="21"/>
              </w:rPr>
              <w:t>均值（如果参与</w:t>
            </w:r>
            <w:r>
              <w:rPr>
                <w:rFonts w:hint="eastAsia" w:ascii="宋体" w:hAnsi="宋体" w:eastAsia="宋体" w:cs="宋体"/>
                <w:color w:val="auto"/>
                <w:spacing w:val="-4"/>
                <w:sz w:val="21"/>
                <w:szCs w:val="21"/>
              </w:rPr>
              <w:t>评标价平均值计算的有效投标人少于</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4"/>
                <w:sz w:val="21"/>
                <w:szCs w:val="21"/>
              </w:rPr>
              <w:t>5 家时，则计算评标价平均值时</w:t>
            </w:r>
            <w:r>
              <w:rPr>
                <w:rFonts w:hint="eastAsia" w:ascii="宋体" w:hAnsi="宋体" w:eastAsia="宋体" w:cs="宋体"/>
                <w:color w:val="auto"/>
                <w:spacing w:val="-11"/>
                <w:sz w:val="21"/>
                <w:szCs w:val="21"/>
              </w:rPr>
              <w:t>不去掉最高值和最低值）。</w:t>
            </w:r>
          </w:p>
          <w:p w14:paraId="6B04874C">
            <w:pPr>
              <w:spacing w:before="109" w:line="210" w:lineRule="auto"/>
              <w:ind w:left="110"/>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rPr>
              <w:t>(3)评标基准价的确定</w:t>
            </w:r>
            <w:r>
              <w:rPr>
                <w:rFonts w:hint="eastAsia" w:ascii="宋体" w:hAnsi="宋体" w:eastAsia="宋体" w:cs="宋体"/>
                <w:color w:val="auto"/>
                <w:spacing w:val="-1"/>
                <w:sz w:val="21"/>
                <w:szCs w:val="21"/>
                <w:lang w:eastAsia="zh-CN"/>
              </w:rPr>
              <w:t>：</w:t>
            </w:r>
          </w:p>
        </w:tc>
      </w:tr>
    </w:tbl>
    <w:p w14:paraId="73624CDF">
      <w:pPr>
        <w:rPr>
          <w:rFonts w:hint="eastAsia" w:ascii="宋体" w:hAnsi="宋体" w:eastAsia="宋体" w:cs="宋体"/>
          <w:color w:val="auto"/>
          <w:sz w:val="21"/>
        </w:rPr>
      </w:pPr>
    </w:p>
    <w:p w14:paraId="1B1D5446">
      <w:pPr>
        <w:rPr>
          <w:rFonts w:hint="eastAsia" w:ascii="宋体" w:hAnsi="宋体" w:eastAsia="宋体" w:cs="宋体"/>
          <w:color w:val="auto"/>
          <w:sz w:val="21"/>
          <w:szCs w:val="21"/>
        </w:rPr>
        <w:sectPr>
          <w:footerReference r:id="rId11" w:type="default"/>
          <w:pgSz w:w="11909" w:h="16839"/>
          <w:pgMar w:top="1306" w:right="1478" w:bottom="1394" w:left="1474" w:header="1025" w:footer="1229" w:gutter="0"/>
          <w:pgNumType w:fmt="decimal"/>
          <w:cols w:space="720" w:num="1"/>
        </w:sectPr>
      </w:pPr>
    </w:p>
    <w:p w14:paraId="2B8730EA">
      <w:pPr>
        <w:spacing w:before="152"/>
        <w:rPr>
          <w:rFonts w:hint="eastAsia" w:ascii="宋体" w:hAnsi="宋体" w:eastAsia="宋体" w:cs="宋体"/>
          <w:color w:val="auto"/>
        </w:rPr>
      </w:pPr>
    </w:p>
    <w:tbl>
      <w:tblPr>
        <w:tblStyle w:val="8"/>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585"/>
        <w:gridCol w:w="582"/>
        <w:gridCol w:w="107"/>
        <w:gridCol w:w="1059"/>
        <w:gridCol w:w="1713"/>
        <w:gridCol w:w="825"/>
        <w:gridCol w:w="2751"/>
        <w:gridCol w:w="48"/>
      </w:tblGrid>
      <w:tr w14:paraId="429F6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8" w:type="dxa"/>
          <w:trHeight w:val="3135" w:hRule="atLeast"/>
        </w:trPr>
        <w:tc>
          <w:tcPr>
            <w:tcW w:w="1280" w:type="dxa"/>
            <w:vAlign w:val="top"/>
          </w:tcPr>
          <w:p w14:paraId="717876BB">
            <w:pPr>
              <w:rPr>
                <w:rFonts w:hint="eastAsia" w:ascii="宋体" w:hAnsi="宋体" w:eastAsia="宋体" w:cs="宋体"/>
                <w:color w:val="auto"/>
                <w:sz w:val="21"/>
              </w:rPr>
            </w:pPr>
          </w:p>
        </w:tc>
        <w:tc>
          <w:tcPr>
            <w:tcW w:w="1274" w:type="dxa"/>
            <w:gridSpan w:val="3"/>
            <w:vAlign w:val="top"/>
          </w:tcPr>
          <w:p w14:paraId="4EDEEBAA">
            <w:pPr>
              <w:rPr>
                <w:rFonts w:hint="eastAsia" w:ascii="宋体" w:hAnsi="宋体" w:eastAsia="宋体" w:cs="宋体"/>
                <w:color w:val="auto"/>
                <w:sz w:val="21"/>
              </w:rPr>
            </w:pPr>
          </w:p>
        </w:tc>
        <w:tc>
          <w:tcPr>
            <w:tcW w:w="6348" w:type="dxa"/>
            <w:gridSpan w:val="4"/>
            <w:vAlign w:val="top"/>
          </w:tcPr>
          <w:p w14:paraId="7D647DCD">
            <w:pPr>
              <w:spacing w:before="120" w:line="234" w:lineRule="auto"/>
              <w:ind w:left="109"/>
              <w:rPr>
                <w:rFonts w:hint="eastAsia" w:ascii="宋体" w:hAnsi="宋体" w:eastAsia="宋体" w:cs="宋体"/>
                <w:color w:val="auto"/>
                <w:sz w:val="21"/>
                <w:szCs w:val="21"/>
              </w:rPr>
            </w:pPr>
            <w:r>
              <w:rPr>
                <w:rFonts w:hint="eastAsia" w:ascii="宋体" w:hAnsi="宋体" w:eastAsia="宋体" w:cs="宋体"/>
                <w:color w:val="auto"/>
                <w:sz w:val="21"/>
                <w:szCs w:val="21"/>
              </w:rPr>
              <w:t>评标基准价=评标价平均值×（1-下浮系</w:t>
            </w:r>
            <w:r>
              <w:rPr>
                <w:rFonts w:hint="eastAsia" w:ascii="宋体" w:hAnsi="宋体" w:eastAsia="宋体" w:cs="宋体"/>
                <w:color w:val="auto"/>
                <w:spacing w:val="-1"/>
                <w:sz w:val="21"/>
                <w:szCs w:val="21"/>
              </w:rPr>
              <w:t>数）</w:t>
            </w:r>
          </w:p>
          <w:p w14:paraId="36CD40DB">
            <w:pPr>
              <w:spacing w:before="94" w:line="264" w:lineRule="auto"/>
              <w:ind w:left="112" w:right="117" w:firstLine="2"/>
              <w:rPr>
                <w:rFonts w:hint="eastAsia" w:ascii="宋体" w:hAnsi="宋体" w:eastAsia="宋体" w:cs="宋体"/>
                <w:color w:val="auto"/>
                <w:sz w:val="21"/>
                <w:szCs w:val="21"/>
              </w:rPr>
            </w:pPr>
            <w:r>
              <w:rPr>
                <w:rFonts w:hint="eastAsia" w:ascii="宋体" w:hAnsi="宋体" w:eastAsia="宋体" w:cs="宋体"/>
                <w:color w:val="auto"/>
                <w:spacing w:val="-5"/>
                <w:sz w:val="21"/>
                <w:szCs w:val="21"/>
              </w:rPr>
              <w:t>下浮系数将从 1%~5%中选取</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5"/>
                <w:sz w:val="21"/>
                <w:szCs w:val="21"/>
              </w:rPr>
              <w:t>5个数，步距</w:t>
            </w:r>
            <w:r>
              <w:rPr>
                <w:rFonts w:hint="eastAsia" w:ascii="宋体" w:hAnsi="宋体" w:eastAsia="宋体" w:cs="宋体"/>
                <w:color w:val="auto"/>
                <w:spacing w:val="-6"/>
                <w:sz w:val="21"/>
                <w:szCs w:val="21"/>
              </w:rPr>
              <w:t>不小于</w:t>
            </w:r>
            <w:r>
              <w:rPr>
                <w:rFonts w:hint="eastAsia" w:ascii="宋体" w:hAnsi="宋体" w:eastAsia="宋体" w:cs="宋体"/>
                <w:color w:val="auto"/>
                <w:spacing w:val="-39"/>
                <w:sz w:val="21"/>
                <w:szCs w:val="21"/>
              </w:rPr>
              <w:t xml:space="preserve"> </w:t>
            </w:r>
            <w:r>
              <w:rPr>
                <w:rFonts w:hint="eastAsia" w:ascii="宋体" w:hAnsi="宋体" w:eastAsia="宋体" w:cs="宋体"/>
                <w:color w:val="auto"/>
                <w:spacing w:val="-6"/>
                <w:sz w:val="21"/>
                <w:szCs w:val="21"/>
              </w:rPr>
              <w:t>0.5%，设置等差数</w:t>
            </w:r>
            <w:r>
              <w:rPr>
                <w:rFonts w:hint="eastAsia" w:ascii="宋体" w:hAnsi="宋体" w:eastAsia="宋体" w:cs="宋体"/>
                <w:color w:val="auto"/>
                <w:spacing w:val="-8"/>
                <w:sz w:val="21"/>
                <w:szCs w:val="21"/>
              </w:rPr>
              <w:t>列，并在开标时随机抽取。【9】</w:t>
            </w:r>
          </w:p>
          <w:p w14:paraId="7131AE7B">
            <w:pPr>
              <w:spacing w:before="119" w:line="264" w:lineRule="auto"/>
              <w:ind w:left="108" w:right="106"/>
              <w:rPr>
                <w:rFonts w:hint="eastAsia" w:ascii="宋体" w:hAnsi="宋体" w:eastAsia="宋体" w:cs="宋体"/>
                <w:color w:val="auto"/>
                <w:sz w:val="21"/>
                <w:szCs w:val="21"/>
              </w:rPr>
            </w:pPr>
            <w:r>
              <w:rPr>
                <w:rFonts w:hint="eastAsia" w:ascii="宋体" w:hAnsi="宋体" w:eastAsia="宋体" w:cs="宋体"/>
                <w:color w:val="auto"/>
                <w:spacing w:val="3"/>
                <w:sz w:val="21"/>
                <w:szCs w:val="21"/>
              </w:rPr>
              <w:t>如果投标人认为某一标段的评标基准价计算有误，有权在开标现场</w:t>
            </w:r>
            <w:r>
              <w:rPr>
                <w:rFonts w:hint="eastAsia" w:ascii="宋体" w:hAnsi="宋体" w:eastAsia="宋体" w:cs="宋体"/>
                <w:color w:val="auto"/>
                <w:spacing w:val="-5"/>
                <w:sz w:val="21"/>
                <w:szCs w:val="21"/>
              </w:rPr>
              <w:t>提出，经当场核实确认之后，可重新宣布评标基准价。</w:t>
            </w:r>
          </w:p>
          <w:p w14:paraId="11E42166">
            <w:pPr>
              <w:spacing w:before="197" w:line="388" w:lineRule="auto"/>
              <w:ind w:left="111" w:right="115" w:hanging="3"/>
              <w:rPr>
                <w:rFonts w:hint="eastAsia" w:ascii="宋体" w:hAnsi="宋体" w:eastAsia="宋体" w:cs="宋体"/>
                <w:color w:val="auto"/>
                <w:sz w:val="21"/>
                <w:szCs w:val="21"/>
              </w:rPr>
            </w:pPr>
            <w:r>
              <w:rPr>
                <w:rFonts w:hint="eastAsia" w:ascii="宋体" w:hAnsi="宋体" w:eastAsia="宋体" w:cs="宋体"/>
                <w:color w:val="auto"/>
                <w:spacing w:val="-2"/>
                <w:sz w:val="21"/>
                <w:szCs w:val="21"/>
              </w:rPr>
              <w:t>在评标过程中，评标委员会应对招标人计算的评标基准价进行复核，</w:t>
            </w:r>
            <w:r>
              <w:rPr>
                <w:rFonts w:hint="eastAsia" w:ascii="宋体" w:hAnsi="宋体" w:eastAsia="宋体" w:cs="宋体"/>
                <w:color w:val="auto"/>
                <w:spacing w:val="-1"/>
                <w:sz w:val="21"/>
                <w:szCs w:val="21"/>
              </w:rPr>
              <w:t>存在计算错误的应予以修正并在评标报告中作出说明。除此之外，评标基准价在整个评标期间保持不变，不随任何因素发生变化。</w:t>
            </w:r>
          </w:p>
        </w:tc>
      </w:tr>
      <w:tr w14:paraId="738C9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8" w:type="dxa"/>
          <w:trHeight w:val="886" w:hRule="atLeast"/>
        </w:trPr>
        <w:tc>
          <w:tcPr>
            <w:tcW w:w="1280" w:type="dxa"/>
            <w:vAlign w:val="top"/>
          </w:tcPr>
          <w:p w14:paraId="0DD97FED">
            <w:pPr>
              <w:spacing w:line="403" w:lineRule="auto"/>
              <w:rPr>
                <w:rFonts w:ascii="Arial"/>
                <w:color w:val="auto"/>
                <w:sz w:val="21"/>
              </w:rPr>
            </w:pPr>
          </w:p>
          <w:p w14:paraId="0B467301">
            <w:pPr>
              <w:spacing w:before="61" w:line="187" w:lineRule="auto"/>
              <w:ind w:left="277"/>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1"/>
                <w:sz w:val="21"/>
                <w:szCs w:val="21"/>
              </w:rPr>
              <w:t>2.2.3</w:t>
            </w:r>
          </w:p>
        </w:tc>
        <w:tc>
          <w:tcPr>
            <w:tcW w:w="1274" w:type="dxa"/>
            <w:gridSpan w:val="3"/>
            <w:vAlign w:val="top"/>
          </w:tcPr>
          <w:p w14:paraId="3C3E667E">
            <w:pPr>
              <w:spacing w:before="197" w:line="442" w:lineRule="exact"/>
              <w:ind w:left="84"/>
              <w:rPr>
                <w:rFonts w:ascii="宋体" w:hAnsi="宋体" w:eastAsia="宋体" w:cs="宋体"/>
                <w:color w:val="auto"/>
                <w:sz w:val="21"/>
                <w:szCs w:val="21"/>
              </w:rPr>
            </w:pPr>
            <w:r>
              <w:rPr>
                <w:rFonts w:ascii="宋体" w:hAnsi="宋体" w:eastAsia="宋体" w:cs="宋体"/>
                <w:color w:val="auto"/>
                <w:spacing w:val="-1"/>
                <w:position w:val="17"/>
                <w:sz w:val="21"/>
                <w:szCs w:val="21"/>
              </w:rPr>
              <w:t>评标价的偏差率计算公式</w:t>
            </w:r>
          </w:p>
        </w:tc>
        <w:tc>
          <w:tcPr>
            <w:tcW w:w="6348" w:type="dxa"/>
            <w:gridSpan w:val="4"/>
            <w:vAlign w:val="center"/>
          </w:tcPr>
          <w:p w14:paraId="2850D209">
            <w:pPr>
              <w:spacing w:before="68" w:line="234" w:lineRule="auto"/>
              <w:jc w:val="center"/>
              <w:rPr>
                <w:rFonts w:ascii="黑体" w:hAnsi="黑体" w:eastAsia="黑体" w:cs="黑体"/>
                <w:color w:val="auto"/>
                <w:sz w:val="21"/>
                <w:szCs w:val="21"/>
              </w:rPr>
            </w:pPr>
            <w:r>
              <w:rPr>
                <w:rFonts w:hint="eastAsia" w:ascii="宋体" w:hAnsi="宋体" w:eastAsia="宋体" w:cs="宋体"/>
                <w:color w:val="auto"/>
                <w:spacing w:val="-4"/>
                <w:sz w:val="21"/>
                <w:szCs w:val="21"/>
              </w:rPr>
              <w:t>偏差率=100%</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4"/>
                <w:sz w:val="21"/>
                <w:szCs w:val="21"/>
              </w:rPr>
              <w:t>×（投标人评标价－评标基准价）</w:t>
            </w:r>
            <w:r>
              <w:rPr>
                <w:rFonts w:hint="eastAsia" w:ascii="宋体" w:hAnsi="宋体" w:eastAsia="宋体" w:cs="宋体"/>
                <w:color w:val="auto"/>
                <w:spacing w:val="-5"/>
                <w:sz w:val="21"/>
                <w:szCs w:val="21"/>
              </w:rPr>
              <w:t>/评标基准价</w:t>
            </w:r>
          </w:p>
        </w:tc>
      </w:tr>
      <w:tr w14:paraId="583C8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8" w:type="dxa"/>
          <w:trHeight w:val="446" w:hRule="atLeast"/>
        </w:trPr>
        <w:tc>
          <w:tcPr>
            <w:tcW w:w="1280" w:type="dxa"/>
            <w:vMerge w:val="restart"/>
            <w:tcBorders>
              <w:bottom w:val="nil"/>
            </w:tcBorders>
            <w:vAlign w:val="top"/>
          </w:tcPr>
          <w:p w14:paraId="4CA15132">
            <w:pPr>
              <w:spacing w:line="284" w:lineRule="auto"/>
              <w:rPr>
                <w:rFonts w:ascii="Arial"/>
                <w:color w:val="auto"/>
                <w:sz w:val="21"/>
              </w:rPr>
            </w:pPr>
          </w:p>
          <w:p w14:paraId="38D8029B">
            <w:pPr>
              <w:spacing w:line="285" w:lineRule="auto"/>
              <w:rPr>
                <w:rFonts w:ascii="Arial"/>
                <w:color w:val="auto"/>
                <w:sz w:val="21"/>
              </w:rPr>
            </w:pPr>
          </w:p>
          <w:p w14:paraId="5C8CD619">
            <w:pPr>
              <w:spacing w:before="68" w:line="221" w:lineRule="auto"/>
              <w:ind w:left="370"/>
              <w:rPr>
                <w:rFonts w:ascii="宋体" w:hAnsi="宋体" w:eastAsia="宋体" w:cs="宋体"/>
                <w:color w:val="auto"/>
                <w:sz w:val="21"/>
                <w:szCs w:val="21"/>
              </w:rPr>
            </w:pPr>
            <w:r>
              <w:rPr>
                <w:rFonts w:ascii="宋体" w:hAnsi="宋体" w:eastAsia="宋体" w:cs="宋体"/>
                <w:color w:val="auto"/>
                <w:spacing w:val="-2"/>
                <w:sz w:val="21"/>
                <w:szCs w:val="21"/>
                <w14:textOutline w14:w="3831" w14:cap="flat" w14:cmpd="sng">
                  <w14:solidFill>
                    <w14:srgbClr w14:val="000000"/>
                  </w14:solidFill>
                  <w14:prstDash w14:val="solid"/>
                  <w14:miter w14:val="0"/>
                </w14:textOutline>
              </w:rPr>
              <w:t>条款号</w:t>
            </w:r>
          </w:p>
        </w:tc>
        <w:tc>
          <w:tcPr>
            <w:tcW w:w="4871" w:type="dxa"/>
            <w:gridSpan w:val="6"/>
            <w:vAlign w:val="top"/>
          </w:tcPr>
          <w:p w14:paraId="0E576150">
            <w:pPr>
              <w:spacing w:before="194" w:line="212" w:lineRule="auto"/>
              <w:ind w:left="1136"/>
              <w:rPr>
                <w:rFonts w:ascii="宋体" w:hAnsi="宋体" w:eastAsia="宋体" w:cs="宋体"/>
                <w:color w:val="auto"/>
                <w:sz w:val="21"/>
                <w:szCs w:val="21"/>
              </w:rPr>
            </w:pPr>
            <w:r>
              <w:rPr>
                <w:rFonts w:ascii="宋体" w:hAnsi="宋体" w:eastAsia="宋体" w:cs="宋体"/>
                <w:color w:val="auto"/>
                <w:sz w:val="21"/>
                <w:szCs w:val="21"/>
                <w14:textOutline w14:w="3831" w14:cap="flat" w14:cmpd="sng">
                  <w14:solidFill>
                    <w14:srgbClr w14:val="000000"/>
                  </w14:solidFill>
                  <w14:prstDash w14:val="solid"/>
                  <w14:miter w14:val="0"/>
                </w14:textOutline>
              </w:rPr>
              <w:t>评分因素与权重分值【</w:t>
            </w:r>
            <w:r>
              <w:rPr>
                <w:rFonts w:ascii="Times New Roman" w:hAnsi="Times New Roman" w:eastAsia="Times New Roman" w:cs="Times New Roman"/>
                <w:color w:val="auto"/>
                <w:sz w:val="21"/>
                <w:szCs w:val="21"/>
              </w:rPr>
              <w:t>10</w:t>
            </w:r>
            <w:r>
              <w:rPr>
                <w:rFonts w:ascii="宋体" w:hAnsi="宋体" w:eastAsia="宋体" w:cs="宋体"/>
                <w:color w:val="auto"/>
                <w:sz w:val="21"/>
                <w:szCs w:val="21"/>
                <w14:textOutline w14:w="3831" w14:cap="flat" w14:cmpd="sng">
                  <w14:solidFill>
                    <w14:srgbClr w14:val="000000"/>
                  </w14:solidFill>
                  <w14:prstDash w14:val="solid"/>
                  <w14:miter w14:val="0"/>
                </w14:textOutline>
              </w:rPr>
              <w:t>】</w:t>
            </w:r>
          </w:p>
        </w:tc>
        <w:tc>
          <w:tcPr>
            <w:tcW w:w="2751" w:type="dxa"/>
            <w:vMerge w:val="restart"/>
            <w:tcBorders>
              <w:bottom w:val="nil"/>
            </w:tcBorders>
            <w:vAlign w:val="top"/>
          </w:tcPr>
          <w:p w14:paraId="3513DF1A">
            <w:pPr>
              <w:spacing w:line="285" w:lineRule="auto"/>
              <w:rPr>
                <w:rFonts w:ascii="Arial"/>
                <w:color w:val="auto"/>
                <w:sz w:val="21"/>
              </w:rPr>
            </w:pPr>
          </w:p>
          <w:p w14:paraId="52B915EB">
            <w:pPr>
              <w:spacing w:line="285" w:lineRule="auto"/>
              <w:rPr>
                <w:rFonts w:ascii="Arial"/>
                <w:color w:val="auto"/>
                <w:sz w:val="21"/>
              </w:rPr>
            </w:pPr>
          </w:p>
          <w:p w14:paraId="788E5D27">
            <w:pPr>
              <w:spacing w:before="68" w:line="221" w:lineRule="auto"/>
              <w:ind w:left="641"/>
              <w:rPr>
                <w:rFonts w:ascii="宋体" w:hAnsi="宋体" w:eastAsia="宋体" w:cs="宋体"/>
                <w:color w:val="auto"/>
                <w:sz w:val="21"/>
                <w:szCs w:val="21"/>
              </w:rPr>
            </w:pPr>
            <w:r>
              <w:rPr>
                <w:rFonts w:ascii="宋体" w:hAnsi="宋体" w:eastAsia="宋体" w:cs="宋体"/>
                <w:color w:val="auto"/>
                <w:spacing w:val="-1"/>
                <w:sz w:val="21"/>
                <w:szCs w:val="21"/>
                <w14:textOutline w14:w="3831" w14:cap="flat" w14:cmpd="sng">
                  <w14:solidFill>
                    <w14:srgbClr w14:val="000000"/>
                  </w14:solidFill>
                  <w14:prstDash w14:val="solid"/>
                  <w14:miter w14:val="0"/>
                </w14:textOutline>
              </w:rPr>
              <w:t>评分标准【</w:t>
            </w:r>
            <w:r>
              <w:rPr>
                <w:rFonts w:ascii="Times New Roman" w:hAnsi="Times New Roman" w:eastAsia="Times New Roman" w:cs="Times New Roman"/>
                <w:color w:val="auto"/>
                <w:spacing w:val="-1"/>
                <w:sz w:val="21"/>
                <w:szCs w:val="21"/>
              </w:rPr>
              <w:t>11</w:t>
            </w:r>
            <w:r>
              <w:rPr>
                <w:rFonts w:ascii="宋体" w:hAnsi="宋体" w:eastAsia="宋体" w:cs="宋体"/>
                <w:color w:val="auto"/>
                <w:spacing w:val="-1"/>
                <w:sz w:val="21"/>
                <w:szCs w:val="21"/>
                <w14:textOutline w14:w="3831" w14:cap="flat" w14:cmpd="sng">
                  <w14:solidFill>
                    <w14:srgbClr w14:val="000000"/>
                  </w14:solidFill>
                  <w14:prstDash w14:val="solid"/>
                  <w14:miter w14:val="0"/>
                </w14:textOutline>
              </w:rPr>
              <w:t>】</w:t>
            </w:r>
          </w:p>
        </w:tc>
      </w:tr>
      <w:tr w14:paraId="1FB40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8" w:type="dxa"/>
          <w:trHeight w:val="890" w:hRule="atLeast"/>
        </w:trPr>
        <w:tc>
          <w:tcPr>
            <w:tcW w:w="1280" w:type="dxa"/>
            <w:vMerge w:val="continue"/>
            <w:tcBorders>
              <w:top w:val="nil"/>
            </w:tcBorders>
            <w:vAlign w:val="top"/>
          </w:tcPr>
          <w:p w14:paraId="1F0374CB">
            <w:pPr>
              <w:rPr>
                <w:rFonts w:ascii="Arial"/>
                <w:color w:val="auto"/>
                <w:sz w:val="21"/>
              </w:rPr>
            </w:pPr>
          </w:p>
        </w:tc>
        <w:tc>
          <w:tcPr>
            <w:tcW w:w="1167" w:type="dxa"/>
            <w:gridSpan w:val="2"/>
            <w:vAlign w:val="top"/>
          </w:tcPr>
          <w:p w14:paraId="6B24E2F1">
            <w:pPr>
              <w:spacing w:line="345" w:lineRule="auto"/>
              <w:rPr>
                <w:rFonts w:ascii="Arial"/>
                <w:color w:val="auto"/>
                <w:sz w:val="21"/>
              </w:rPr>
            </w:pPr>
          </w:p>
          <w:p w14:paraId="69AFDA8D">
            <w:pPr>
              <w:spacing w:before="68" w:line="221" w:lineRule="auto"/>
              <w:ind w:left="123"/>
              <w:rPr>
                <w:rFonts w:ascii="宋体" w:hAnsi="宋体" w:eastAsia="宋体" w:cs="宋体"/>
                <w:color w:val="auto"/>
                <w:sz w:val="21"/>
                <w:szCs w:val="21"/>
              </w:rPr>
            </w:pPr>
            <w:r>
              <w:rPr>
                <w:rFonts w:ascii="宋体" w:hAnsi="宋体" w:eastAsia="宋体" w:cs="宋体"/>
                <w:color w:val="auto"/>
                <w:spacing w:val="-1"/>
                <w:sz w:val="21"/>
                <w:szCs w:val="21"/>
                <w14:textOutline w14:w="3831" w14:cap="flat" w14:cmpd="sng">
                  <w14:solidFill>
                    <w14:srgbClr w14:val="000000"/>
                  </w14:solidFill>
                  <w14:prstDash w14:val="solid"/>
                  <w14:miter w14:val="0"/>
                </w14:textOutline>
              </w:rPr>
              <w:t>评分因素</w:t>
            </w:r>
          </w:p>
        </w:tc>
        <w:tc>
          <w:tcPr>
            <w:tcW w:w="1166" w:type="dxa"/>
            <w:gridSpan w:val="2"/>
            <w:vAlign w:val="top"/>
          </w:tcPr>
          <w:p w14:paraId="3849ECEF">
            <w:pPr>
              <w:spacing w:before="195" w:line="441" w:lineRule="exact"/>
              <w:ind w:left="57"/>
              <w:rPr>
                <w:rFonts w:ascii="宋体" w:hAnsi="宋体" w:eastAsia="宋体" w:cs="宋体"/>
                <w:color w:val="auto"/>
                <w:sz w:val="21"/>
                <w:szCs w:val="21"/>
              </w:rPr>
            </w:pPr>
            <w:r>
              <w:rPr>
                <w:rFonts w:ascii="宋体" w:hAnsi="宋体" w:eastAsia="宋体" w:cs="宋体"/>
                <w:color w:val="auto"/>
                <w:spacing w:val="-1"/>
                <w:position w:val="17"/>
                <w:sz w:val="21"/>
                <w:szCs w:val="21"/>
                <w14:textOutline w14:w="3831" w14:cap="flat" w14:cmpd="sng">
                  <w14:solidFill>
                    <w14:srgbClr w14:val="000000"/>
                  </w14:solidFill>
                  <w14:prstDash w14:val="solid"/>
                  <w14:miter w14:val="0"/>
                </w14:textOutline>
              </w:rPr>
              <w:t>评分因素权</w:t>
            </w:r>
          </w:p>
          <w:p w14:paraId="1C80C777">
            <w:pPr>
              <w:spacing w:line="213" w:lineRule="auto"/>
              <w:ind w:left="270"/>
              <w:rPr>
                <w:rFonts w:ascii="宋体" w:hAnsi="宋体" w:eastAsia="宋体" w:cs="宋体"/>
                <w:color w:val="auto"/>
                <w:sz w:val="21"/>
                <w:szCs w:val="21"/>
              </w:rPr>
            </w:pPr>
            <w:r>
              <w:rPr>
                <w:rFonts w:ascii="宋体" w:hAnsi="宋体" w:eastAsia="宋体" w:cs="宋体"/>
                <w:color w:val="auto"/>
                <w:spacing w:val="-2"/>
                <w:sz w:val="21"/>
                <w:szCs w:val="21"/>
                <w14:textOutline w14:w="3831" w14:cap="flat" w14:cmpd="sng">
                  <w14:solidFill>
                    <w14:srgbClr w14:val="000000"/>
                  </w14:solidFill>
                  <w14:prstDash w14:val="solid"/>
                  <w14:miter w14:val="0"/>
                </w14:textOutline>
              </w:rPr>
              <w:t>重分值</w:t>
            </w:r>
          </w:p>
        </w:tc>
        <w:tc>
          <w:tcPr>
            <w:tcW w:w="1713" w:type="dxa"/>
            <w:vAlign w:val="top"/>
          </w:tcPr>
          <w:p w14:paraId="268B2C2B">
            <w:pPr>
              <w:spacing w:before="195" w:line="441" w:lineRule="exact"/>
              <w:ind w:left="128"/>
              <w:rPr>
                <w:rFonts w:ascii="宋体" w:hAnsi="宋体" w:eastAsia="宋体" w:cs="宋体"/>
                <w:color w:val="auto"/>
                <w:sz w:val="21"/>
                <w:szCs w:val="21"/>
              </w:rPr>
            </w:pPr>
            <w:r>
              <w:rPr>
                <w:rFonts w:ascii="宋体" w:hAnsi="宋体" w:eastAsia="宋体" w:cs="宋体"/>
                <w:color w:val="auto"/>
                <w:spacing w:val="-1"/>
                <w:position w:val="17"/>
                <w:sz w:val="21"/>
                <w:szCs w:val="21"/>
                <w14:textOutline w14:w="3831" w14:cap="flat" w14:cmpd="sng">
                  <w14:solidFill>
                    <w14:srgbClr w14:val="000000"/>
                  </w14:solidFill>
                  <w14:prstDash w14:val="solid"/>
                  <w14:miter w14:val="0"/>
                </w14:textOutline>
              </w:rPr>
              <w:t>各评分因素细分</w:t>
            </w:r>
          </w:p>
          <w:p w14:paraId="68ABDAAA">
            <w:pPr>
              <w:spacing w:line="213" w:lineRule="auto"/>
              <w:ind w:left="763"/>
              <w:rPr>
                <w:rFonts w:ascii="宋体" w:hAnsi="宋体" w:eastAsia="宋体" w:cs="宋体"/>
                <w:color w:val="auto"/>
                <w:sz w:val="21"/>
                <w:szCs w:val="21"/>
              </w:rPr>
            </w:pPr>
            <w:r>
              <w:rPr>
                <w:rFonts w:ascii="宋体" w:hAnsi="宋体" w:eastAsia="宋体" w:cs="宋体"/>
                <w:color w:val="auto"/>
                <w:sz w:val="21"/>
                <w:szCs w:val="21"/>
                <w14:textOutline w14:w="3831" w14:cap="flat" w14:cmpd="sng">
                  <w14:solidFill>
                    <w14:srgbClr w14:val="000000"/>
                  </w14:solidFill>
                  <w14:prstDash w14:val="solid"/>
                  <w14:miter w14:val="0"/>
                </w14:textOutline>
              </w:rPr>
              <w:t>项</w:t>
            </w:r>
          </w:p>
        </w:tc>
        <w:tc>
          <w:tcPr>
            <w:tcW w:w="825" w:type="dxa"/>
            <w:vAlign w:val="top"/>
          </w:tcPr>
          <w:p w14:paraId="7C3614F0">
            <w:pPr>
              <w:spacing w:line="345" w:lineRule="auto"/>
              <w:rPr>
                <w:rFonts w:ascii="Arial"/>
                <w:color w:val="auto"/>
                <w:sz w:val="21"/>
              </w:rPr>
            </w:pPr>
          </w:p>
          <w:p w14:paraId="46B29937">
            <w:pPr>
              <w:spacing w:before="68" w:line="221" w:lineRule="auto"/>
              <w:jc w:val="center"/>
              <w:rPr>
                <w:rFonts w:ascii="宋体" w:hAnsi="宋体" w:eastAsia="宋体" w:cs="宋体"/>
                <w:color w:val="auto"/>
                <w:sz w:val="21"/>
                <w:szCs w:val="21"/>
              </w:rPr>
            </w:pPr>
            <w:r>
              <w:rPr>
                <w:rFonts w:ascii="宋体" w:hAnsi="宋体" w:eastAsia="宋体" w:cs="宋体"/>
                <w:color w:val="auto"/>
                <w:spacing w:val="-3"/>
                <w:sz w:val="21"/>
                <w:szCs w:val="21"/>
                <w14:textOutline w14:w="3831" w14:cap="flat" w14:cmpd="sng">
                  <w14:solidFill>
                    <w14:srgbClr w14:val="000000"/>
                  </w14:solidFill>
                  <w14:prstDash w14:val="solid"/>
                  <w14:miter w14:val="0"/>
                </w14:textOutline>
              </w:rPr>
              <w:t>分值</w:t>
            </w:r>
          </w:p>
        </w:tc>
        <w:tc>
          <w:tcPr>
            <w:tcW w:w="2751" w:type="dxa"/>
            <w:vMerge w:val="continue"/>
            <w:tcBorders>
              <w:top w:val="nil"/>
            </w:tcBorders>
            <w:vAlign w:val="top"/>
          </w:tcPr>
          <w:p w14:paraId="6774430D">
            <w:pPr>
              <w:rPr>
                <w:rFonts w:ascii="Arial"/>
                <w:color w:val="auto"/>
                <w:sz w:val="21"/>
              </w:rPr>
            </w:pPr>
          </w:p>
        </w:tc>
      </w:tr>
      <w:tr w14:paraId="754A8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1280" w:type="dxa"/>
            <w:vMerge w:val="restart"/>
            <w:tcBorders>
              <w:bottom w:val="nil"/>
            </w:tcBorders>
            <w:vAlign w:val="top"/>
          </w:tcPr>
          <w:p w14:paraId="45B81D94">
            <w:pPr>
              <w:spacing w:line="253" w:lineRule="auto"/>
              <w:rPr>
                <w:rFonts w:ascii="Arial"/>
                <w:color w:val="auto"/>
                <w:sz w:val="21"/>
              </w:rPr>
            </w:pPr>
          </w:p>
          <w:p w14:paraId="2B9A598A">
            <w:pPr>
              <w:spacing w:line="253" w:lineRule="auto"/>
              <w:rPr>
                <w:rFonts w:ascii="Arial"/>
                <w:color w:val="auto"/>
                <w:sz w:val="21"/>
              </w:rPr>
            </w:pPr>
          </w:p>
          <w:p w14:paraId="27923574">
            <w:pPr>
              <w:spacing w:line="253" w:lineRule="auto"/>
              <w:rPr>
                <w:rFonts w:ascii="Arial"/>
                <w:color w:val="auto"/>
                <w:sz w:val="21"/>
              </w:rPr>
            </w:pPr>
          </w:p>
          <w:p w14:paraId="248201BD">
            <w:pPr>
              <w:spacing w:line="253" w:lineRule="auto"/>
              <w:rPr>
                <w:rFonts w:ascii="Arial"/>
                <w:color w:val="auto"/>
                <w:sz w:val="21"/>
              </w:rPr>
            </w:pPr>
          </w:p>
          <w:p w14:paraId="5AEF939B">
            <w:pPr>
              <w:spacing w:line="253" w:lineRule="auto"/>
              <w:rPr>
                <w:rFonts w:ascii="Arial"/>
                <w:color w:val="auto"/>
                <w:sz w:val="21"/>
              </w:rPr>
            </w:pPr>
          </w:p>
          <w:p w14:paraId="535BC0D1">
            <w:pPr>
              <w:spacing w:line="253" w:lineRule="auto"/>
              <w:rPr>
                <w:rFonts w:ascii="Arial"/>
                <w:color w:val="auto"/>
                <w:sz w:val="21"/>
              </w:rPr>
            </w:pPr>
          </w:p>
          <w:p w14:paraId="7931E20A">
            <w:pPr>
              <w:spacing w:line="253" w:lineRule="auto"/>
              <w:rPr>
                <w:rFonts w:ascii="Arial"/>
                <w:color w:val="auto"/>
                <w:sz w:val="21"/>
              </w:rPr>
            </w:pPr>
          </w:p>
          <w:p w14:paraId="18DADBB8">
            <w:pPr>
              <w:spacing w:line="253" w:lineRule="auto"/>
              <w:rPr>
                <w:rFonts w:ascii="Arial"/>
                <w:color w:val="auto"/>
                <w:sz w:val="21"/>
              </w:rPr>
            </w:pPr>
          </w:p>
          <w:p w14:paraId="242F5B89">
            <w:pPr>
              <w:spacing w:line="253" w:lineRule="auto"/>
              <w:rPr>
                <w:rFonts w:ascii="Arial"/>
                <w:color w:val="auto"/>
                <w:sz w:val="21"/>
              </w:rPr>
            </w:pPr>
          </w:p>
          <w:p w14:paraId="58143F63">
            <w:pPr>
              <w:spacing w:line="253" w:lineRule="auto"/>
              <w:rPr>
                <w:rFonts w:ascii="Arial"/>
                <w:color w:val="auto"/>
                <w:sz w:val="21"/>
              </w:rPr>
            </w:pPr>
          </w:p>
          <w:p w14:paraId="4BB2B35A">
            <w:pPr>
              <w:spacing w:line="253" w:lineRule="auto"/>
              <w:rPr>
                <w:rFonts w:ascii="Arial"/>
                <w:color w:val="auto"/>
                <w:sz w:val="21"/>
              </w:rPr>
            </w:pPr>
          </w:p>
          <w:p w14:paraId="7DDBF53C">
            <w:pPr>
              <w:spacing w:line="254" w:lineRule="auto"/>
              <w:rPr>
                <w:rFonts w:ascii="Arial"/>
                <w:color w:val="auto"/>
                <w:sz w:val="21"/>
              </w:rPr>
            </w:pPr>
          </w:p>
          <w:p w14:paraId="7612F509">
            <w:pPr>
              <w:spacing w:line="254" w:lineRule="auto"/>
              <w:rPr>
                <w:rFonts w:ascii="Arial"/>
                <w:color w:val="auto"/>
                <w:sz w:val="21"/>
              </w:rPr>
            </w:pPr>
          </w:p>
          <w:p w14:paraId="7B644D11">
            <w:pPr>
              <w:spacing w:before="68" w:line="223" w:lineRule="auto"/>
              <w:ind w:left="130"/>
              <w:rPr>
                <w:rFonts w:ascii="宋体" w:hAnsi="宋体" w:eastAsia="宋体" w:cs="宋体"/>
                <w:color w:val="auto"/>
                <w:sz w:val="21"/>
                <w:szCs w:val="21"/>
              </w:rPr>
            </w:pPr>
            <w:r>
              <w:rPr>
                <w:rFonts w:ascii="宋体" w:hAnsi="宋体" w:eastAsia="宋体" w:cs="宋体"/>
                <w:color w:val="auto"/>
                <w:spacing w:val="-2"/>
                <w:sz w:val="21"/>
                <w:szCs w:val="21"/>
              </w:rPr>
              <w:t>2.2.4(</w:t>
            </w:r>
            <w:r>
              <w:rPr>
                <w:rFonts w:ascii="宋体" w:hAnsi="宋体" w:eastAsia="宋体" w:cs="宋体"/>
                <w:color w:val="auto"/>
                <w:spacing w:val="-6"/>
                <w:sz w:val="21"/>
                <w:szCs w:val="21"/>
              </w:rPr>
              <w:t>1)</w:t>
            </w:r>
          </w:p>
        </w:tc>
        <w:tc>
          <w:tcPr>
            <w:tcW w:w="1167" w:type="dxa"/>
            <w:gridSpan w:val="2"/>
            <w:vMerge w:val="restart"/>
            <w:tcBorders>
              <w:bottom w:val="nil"/>
            </w:tcBorders>
            <w:vAlign w:val="top"/>
          </w:tcPr>
          <w:p w14:paraId="2783B2E3">
            <w:pPr>
              <w:spacing w:line="245" w:lineRule="auto"/>
              <w:rPr>
                <w:rFonts w:ascii="Arial"/>
                <w:color w:val="auto"/>
                <w:sz w:val="21"/>
              </w:rPr>
            </w:pPr>
          </w:p>
          <w:p w14:paraId="1D527040">
            <w:pPr>
              <w:spacing w:line="245" w:lineRule="auto"/>
              <w:rPr>
                <w:rFonts w:ascii="Arial"/>
                <w:color w:val="auto"/>
                <w:sz w:val="21"/>
              </w:rPr>
            </w:pPr>
          </w:p>
          <w:p w14:paraId="163DA6A4">
            <w:pPr>
              <w:spacing w:line="245" w:lineRule="auto"/>
              <w:rPr>
                <w:rFonts w:ascii="Arial"/>
                <w:color w:val="auto"/>
                <w:sz w:val="21"/>
              </w:rPr>
            </w:pPr>
          </w:p>
          <w:p w14:paraId="20C3736D">
            <w:pPr>
              <w:spacing w:line="245" w:lineRule="auto"/>
              <w:rPr>
                <w:rFonts w:ascii="Arial"/>
                <w:color w:val="auto"/>
                <w:sz w:val="21"/>
              </w:rPr>
            </w:pPr>
          </w:p>
          <w:p w14:paraId="70350ADF">
            <w:pPr>
              <w:spacing w:line="245" w:lineRule="auto"/>
              <w:rPr>
                <w:rFonts w:ascii="Arial"/>
                <w:color w:val="auto"/>
                <w:sz w:val="21"/>
              </w:rPr>
            </w:pPr>
          </w:p>
          <w:p w14:paraId="66CEBDD0">
            <w:pPr>
              <w:spacing w:line="245" w:lineRule="auto"/>
              <w:rPr>
                <w:rFonts w:ascii="Arial"/>
                <w:color w:val="auto"/>
                <w:sz w:val="21"/>
              </w:rPr>
            </w:pPr>
          </w:p>
          <w:p w14:paraId="71229490">
            <w:pPr>
              <w:spacing w:line="245" w:lineRule="auto"/>
              <w:rPr>
                <w:rFonts w:ascii="Arial"/>
                <w:color w:val="auto"/>
                <w:sz w:val="21"/>
              </w:rPr>
            </w:pPr>
          </w:p>
          <w:p w14:paraId="5783A7E5">
            <w:pPr>
              <w:spacing w:line="246" w:lineRule="auto"/>
              <w:rPr>
                <w:rFonts w:ascii="Arial"/>
                <w:color w:val="auto"/>
                <w:sz w:val="21"/>
              </w:rPr>
            </w:pPr>
          </w:p>
          <w:p w14:paraId="41761D75">
            <w:pPr>
              <w:spacing w:line="246" w:lineRule="auto"/>
              <w:rPr>
                <w:rFonts w:ascii="Arial"/>
                <w:color w:val="auto"/>
                <w:sz w:val="21"/>
              </w:rPr>
            </w:pPr>
          </w:p>
          <w:p w14:paraId="408837CE">
            <w:pPr>
              <w:spacing w:line="246" w:lineRule="auto"/>
              <w:rPr>
                <w:rFonts w:ascii="Arial"/>
                <w:color w:val="auto"/>
                <w:sz w:val="21"/>
              </w:rPr>
            </w:pPr>
          </w:p>
          <w:p w14:paraId="1D82D852">
            <w:pPr>
              <w:spacing w:line="246" w:lineRule="auto"/>
              <w:rPr>
                <w:rFonts w:ascii="Arial"/>
                <w:color w:val="auto"/>
                <w:sz w:val="21"/>
              </w:rPr>
            </w:pPr>
          </w:p>
          <w:p w14:paraId="62C54375">
            <w:pPr>
              <w:spacing w:line="246" w:lineRule="auto"/>
              <w:rPr>
                <w:rFonts w:ascii="Arial"/>
                <w:color w:val="auto"/>
                <w:sz w:val="21"/>
              </w:rPr>
            </w:pPr>
          </w:p>
          <w:p w14:paraId="54972765">
            <w:pPr>
              <w:spacing w:line="246" w:lineRule="auto"/>
              <w:rPr>
                <w:rFonts w:ascii="Arial"/>
                <w:color w:val="auto"/>
                <w:sz w:val="21"/>
              </w:rPr>
            </w:pPr>
          </w:p>
          <w:p w14:paraId="5600A8F8">
            <w:pPr>
              <w:spacing w:line="246" w:lineRule="auto"/>
              <w:rPr>
                <w:rFonts w:ascii="Arial"/>
                <w:color w:val="auto"/>
                <w:sz w:val="21"/>
              </w:rPr>
            </w:pPr>
          </w:p>
          <w:p w14:paraId="3D737BCF">
            <w:pPr>
              <w:spacing w:before="68" w:line="220" w:lineRule="auto"/>
              <w:rPr>
                <w:rFonts w:ascii="宋体" w:hAnsi="宋体" w:eastAsia="宋体" w:cs="宋体"/>
                <w:color w:val="auto"/>
                <w:sz w:val="21"/>
                <w:szCs w:val="21"/>
              </w:rPr>
            </w:pPr>
            <w:r>
              <w:rPr>
                <w:rFonts w:ascii="宋体" w:hAnsi="宋体" w:eastAsia="宋体" w:cs="宋体"/>
                <w:color w:val="auto"/>
                <w:spacing w:val="-1"/>
                <w:sz w:val="21"/>
                <w:szCs w:val="21"/>
              </w:rPr>
              <w:t>技术建议书</w:t>
            </w:r>
          </w:p>
        </w:tc>
        <w:tc>
          <w:tcPr>
            <w:tcW w:w="1166" w:type="dxa"/>
            <w:gridSpan w:val="2"/>
            <w:vMerge w:val="restart"/>
            <w:tcBorders>
              <w:bottom w:val="nil"/>
            </w:tcBorders>
            <w:vAlign w:val="top"/>
          </w:tcPr>
          <w:p w14:paraId="358C5E27">
            <w:pPr>
              <w:spacing w:line="245" w:lineRule="auto"/>
              <w:rPr>
                <w:rFonts w:ascii="Arial"/>
                <w:color w:val="auto"/>
                <w:sz w:val="21"/>
              </w:rPr>
            </w:pPr>
          </w:p>
          <w:p w14:paraId="7E20E064">
            <w:pPr>
              <w:spacing w:line="245" w:lineRule="auto"/>
              <w:rPr>
                <w:rFonts w:ascii="Arial"/>
                <w:color w:val="auto"/>
                <w:sz w:val="21"/>
              </w:rPr>
            </w:pPr>
          </w:p>
          <w:p w14:paraId="162EB392">
            <w:pPr>
              <w:spacing w:line="245" w:lineRule="auto"/>
              <w:rPr>
                <w:rFonts w:ascii="Arial"/>
                <w:color w:val="auto"/>
                <w:sz w:val="21"/>
              </w:rPr>
            </w:pPr>
          </w:p>
          <w:p w14:paraId="41193EC0">
            <w:pPr>
              <w:spacing w:line="245" w:lineRule="auto"/>
              <w:rPr>
                <w:rFonts w:ascii="Arial"/>
                <w:color w:val="auto"/>
                <w:sz w:val="21"/>
              </w:rPr>
            </w:pPr>
          </w:p>
          <w:p w14:paraId="27E2BD2B">
            <w:pPr>
              <w:spacing w:line="245" w:lineRule="auto"/>
              <w:rPr>
                <w:rFonts w:ascii="Arial"/>
                <w:color w:val="auto"/>
                <w:sz w:val="21"/>
              </w:rPr>
            </w:pPr>
          </w:p>
          <w:p w14:paraId="65850B96">
            <w:pPr>
              <w:spacing w:line="245" w:lineRule="auto"/>
              <w:rPr>
                <w:rFonts w:ascii="Arial"/>
                <w:color w:val="auto"/>
                <w:sz w:val="21"/>
              </w:rPr>
            </w:pPr>
          </w:p>
          <w:p w14:paraId="49F8FD05">
            <w:pPr>
              <w:spacing w:line="245" w:lineRule="auto"/>
              <w:rPr>
                <w:rFonts w:ascii="Arial"/>
                <w:color w:val="auto"/>
                <w:sz w:val="21"/>
              </w:rPr>
            </w:pPr>
          </w:p>
          <w:p w14:paraId="0E5F5AB6">
            <w:pPr>
              <w:spacing w:line="246" w:lineRule="auto"/>
              <w:rPr>
                <w:rFonts w:ascii="Arial"/>
                <w:color w:val="auto"/>
                <w:sz w:val="21"/>
              </w:rPr>
            </w:pPr>
          </w:p>
          <w:p w14:paraId="15A08C78">
            <w:pPr>
              <w:spacing w:line="246" w:lineRule="auto"/>
              <w:rPr>
                <w:rFonts w:ascii="Arial"/>
                <w:color w:val="auto"/>
                <w:sz w:val="21"/>
              </w:rPr>
            </w:pPr>
          </w:p>
          <w:p w14:paraId="0C17572A">
            <w:pPr>
              <w:spacing w:line="246" w:lineRule="auto"/>
              <w:rPr>
                <w:rFonts w:ascii="Arial"/>
                <w:color w:val="auto"/>
                <w:sz w:val="21"/>
              </w:rPr>
            </w:pPr>
          </w:p>
          <w:p w14:paraId="6A3CB5F4">
            <w:pPr>
              <w:spacing w:line="246" w:lineRule="auto"/>
              <w:rPr>
                <w:rFonts w:ascii="Arial"/>
                <w:color w:val="auto"/>
                <w:sz w:val="21"/>
              </w:rPr>
            </w:pPr>
          </w:p>
          <w:p w14:paraId="00B4768D">
            <w:pPr>
              <w:spacing w:line="246" w:lineRule="auto"/>
              <w:rPr>
                <w:rFonts w:ascii="Arial"/>
                <w:color w:val="auto"/>
                <w:sz w:val="21"/>
              </w:rPr>
            </w:pPr>
          </w:p>
          <w:p w14:paraId="3F49BDAC">
            <w:pPr>
              <w:spacing w:line="246" w:lineRule="auto"/>
              <w:rPr>
                <w:rFonts w:ascii="Arial"/>
                <w:color w:val="auto"/>
                <w:sz w:val="21"/>
              </w:rPr>
            </w:pPr>
          </w:p>
          <w:p w14:paraId="1462C741">
            <w:pPr>
              <w:spacing w:line="246" w:lineRule="auto"/>
              <w:rPr>
                <w:rFonts w:ascii="Arial"/>
                <w:color w:val="auto"/>
                <w:sz w:val="21"/>
              </w:rPr>
            </w:pPr>
          </w:p>
          <w:p w14:paraId="209E31CD">
            <w:pPr>
              <w:spacing w:before="69" w:line="221" w:lineRule="auto"/>
              <w:ind w:left="241"/>
              <w:rPr>
                <w:rFonts w:ascii="宋体" w:hAnsi="宋体" w:eastAsia="宋体" w:cs="宋体"/>
                <w:color w:val="auto"/>
                <w:sz w:val="21"/>
                <w:szCs w:val="21"/>
              </w:rPr>
            </w:pPr>
            <w:r>
              <w:rPr>
                <w:rFonts w:ascii="宋体" w:hAnsi="宋体" w:eastAsia="宋体" w:cs="宋体"/>
                <w:color w:val="auto"/>
                <w:spacing w:val="-2"/>
                <w:sz w:val="21"/>
                <w:szCs w:val="21"/>
              </w:rPr>
              <w:t>25.0</w:t>
            </w:r>
            <w:r>
              <w:rPr>
                <w:rFonts w:ascii="宋体" w:hAnsi="宋体" w:eastAsia="宋体" w:cs="宋体"/>
                <w:color w:val="auto"/>
                <w:spacing w:val="-41"/>
                <w:sz w:val="21"/>
                <w:szCs w:val="21"/>
              </w:rPr>
              <w:t xml:space="preserve"> </w:t>
            </w:r>
            <w:r>
              <w:rPr>
                <w:rFonts w:ascii="宋体" w:hAnsi="宋体" w:eastAsia="宋体" w:cs="宋体"/>
                <w:color w:val="auto"/>
                <w:spacing w:val="-2"/>
                <w:sz w:val="21"/>
                <w:szCs w:val="21"/>
              </w:rPr>
              <w:t>分</w:t>
            </w:r>
          </w:p>
        </w:tc>
        <w:tc>
          <w:tcPr>
            <w:tcW w:w="1713" w:type="dxa"/>
            <w:vAlign w:val="top"/>
          </w:tcPr>
          <w:p w14:paraId="35BF9EED">
            <w:pPr>
              <w:keepNext w:val="0"/>
              <w:keepLines w:val="0"/>
              <w:pageBreakBefore w:val="0"/>
              <w:widowControl/>
              <w:kinsoku w:val="0"/>
              <w:wordWrap/>
              <w:overflowPunct/>
              <w:topLinePunct w:val="0"/>
              <w:autoSpaceDE w:val="0"/>
              <w:autoSpaceDN w:val="0"/>
              <w:bidi w:val="0"/>
              <w:adjustRightInd w:val="0"/>
              <w:snapToGrid w:val="0"/>
              <w:spacing w:before="264" w:line="221" w:lineRule="auto"/>
              <w:ind w:left="210" w:leftChars="100"/>
              <w:textAlignment w:val="baseline"/>
              <w:rPr>
                <w:rFonts w:ascii="宋体" w:hAnsi="宋体" w:eastAsia="宋体" w:cs="宋体"/>
                <w:color w:val="auto"/>
                <w:sz w:val="21"/>
                <w:szCs w:val="21"/>
              </w:rPr>
            </w:pPr>
            <w:r>
              <w:rPr>
                <w:rFonts w:ascii="宋体" w:hAnsi="宋体" w:eastAsia="宋体" w:cs="宋体"/>
                <w:color w:val="auto"/>
                <w:spacing w:val="-3"/>
                <w:sz w:val="21"/>
                <w:szCs w:val="21"/>
              </w:rPr>
              <w:t>咨询服务</w:t>
            </w:r>
            <w:r>
              <w:rPr>
                <w:rFonts w:ascii="宋体" w:hAnsi="宋体" w:eastAsia="宋体" w:cs="宋体"/>
                <w:color w:val="auto"/>
                <w:spacing w:val="-9"/>
                <w:sz w:val="21"/>
                <w:szCs w:val="21"/>
              </w:rPr>
              <w:t>目标、范</w:t>
            </w:r>
            <w:r>
              <w:rPr>
                <w:rFonts w:ascii="宋体" w:hAnsi="宋体" w:eastAsia="宋体" w:cs="宋体"/>
                <w:color w:val="auto"/>
                <w:sz w:val="21"/>
                <w:szCs w:val="21"/>
              </w:rPr>
              <w:t>围</w:t>
            </w:r>
          </w:p>
        </w:tc>
        <w:tc>
          <w:tcPr>
            <w:tcW w:w="825" w:type="dxa"/>
            <w:vAlign w:val="top"/>
          </w:tcPr>
          <w:p w14:paraId="054580E6">
            <w:pPr>
              <w:spacing w:line="463" w:lineRule="auto"/>
              <w:rPr>
                <w:rFonts w:ascii="Arial"/>
                <w:color w:val="auto"/>
                <w:sz w:val="21"/>
              </w:rPr>
            </w:pPr>
          </w:p>
          <w:p w14:paraId="60256AFC">
            <w:pPr>
              <w:spacing w:before="68" w:line="221" w:lineRule="auto"/>
              <w:jc w:val="center"/>
              <w:rPr>
                <w:rFonts w:ascii="宋体" w:hAnsi="宋体" w:eastAsia="宋体" w:cs="宋体"/>
                <w:color w:val="auto"/>
                <w:sz w:val="21"/>
                <w:szCs w:val="21"/>
              </w:rPr>
            </w:pPr>
            <w:r>
              <w:rPr>
                <w:rFonts w:ascii="宋体" w:hAnsi="宋体" w:eastAsia="宋体" w:cs="宋体"/>
                <w:color w:val="auto"/>
                <w:spacing w:val="-6"/>
                <w:sz w:val="21"/>
                <w:szCs w:val="21"/>
              </w:rPr>
              <w:t>2</w:t>
            </w:r>
            <w:r>
              <w:rPr>
                <w:rFonts w:ascii="宋体" w:hAnsi="宋体" w:eastAsia="宋体" w:cs="宋体"/>
                <w:color w:val="auto"/>
                <w:spacing w:val="-41"/>
                <w:sz w:val="21"/>
                <w:szCs w:val="21"/>
              </w:rPr>
              <w:t xml:space="preserve"> </w:t>
            </w:r>
            <w:r>
              <w:rPr>
                <w:rFonts w:ascii="宋体" w:hAnsi="宋体" w:eastAsia="宋体" w:cs="宋体"/>
                <w:color w:val="auto"/>
                <w:spacing w:val="-6"/>
                <w:sz w:val="21"/>
                <w:szCs w:val="21"/>
              </w:rPr>
              <w:t>分</w:t>
            </w:r>
          </w:p>
        </w:tc>
        <w:tc>
          <w:tcPr>
            <w:tcW w:w="2799" w:type="dxa"/>
            <w:gridSpan w:val="2"/>
            <w:vAlign w:val="top"/>
          </w:tcPr>
          <w:p w14:paraId="2788A3DF">
            <w:pPr>
              <w:spacing w:before="125" w:line="220" w:lineRule="auto"/>
              <w:ind w:left="120"/>
              <w:rPr>
                <w:rFonts w:ascii="宋体" w:hAnsi="宋体" w:eastAsia="宋体" w:cs="宋体"/>
                <w:color w:val="auto"/>
                <w:sz w:val="21"/>
                <w:szCs w:val="21"/>
              </w:rPr>
            </w:pPr>
            <w:r>
              <w:rPr>
                <w:rFonts w:ascii="宋体" w:hAnsi="宋体" w:eastAsia="宋体" w:cs="宋体"/>
                <w:color w:val="auto"/>
                <w:spacing w:val="-1"/>
                <w:sz w:val="21"/>
                <w:szCs w:val="21"/>
              </w:rPr>
              <w:t>满足工程基本要求，得</w:t>
            </w:r>
            <w:r>
              <w:rPr>
                <w:rFonts w:ascii="宋体" w:hAnsi="宋体" w:eastAsia="宋体" w:cs="宋体"/>
                <w:color w:val="auto"/>
                <w:spacing w:val="-3"/>
                <w:sz w:val="21"/>
                <w:szCs w:val="21"/>
              </w:rPr>
              <w:t>1.6</w:t>
            </w:r>
            <w:r>
              <w:rPr>
                <w:rFonts w:ascii="宋体" w:hAnsi="宋体" w:eastAsia="宋体" w:cs="宋体"/>
                <w:color w:val="auto"/>
                <w:spacing w:val="-39"/>
                <w:sz w:val="21"/>
                <w:szCs w:val="21"/>
              </w:rPr>
              <w:t xml:space="preserve"> </w:t>
            </w:r>
            <w:r>
              <w:rPr>
                <w:rFonts w:ascii="宋体" w:hAnsi="宋体" w:eastAsia="宋体" w:cs="宋体"/>
                <w:color w:val="auto"/>
                <w:spacing w:val="-3"/>
                <w:sz w:val="21"/>
                <w:szCs w:val="21"/>
              </w:rPr>
              <w:t>分</w:t>
            </w:r>
            <w:r>
              <w:rPr>
                <w:rFonts w:hint="eastAsia" w:ascii="宋体" w:hAnsi="宋体" w:eastAsia="宋体" w:cs="宋体"/>
                <w:color w:val="auto"/>
                <w:spacing w:val="-3"/>
                <w:sz w:val="21"/>
                <w:szCs w:val="21"/>
                <w:lang w:eastAsia="zh-CN"/>
              </w:rPr>
              <w:t>；</w:t>
            </w:r>
            <w:r>
              <w:rPr>
                <w:rFonts w:ascii="宋体" w:hAnsi="宋体" w:eastAsia="宋体" w:cs="宋体"/>
                <w:color w:val="auto"/>
                <w:spacing w:val="-3"/>
                <w:sz w:val="21"/>
                <w:szCs w:val="21"/>
              </w:rPr>
              <w:t>切实可行且合</w:t>
            </w:r>
            <w:r>
              <w:rPr>
                <w:rFonts w:ascii="宋体" w:hAnsi="宋体" w:eastAsia="宋体" w:cs="宋体"/>
                <w:color w:val="auto"/>
                <w:spacing w:val="-22"/>
                <w:sz w:val="21"/>
                <w:szCs w:val="21"/>
              </w:rPr>
              <w:t>理科学的，酌情加分，</w:t>
            </w:r>
            <w:r>
              <w:rPr>
                <w:rFonts w:ascii="宋体" w:hAnsi="宋体" w:eastAsia="宋体" w:cs="宋体"/>
                <w:color w:val="auto"/>
                <w:spacing w:val="-5"/>
                <w:sz w:val="21"/>
                <w:szCs w:val="21"/>
              </w:rPr>
              <w:t>本项最高得</w:t>
            </w:r>
            <w:r>
              <w:rPr>
                <w:rFonts w:ascii="宋体" w:hAnsi="宋体" w:eastAsia="宋体" w:cs="宋体"/>
                <w:color w:val="auto"/>
                <w:spacing w:val="-40"/>
                <w:sz w:val="21"/>
                <w:szCs w:val="21"/>
              </w:rPr>
              <w:t xml:space="preserve"> </w:t>
            </w:r>
            <w:r>
              <w:rPr>
                <w:rFonts w:ascii="宋体" w:hAnsi="宋体" w:eastAsia="宋体" w:cs="宋体"/>
                <w:color w:val="auto"/>
                <w:spacing w:val="-5"/>
                <w:sz w:val="21"/>
                <w:szCs w:val="21"/>
              </w:rPr>
              <w:t>2</w:t>
            </w:r>
            <w:r>
              <w:rPr>
                <w:rFonts w:ascii="宋体" w:hAnsi="宋体" w:eastAsia="宋体" w:cs="宋体"/>
                <w:color w:val="auto"/>
                <w:spacing w:val="-42"/>
                <w:sz w:val="21"/>
                <w:szCs w:val="21"/>
              </w:rPr>
              <w:t xml:space="preserve"> </w:t>
            </w:r>
            <w:r>
              <w:rPr>
                <w:rFonts w:ascii="宋体" w:hAnsi="宋体" w:eastAsia="宋体" w:cs="宋体"/>
                <w:color w:val="auto"/>
                <w:spacing w:val="-5"/>
                <w:sz w:val="21"/>
                <w:szCs w:val="21"/>
              </w:rPr>
              <w:t>分。</w:t>
            </w:r>
          </w:p>
        </w:tc>
      </w:tr>
      <w:tr w14:paraId="2D71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1280" w:type="dxa"/>
            <w:vMerge w:val="continue"/>
            <w:tcBorders>
              <w:top w:val="nil"/>
              <w:bottom w:val="nil"/>
            </w:tcBorders>
            <w:vAlign w:val="top"/>
          </w:tcPr>
          <w:p w14:paraId="56D6753A">
            <w:pPr>
              <w:rPr>
                <w:rFonts w:ascii="Arial"/>
                <w:color w:val="auto"/>
                <w:sz w:val="21"/>
              </w:rPr>
            </w:pPr>
          </w:p>
        </w:tc>
        <w:tc>
          <w:tcPr>
            <w:tcW w:w="1167" w:type="dxa"/>
            <w:gridSpan w:val="2"/>
            <w:vMerge w:val="continue"/>
            <w:tcBorders>
              <w:top w:val="nil"/>
              <w:bottom w:val="nil"/>
            </w:tcBorders>
            <w:vAlign w:val="top"/>
          </w:tcPr>
          <w:p w14:paraId="168BAF67">
            <w:pPr>
              <w:rPr>
                <w:rFonts w:ascii="Arial"/>
                <w:color w:val="auto"/>
                <w:sz w:val="21"/>
              </w:rPr>
            </w:pPr>
          </w:p>
        </w:tc>
        <w:tc>
          <w:tcPr>
            <w:tcW w:w="1166" w:type="dxa"/>
            <w:gridSpan w:val="2"/>
            <w:vMerge w:val="continue"/>
            <w:tcBorders>
              <w:top w:val="nil"/>
              <w:bottom w:val="nil"/>
            </w:tcBorders>
            <w:vAlign w:val="top"/>
          </w:tcPr>
          <w:p w14:paraId="618E044B">
            <w:pPr>
              <w:rPr>
                <w:rFonts w:ascii="Arial"/>
                <w:color w:val="auto"/>
                <w:sz w:val="21"/>
              </w:rPr>
            </w:pPr>
          </w:p>
        </w:tc>
        <w:tc>
          <w:tcPr>
            <w:tcW w:w="1713" w:type="dxa"/>
            <w:vAlign w:val="top"/>
          </w:tcPr>
          <w:p w14:paraId="0C5BB426">
            <w:pPr>
              <w:keepNext w:val="0"/>
              <w:keepLines w:val="0"/>
              <w:pageBreakBefore w:val="0"/>
              <w:widowControl/>
              <w:kinsoku w:val="0"/>
              <w:wordWrap/>
              <w:overflowPunct/>
              <w:topLinePunct w:val="0"/>
              <w:autoSpaceDE w:val="0"/>
              <w:autoSpaceDN w:val="0"/>
              <w:bidi w:val="0"/>
              <w:adjustRightInd w:val="0"/>
              <w:snapToGrid w:val="0"/>
              <w:spacing w:line="326" w:lineRule="auto"/>
              <w:ind w:left="210" w:leftChars="100"/>
              <w:textAlignment w:val="baseline"/>
              <w:rPr>
                <w:rFonts w:ascii="Arial"/>
                <w:color w:val="auto"/>
                <w:sz w:val="21"/>
              </w:rPr>
            </w:pPr>
          </w:p>
          <w:p w14:paraId="488BC7CC">
            <w:pPr>
              <w:keepNext w:val="0"/>
              <w:keepLines w:val="0"/>
              <w:pageBreakBefore w:val="0"/>
              <w:widowControl/>
              <w:kinsoku w:val="0"/>
              <w:wordWrap/>
              <w:overflowPunct/>
              <w:topLinePunct w:val="0"/>
              <w:autoSpaceDE w:val="0"/>
              <w:autoSpaceDN w:val="0"/>
              <w:bidi w:val="0"/>
              <w:adjustRightInd w:val="0"/>
              <w:snapToGrid w:val="0"/>
              <w:spacing w:before="69" w:line="229" w:lineRule="auto"/>
              <w:ind w:left="308" w:leftChars="100" w:right="147" w:hanging="98"/>
              <w:textAlignment w:val="baseline"/>
              <w:rPr>
                <w:rFonts w:ascii="宋体" w:hAnsi="宋体" w:eastAsia="宋体" w:cs="宋体"/>
                <w:color w:val="auto"/>
                <w:sz w:val="21"/>
                <w:szCs w:val="21"/>
              </w:rPr>
            </w:pPr>
            <w:r>
              <w:rPr>
                <w:rFonts w:ascii="宋体" w:hAnsi="宋体" w:eastAsia="宋体" w:cs="宋体"/>
                <w:color w:val="auto"/>
                <w:spacing w:val="-3"/>
                <w:sz w:val="21"/>
                <w:szCs w:val="21"/>
              </w:rPr>
              <w:t>咨询方案</w:t>
            </w:r>
            <w:r>
              <w:rPr>
                <w:rFonts w:ascii="宋体" w:hAnsi="宋体" w:eastAsia="宋体" w:cs="宋体"/>
                <w:color w:val="auto"/>
                <w:spacing w:val="-2"/>
                <w:sz w:val="21"/>
                <w:szCs w:val="21"/>
              </w:rPr>
              <w:t>和措施</w:t>
            </w:r>
          </w:p>
        </w:tc>
        <w:tc>
          <w:tcPr>
            <w:tcW w:w="825" w:type="dxa"/>
            <w:vAlign w:val="top"/>
          </w:tcPr>
          <w:p w14:paraId="37A4AA82">
            <w:pPr>
              <w:spacing w:line="461" w:lineRule="auto"/>
              <w:rPr>
                <w:rFonts w:ascii="Arial"/>
                <w:color w:val="auto"/>
                <w:sz w:val="21"/>
              </w:rPr>
            </w:pPr>
          </w:p>
          <w:p w14:paraId="1D72B01B">
            <w:pPr>
              <w:spacing w:before="68" w:line="221" w:lineRule="auto"/>
              <w:jc w:val="center"/>
              <w:rPr>
                <w:rFonts w:ascii="宋体" w:hAnsi="宋体" w:eastAsia="宋体" w:cs="宋体"/>
                <w:color w:val="auto"/>
                <w:sz w:val="21"/>
                <w:szCs w:val="21"/>
              </w:rPr>
            </w:pPr>
            <w:r>
              <w:rPr>
                <w:rFonts w:ascii="宋体" w:hAnsi="宋体" w:eastAsia="宋体" w:cs="宋体"/>
                <w:color w:val="auto"/>
                <w:spacing w:val="-5"/>
                <w:sz w:val="21"/>
                <w:szCs w:val="21"/>
              </w:rPr>
              <w:t>8</w:t>
            </w:r>
            <w:r>
              <w:rPr>
                <w:rFonts w:ascii="宋体" w:hAnsi="宋体" w:eastAsia="宋体" w:cs="宋体"/>
                <w:color w:val="auto"/>
                <w:spacing w:val="-41"/>
                <w:sz w:val="21"/>
                <w:szCs w:val="21"/>
              </w:rPr>
              <w:t xml:space="preserve"> </w:t>
            </w:r>
            <w:r>
              <w:rPr>
                <w:rFonts w:ascii="宋体" w:hAnsi="宋体" w:eastAsia="宋体" w:cs="宋体"/>
                <w:color w:val="auto"/>
                <w:spacing w:val="-5"/>
                <w:sz w:val="21"/>
                <w:szCs w:val="21"/>
              </w:rPr>
              <w:t>分</w:t>
            </w:r>
          </w:p>
        </w:tc>
        <w:tc>
          <w:tcPr>
            <w:tcW w:w="2799" w:type="dxa"/>
            <w:gridSpan w:val="2"/>
            <w:vAlign w:val="top"/>
          </w:tcPr>
          <w:p w14:paraId="7FEBEF82">
            <w:pPr>
              <w:spacing w:before="123" w:line="220" w:lineRule="auto"/>
              <w:ind w:left="120"/>
              <w:rPr>
                <w:rFonts w:ascii="宋体" w:hAnsi="宋体" w:eastAsia="宋体" w:cs="宋体"/>
                <w:color w:val="auto"/>
                <w:sz w:val="21"/>
                <w:szCs w:val="21"/>
              </w:rPr>
            </w:pPr>
            <w:r>
              <w:rPr>
                <w:rFonts w:ascii="宋体" w:hAnsi="宋体" w:eastAsia="宋体" w:cs="宋体"/>
                <w:color w:val="auto"/>
                <w:spacing w:val="-1"/>
                <w:sz w:val="21"/>
                <w:szCs w:val="21"/>
              </w:rPr>
              <w:t>满足工程基本要求，得</w:t>
            </w:r>
            <w:r>
              <w:rPr>
                <w:rFonts w:ascii="宋体" w:hAnsi="宋体" w:eastAsia="宋体" w:cs="宋体"/>
                <w:color w:val="auto"/>
                <w:spacing w:val="-2"/>
                <w:sz w:val="21"/>
                <w:szCs w:val="21"/>
              </w:rPr>
              <w:t>6.4</w:t>
            </w:r>
            <w:r>
              <w:rPr>
                <w:rFonts w:ascii="宋体" w:hAnsi="宋体" w:eastAsia="宋体" w:cs="宋体"/>
                <w:color w:val="auto"/>
                <w:spacing w:val="-36"/>
                <w:sz w:val="21"/>
                <w:szCs w:val="21"/>
              </w:rPr>
              <w:t xml:space="preserve"> </w:t>
            </w:r>
            <w:r>
              <w:rPr>
                <w:rFonts w:ascii="宋体" w:hAnsi="宋体" w:eastAsia="宋体" w:cs="宋体"/>
                <w:color w:val="auto"/>
                <w:spacing w:val="-2"/>
                <w:sz w:val="21"/>
                <w:szCs w:val="21"/>
              </w:rPr>
              <w:t>分；切实可行且合</w:t>
            </w:r>
            <w:r>
              <w:rPr>
                <w:rFonts w:ascii="宋体" w:hAnsi="宋体" w:eastAsia="宋体" w:cs="宋体"/>
                <w:color w:val="auto"/>
                <w:spacing w:val="-22"/>
                <w:sz w:val="21"/>
                <w:szCs w:val="21"/>
              </w:rPr>
              <w:t>理科学的，酌情加分，</w:t>
            </w:r>
            <w:r>
              <w:rPr>
                <w:rFonts w:ascii="宋体" w:hAnsi="宋体" w:eastAsia="宋体" w:cs="宋体"/>
                <w:color w:val="auto"/>
                <w:spacing w:val="-4"/>
                <w:sz w:val="21"/>
                <w:szCs w:val="21"/>
              </w:rPr>
              <w:t>本项最高得</w:t>
            </w:r>
            <w:r>
              <w:rPr>
                <w:rFonts w:ascii="宋体" w:hAnsi="宋体" w:eastAsia="宋体" w:cs="宋体"/>
                <w:color w:val="auto"/>
                <w:spacing w:val="-48"/>
                <w:sz w:val="21"/>
                <w:szCs w:val="21"/>
              </w:rPr>
              <w:t xml:space="preserve"> </w:t>
            </w:r>
            <w:r>
              <w:rPr>
                <w:rFonts w:ascii="宋体" w:hAnsi="宋体" w:eastAsia="宋体" w:cs="宋体"/>
                <w:color w:val="auto"/>
                <w:spacing w:val="-4"/>
                <w:sz w:val="21"/>
                <w:szCs w:val="21"/>
              </w:rPr>
              <w:t>8</w:t>
            </w:r>
            <w:r>
              <w:rPr>
                <w:rFonts w:ascii="宋体" w:hAnsi="宋体" w:eastAsia="宋体" w:cs="宋体"/>
                <w:color w:val="auto"/>
                <w:spacing w:val="-42"/>
                <w:sz w:val="21"/>
                <w:szCs w:val="21"/>
              </w:rPr>
              <w:t xml:space="preserve"> </w:t>
            </w:r>
            <w:r>
              <w:rPr>
                <w:rFonts w:ascii="宋体" w:hAnsi="宋体" w:eastAsia="宋体" w:cs="宋体"/>
                <w:color w:val="auto"/>
                <w:spacing w:val="-4"/>
                <w:sz w:val="21"/>
                <w:szCs w:val="21"/>
              </w:rPr>
              <w:t>分。</w:t>
            </w:r>
          </w:p>
        </w:tc>
      </w:tr>
      <w:tr w14:paraId="127E0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1280" w:type="dxa"/>
            <w:vMerge w:val="continue"/>
            <w:tcBorders>
              <w:top w:val="nil"/>
              <w:bottom w:val="nil"/>
            </w:tcBorders>
            <w:vAlign w:val="top"/>
          </w:tcPr>
          <w:p w14:paraId="6A7C391A">
            <w:pPr>
              <w:rPr>
                <w:rFonts w:ascii="Arial"/>
                <w:color w:val="auto"/>
                <w:sz w:val="21"/>
              </w:rPr>
            </w:pPr>
          </w:p>
        </w:tc>
        <w:tc>
          <w:tcPr>
            <w:tcW w:w="1167" w:type="dxa"/>
            <w:gridSpan w:val="2"/>
            <w:vMerge w:val="continue"/>
            <w:tcBorders>
              <w:top w:val="nil"/>
              <w:bottom w:val="nil"/>
            </w:tcBorders>
            <w:vAlign w:val="top"/>
          </w:tcPr>
          <w:p w14:paraId="546FF32A">
            <w:pPr>
              <w:rPr>
                <w:rFonts w:ascii="Arial"/>
                <w:color w:val="auto"/>
                <w:sz w:val="21"/>
              </w:rPr>
            </w:pPr>
          </w:p>
        </w:tc>
        <w:tc>
          <w:tcPr>
            <w:tcW w:w="1166" w:type="dxa"/>
            <w:gridSpan w:val="2"/>
            <w:vMerge w:val="continue"/>
            <w:tcBorders>
              <w:top w:val="nil"/>
              <w:bottom w:val="nil"/>
            </w:tcBorders>
            <w:vAlign w:val="top"/>
          </w:tcPr>
          <w:p w14:paraId="429D5566">
            <w:pPr>
              <w:rPr>
                <w:rFonts w:ascii="Arial"/>
                <w:color w:val="auto"/>
                <w:sz w:val="21"/>
              </w:rPr>
            </w:pPr>
          </w:p>
        </w:tc>
        <w:tc>
          <w:tcPr>
            <w:tcW w:w="1713" w:type="dxa"/>
            <w:vAlign w:val="top"/>
          </w:tcPr>
          <w:p w14:paraId="77CF0C37">
            <w:pPr>
              <w:keepNext w:val="0"/>
              <w:keepLines w:val="0"/>
              <w:pageBreakBefore w:val="0"/>
              <w:widowControl/>
              <w:kinsoku w:val="0"/>
              <w:wordWrap/>
              <w:overflowPunct/>
              <w:topLinePunct w:val="0"/>
              <w:autoSpaceDE w:val="0"/>
              <w:autoSpaceDN w:val="0"/>
              <w:bidi w:val="0"/>
              <w:adjustRightInd w:val="0"/>
              <w:snapToGrid w:val="0"/>
              <w:spacing w:before="124" w:line="220" w:lineRule="auto"/>
              <w:ind w:left="210" w:leftChars="100"/>
              <w:textAlignment w:val="baseline"/>
              <w:rPr>
                <w:rFonts w:ascii="宋体" w:hAnsi="宋体" w:eastAsia="宋体" w:cs="宋体"/>
                <w:color w:val="auto"/>
                <w:sz w:val="21"/>
                <w:szCs w:val="21"/>
              </w:rPr>
            </w:pPr>
            <w:r>
              <w:rPr>
                <w:rFonts w:ascii="宋体" w:hAnsi="宋体" w:eastAsia="宋体" w:cs="宋体"/>
                <w:color w:val="auto"/>
                <w:spacing w:val="-1"/>
                <w:sz w:val="21"/>
                <w:szCs w:val="21"/>
              </w:rPr>
              <w:t>本工程咨询工作的重点与难</w:t>
            </w:r>
            <w:r>
              <w:rPr>
                <w:rFonts w:ascii="宋体" w:hAnsi="宋体" w:eastAsia="宋体" w:cs="宋体"/>
                <w:color w:val="auto"/>
                <w:spacing w:val="-4"/>
                <w:sz w:val="21"/>
                <w:szCs w:val="21"/>
              </w:rPr>
              <w:t>点分析</w:t>
            </w:r>
          </w:p>
        </w:tc>
        <w:tc>
          <w:tcPr>
            <w:tcW w:w="825" w:type="dxa"/>
            <w:vAlign w:val="top"/>
          </w:tcPr>
          <w:p w14:paraId="32120988">
            <w:pPr>
              <w:spacing w:line="461" w:lineRule="auto"/>
              <w:rPr>
                <w:rFonts w:ascii="Arial"/>
                <w:color w:val="auto"/>
                <w:sz w:val="21"/>
              </w:rPr>
            </w:pPr>
          </w:p>
          <w:p w14:paraId="15776449">
            <w:pPr>
              <w:spacing w:before="68" w:line="221" w:lineRule="auto"/>
              <w:jc w:val="center"/>
              <w:rPr>
                <w:rFonts w:ascii="宋体" w:hAnsi="宋体" w:eastAsia="宋体" w:cs="宋体"/>
                <w:color w:val="auto"/>
                <w:sz w:val="21"/>
                <w:szCs w:val="21"/>
              </w:rPr>
            </w:pPr>
            <w:r>
              <w:rPr>
                <w:rFonts w:ascii="宋体" w:hAnsi="宋体" w:eastAsia="宋体" w:cs="宋体"/>
                <w:color w:val="auto"/>
                <w:spacing w:val="-5"/>
                <w:sz w:val="21"/>
                <w:szCs w:val="21"/>
              </w:rPr>
              <w:t>6</w:t>
            </w:r>
            <w:r>
              <w:rPr>
                <w:rFonts w:ascii="宋体" w:hAnsi="宋体" w:eastAsia="宋体" w:cs="宋体"/>
                <w:color w:val="auto"/>
                <w:spacing w:val="-42"/>
                <w:sz w:val="21"/>
                <w:szCs w:val="21"/>
              </w:rPr>
              <w:t xml:space="preserve"> </w:t>
            </w:r>
            <w:r>
              <w:rPr>
                <w:rFonts w:ascii="宋体" w:hAnsi="宋体" w:eastAsia="宋体" w:cs="宋体"/>
                <w:color w:val="auto"/>
                <w:spacing w:val="-5"/>
                <w:sz w:val="21"/>
                <w:szCs w:val="21"/>
              </w:rPr>
              <w:t>分</w:t>
            </w:r>
          </w:p>
        </w:tc>
        <w:tc>
          <w:tcPr>
            <w:tcW w:w="2799" w:type="dxa"/>
            <w:gridSpan w:val="2"/>
            <w:vAlign w:val="top"/>
          </w:tcPr>
          <w:p w14:paraId="7D5611B2">
            <w:pPr>
              <w:spacing w:before="124" w:line="220" w:lineRule="auto"/>
              <w:ind w:left="120"/>
              <w:rPr>
                <w:rFonts w:ascii="宋体" w:hAnsi="宋体" w:eastAsia="宋体" w:cs="宋体"/>
                <w:color w:val="auto"/>
                <w:sz w:val="21"/>
                <w:szCs w:val="21"/>
              </w:rPr>
            </w:pPr>
            <w:r>
              <w:rPr>
                <w:rFonts w:ascii="宋体" w:hAnsi="宋体" w:eastAsia="宋体" w:cs="宋体"/>
                <w:color w:val="auto"/>
                <w:spacing w:val="-1"/>
                <w:sz w:val="21"/>
                <w:szCs w:val="21"/>
              </w:rPr>
              <w:t>满足工程基本要求，得</w:t>
            </w:r>
            <w:r>
              <w:rPr>
                <w:rFonts w:ascii="宋体" w:hAnsi="宋体" w:eastAsia="宋体" w:cs="宋体"/>
                <w:color w:val="auto"/>
                <w:spacing w:val="-2"/>
                <w:sz w:val="21"/>
                <w:szCs w:val="21"/>
              </w:rPr>
              <w:t>4.8</w:t>
            </w:r>
            <w:r>
              <w:rPr>
                <w:rFonts w:ascii="宋体" w:hAnsi="宋体" w:eastAsia="宋体" w:cs="宋体"/>
                <w:color w:val="auto"/>
                <w:spacing w:val="-34"/>
                <w:sz w:val="21"/>
                <w:szCs w:val="21"/>
              </w:rPr>
              <w:t xml:space="preserve"> </w:t>
            </w:r>
            <w:r>
              <w:rPr>
                <w:rFonts w:ascii="宋体" w:hAnsi="宋体" w:eastAsia="宋体" w:cs="宋体"/>
                <w:color w:val="auto"/>
                <w:spacing w:val="-2"/>
                <w:sz w:val="21"/>
                <w:szCs w:val="21"/>
              </w:rPr>
              <w:t>分；切实可行且合</w:t>
            </w:r>
            <w:r>
              <w:rPr>
                <w:rFonts w:ascii="宋体" w:hAnsi="宋体" w:eastAsia="宋体" w:cs="宋体"/>
                <w:color w:val="auto"/>
                <w:spacing w:val="-22"/>
                <w:sz w:val="21"/>
                <w:szCs w:val="21"/>
              </w:rPr>
              <w:t>理科学的，</w:t>
            </w:r>
            <w:r>
              <w:rPr>
                <w:rFonts w:ascii="宋体" w:hAnsi="宋体" w:eastAsia="宋体" w:cs="宋体"/>
                <w:color w:val="auto"/>
                <w:spacing w:val="57"/>
                <w:sz w:val="21"/>
                <w:szCs w:val="21"/>
              </w:rPr>
              <w:t xml:space="preserve"> </w:t>
            </w:r>
            <w:r>
              <w:rPr>
                <w:rFonts w:ascii="宋体" w:hAnsi="宋体" w:eastAsia="宋体" w:cs="宋体"/>
                <w:color w:val="auto"/>
                <w:spacing w:val="-22"/>
                <w:sz w:val="21"/>
                <w:szCs w:val="21"/>
              </w:rPr>
              <w:t>酌情加分，</w:t>
            </w:r>
            <w:r>
              <w:rPr>
                <w:rFonts w:ascii="宋体" w:hAnsi="宋体" w:eastAsia="宋体" w:cs="宋体"/>
                <w:color w:val="auto"/>
                <w:spacing w:val="-5"/>
                <w:sz w:val="21"/>
                <w:szCs w:val="21"/>
              </w:rPr>
              <w:t>本项最高得</w:t>
            </w:r>
            <w:r>
              <w:rPr>
                <w:rFonts w:ascii="宋体" w:hAnsi="宋体" w:eastAsia="宋体" w:cs="宋体"/>
                <w:color w:val="auto"/>
                <w:spacing w:val="-40"/>
                <w:sz w:val="21"/>
                <w:szCs w:val="21"/>
              </w:rPr>
              <w:t xml:space="preserve"> </w:t>
            </w:r>
            <w:r>
              <w:rPr>
                <w:rFonts w:ascii="宋体" w:hAnsi="宋体" w:eastAsia="宋体" w:cs="宋体"/>
                <w:color w:val="auto"/>
                <w:spacing w:val="-5"/>
                <w:sz w:val="21"/>
                <w:szCs w:val="21"/>
              </w:rPr>
              <w:t>6</w:t>
            </w:r>
            <w:r>
              <w:rPr>
                <w:rFonts w:ascii="宋体" w:hAnsi="宋体" w:eastAsia="宋体" w:cs="宋体"/>
                <w:color w:val="auto"/>
                <w:spacing w:val="-42"/>
                <w:sz w:val="21"/>
                <w:szCs w:val="21"/>
              </w:rPr>
              <w:t xml:space="preserve"> </w:t>
            </w:r>
            <w:r>
              <w:rPr>
                <w:rFonts w:ascii="宋体" w:hAnsi="宋体" w:eastAsia="宋体" w:cs="宋体"/>
                <w:color w:val="auto"/>
                <w:spacing w:val="-5"/>
                <w:sz w:val="21"/>
                <w:szCs w:val="21"/>
              </w:rPr>
              <w:t>分。</w:t>
            </w:r>
          </w:p>
        </w:tc>
      </w:tr>
      <w:tr w14:paraId="52DA7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1280" w:type="dxa"/>
            <w:vMerge w:val="continue"/>
            <w:tcBorders>
              <w:top w:val="nil"/>
              <w:bottom w:val="nil"/>
            </w:tcBorders>
            <w:vAlign w:val="top"/>
          </w:tcPr>
          <w:p w14:paraId="07BC36AD">
            <w:pPr>
              <w:rPr>
                <w:rFonts w:ascii="Arial"/>
                <w:color w:val="auto"/>
                <w:sz w:val="21"/>
              </w:rPr>
            </w:pPr>
          </w:p>
        </w:tc>
        <w:tc>
          <w:tcPr>
            <w:tcW w:w="1167" w:type="dxa"/>
            <w:gridSpan w:val="2"/>
            <w:vMerge w:val="continue"/>
            <w:tcBorders>
              <w:top w:val="nil"/>
              <w:bottom w:val="nil"/>
            </w:tcBorders>
            <w:vAlign w:val="top"/>
          </w:tcPr>
          <w:p w14:paraId="7F1EC5D6">
            <w:pPr>
              <w:rPr>
                <w:rFonts w:ascii="Arial"/>
                <w:color w:val="auto"/>
                <w:sz w:val="21"/>
              </w:rPr>
            </w:pPr>
          </w:p>
        </w:tc>
        <w:tc>
          <w:tcPr>
            <w:tcW w:w="1166" w:type="dxa"/>
            <w:gridSpan w:val="2"/>
            <w:vMerge w:val="continue"/>
            <w:tcBorders>
              <w:top w:val="nil"/>
              <w:bottom w:val="nil"/>
            </w:tcBorders>
            <w:vAlign w:val="top"/>
          </w:tcPr>
          <w:p w14:paraId="1B3D43FD">
            <w:pPr>
              <w:rPr>
                <w:rFonts w:ascii="Arial"/>
                <w:color w:val="auto"/>
                <w:sz w:val="21"/>
              </w:rPr>
            </w:pPr>
          </w:p>
        </w:tc>
        <w:tc>
          <w:tcPr>
            <w:tcW w:w="1713" w:type="dxa"/>
            <w:vAlign w:val="top"/>
          </w:tcPr>
          <w:p w14:paraId="5114CDB3">
            <w:pPr>
              <w:keepNext w:val="0"/>
              <w:keepLines w:val="0"/>
              <w:pageBreakBefore w:val="0"/>
              <w:widowControl/>
              <w:kinsoku w:val="0"/>
              <w:wordWrap/>
              <w:overflowPunct/>
              <w:topLinePunct w:val="0"/>
              <w:autoSpaceDE w:val="0"/>
              <w:autoSpaceDN w:val="0"/>
              <w:bidi w:val="0"/>
              <w:adjustRightInd w:val="0"/>
              <w:snapToGrid w:val="0"/>
              <w:spacing w:line="329" w:lineRule="auto"/>
              <w:ind w:left="210" w:leftChars="100"/>
              <w:textAlignment w:val="baseline"/>
              <w:rPr>
                <w:rFonts w:ascii="Arial"/>
                <w:color w:val="auto"/>
                <w:sz w:val="21"/>
              </w:rPr>
            </w:pPr>
          </w:p>
          <w:p w14:paraId="1D4265AC">
            <w:pPr>
              <w:keepNext w:val="0"/>
              <w:keepLines w:val="0"/>
              <w:pageBreakBefore w:val="0"/>
              <w:widowControl/>
              <w:kinsoku w:val="0"/>
              <w:wordWrap/>
              <w:overflowPunct/>
              <w:topLinePunct w:val="0"/>
              <w:autoSpaceDE w:val="0"/>
              <w:autoSpaceDN w:val="0"/>
              <w:bidi w:val="0"/>
              <w:adjustRightInd w:val="0"/>
              <w:snapToGrid w:val="0"/>
              <w:spacing w:before="68" w:line="231" w:lineRule="auto"/>
              <w:ind w:left="333" w:leftChars="100" w:right="147" w:hanging="123"/>
              <w:textAlignment w:val="baseline"/>
              <w:rPr>
                <w:rFonts w:ascii="宋体" w:hAnsi="宋体" w:eastAsia="宋体" w:cs="宋体"/>
                <w:color w:val="auto"/>
                <w:sz w:val="21"/>
                <w:szCs w:val="21"/>
              </w:rPr>
            </w:pPr>
            <w:r>
              <w:rPr>
                <w:rFonts w:ascii="宋体" w:hAnsi="宋体" w:eastAsia="宋体" w:cs="宋体"/>
                <w:color w:val="auto"/>
                <w:spacing w:val="-1"/>
                <w:sz w:val="21"/>
                <w:szCs w:val="21"/>
              </w:rPr>
              <w:t>对本工程</w:t>
            </w:r>
            <w:r>
              <w:rPr>
                <w:rFonts w:ascii="宋体" w:hAnsi="宋体" w:eastAsia="宋体" w:cs="宋体"/>
                <w:color w:val="auto"/>
                <w:spacing w:val="-5"/>
                <w:sz w:val="21"/>
                <w:szCs w:val="21"/>
              </w:rPr>
              <w:t>的建议</w:t>
            </w:r>
          </w:p>
        </w:tc>
        <w:tc>
          <w:tcPr>
            <w:tcW w:w="825" w:type="dxa"/>
            <w:vAlign w:val="top"/>
          </w:tcPr>
          <w:p w14:paraId="608371F0">
            <w:pPr>
              <w:spacing w:line="463" w:lineRule="auto"/>
              <w:rPr>
                <w:rFonts w:ascii="Arial"/>
                <w:color w:val="auto"/>
                <w:sz w:val="21"/>
              </w:rPr>
            </w:pPr>
          </w:p>
          <w:p w14:paraId="3864697B">
            <w:pPr>
              <w:spacing w:before="68" w:line="221" w:lineRule="auto"/>
              <w:jc w:val="center"/>
              <w:rPr>
                <w:rFonts w:ascii="宋体" w:hAnsi="宋体" w:eastAsia="宋体" w:cs="宋体"/>
                <w:color w:val="auto"/>
                <w:sz w:val="21"/>
                <w:szCs w:val="21"/>
              </w:rPr>
            </w:pPr>
            <w:r>
              <w:rPr>
                <w:rFonts w:ascii="宋体" w:hAnsi="宋体" w:eastAsia="宋体" w:cs="宋体"/>
                <w:color w:val="auto"/>
                <w:spacing w:val="-6"/>
                <w:sz w:val="21"/>
                <w:szCs w:val="21"/>
              </w:rPr>
              <w:t>3</w:t>
            </w:r>
            <w:r>
              <w:rPr>
                <w:rFonts w:ascii="宋体" w:hAnsi="宋体" w:eastAsia="宋体" w:cs="宋体"/>
                <w:color w:val="auto"/>
                <w:spacing w:val="-42"/>
                <w:sz w:val="21"/>
                <w:szCs w:val="21"/>
              </w:rPr>
              <w:t xml:space="preserve"> </w:t>
            </w:r>
            <w:r>
              <w:rPr>
                <w:rFonts w:ascii="宋体" w:hAnsi="宋体" w:eastAsia="宋体" w:cs="宋体"/>
                <w:color w:val="auto"/>
                <w:spacing w:val="-6"/>
                <w:sz w:val="21"/>
                <w:szCs w:val="21"/>
              </w:rPr>
              <w:t>分</w:t>
            </w:r>
          </w:p>
        </w:tc>
        <w:tc>
          <w:tcPr>
            <w:tcW w:w="2799" w:type="dxa"/>
            <w:gridSpan w:val="2"/>
            <w:vAlign w:val="top"/>
          </w:tcPr>
          <w:p w14:paraId="266790BA">
            <w:pPr>
              <w:spacing w:before="126" w:line="220" w:lineRule="auto"/>
              <w:ind w:left="120"/>
              <w:rPr>
                <w:rFonts w:ascii="宋体" w:hAnsi="宋体" w:eastAsia="宋体" w:cs="宋体"/>
                <w:color w:val="auto"/>
                <w:sz w:val="21"/>
                <w:szCs w:val="21"/>
              </w:rPr>
            </w:pPr>
            <w:r>
              <w:rPr>
                <w:rFonts w:ascii="宋体" w:hAnsi="宋体" w:eastAsia="宋体" w:cs="宋体"/>
                <w:color w:val="auto"/>
                <w:spacing w:val="-1"/>
                <w:sz w:val="21"/>
                <w:szCs w:val="21"/>
              </w:rPr>
              <w:t>满足工程基本要求，得</w:t>
            </w:r>
            <w:r>
              <w:rPr>
                <w:rFonts w:ascii="宋体" w:hAnsi="宋体" w:eastAsia="宋体" w:cs="宋体"/>
                <w:color w:val="auto"/>
                <w:spacing w:val="-2"/>
                <w:sz w:val="21"/>
                <w:szCs w:val="21"/>
              </w:rPr>
              <w:t>2.4</w:t>
            </w:r>
            <w:r>
              <w:rPr>
                <w:rFonts w:ascii="宋体" w:hAnsi="宋体" w:eastAsia="宋体" w:cs="宋体"/>
                <w:color w:val="auto"/>
                <w:spacing w:val="-37"/>
                <w:sz w:val="21"/>
                <w:szCs w:val="21"/>
              </w:rPr>
              <w:t xml:space="preserve"> </w:t>
            </w:r>
            <w:r>
              <w:rPr>
                <w:rFonts w:ascii="宋体" w:hAnsi="宋体" w:eastAsia="宋体" w:cs="宋体"/>
                <w:color w:val="auto"/>
                <w:spacing w:val="-2"/>
                <w:sz w:val="21"/>
                <w:szCs w:val="21"/>
              </w:rPr>
              <w:t>分；切实可行且合</w:t>
            </w:r>
            <w:r>
              <w:rPr>
                <w:rFonts w:ascii="宋体" w:hAnsi="宋体" w:eastAsia="宋体" w:cs="宋体"/>
                <w:color w:val="auto"/>
                <w:spacing w:val="-22"/>
                <w:sz w:val="21"/>
                <w:szCs w:val="21"/>
              </w:rPr>
              <w:t>理科学的，酌情加分，</w:t>
            </w:r>
            <w:r>
              <w:rPr>
                <w:rFonts w:ascii="宋体" w:hAnsi="宋体" w:eastAsia="宋体" w:cs="宋体"/>
                <w:color w:val="auto"/>
                <w:spacing w:val="-5"/>
                <w:sz w:val="21"/>
                <w:szCs w:val="21"/>
              </w:rPr>
              <w:t>本项最高得</w:t>
            </w:r>
            <w:r>
              <w:rPr>
                <w:rFonts w:ascii="宋体" w:hAnsi="宋体" w:eastAsia="宋体" w:cs="宋体"/>
                <w:color w:val="auto"/>
                <w:spacing w:val="-40"/>
                <w:sz w:val="21"/>
                <w:szCs w:val="21"/>
              </w:rPr>
              <w:t xml:space="preserve"> </w:t>
            </w:r>
            <w:r>
              <w:rPr>
                <w:rFonts w:ascii="宋体" w:hAnsi="宋体" w:eastAsia="宋体" w:cs="宋体"/>
                <w:color w:val="auto"/>
                <w:spacing w:val="-5"/>
                <w:sz w:val="21"/>
                <w:szCs w:val="21"/>
              </w:rPr>
              <w:t>3</w:t>
            </w:r>
            <w:r>
              <w:rPr>
                <w:rFonts w:ascii="宋体" w:hAnsi="宋体" w:eastAsia="宋体" w:cs="宋体"/>
                <w:color w:val="auto"/>
                <w:spacing w:val="-42"/>
                <w:sz w:val="21"/>
                <w:szCs w:val="21"/>
              </w:rPr>
              <w:t xml:space="preserve"> </w:t>
            </w:r>
            <w:r>
              <w:rPr>
                <w:rFonts w:ascii="宋体" w:hAnsi="宋体" w:eastAsia="宋体" w:cs="宋体"/>
                <w:color w:val="auto"/>
                <w:spacing w:val="-5"/>
                <w:sz w:val="21"/>
                <w:szCs w:val="21"/>
              </w:rPr>
              <w:t>分。</w:t>
            </w:r>
          </w:p>
        </w:tc>
      </w:tr>
      <w:tr w14:paraId="2A44A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280" w:type="dxa"/>
            <w:vMerge w:val="continue"/>
            <w:tcBorders>
              <w:top w:val="nil"/>
              <w:bottom w:val="nil"/>
            </w:tcBorders>
            <w:vAlign w:val="top"/>
          </w:tcPr>
          <w:p w14:paraId="4B42E6F0">
            <w:pPr>
              <w:rPr>
                <w:rFonts w:ascii="Arial"/>
                <w:color w:val="auto"/>
                <w:sz w:val="21"/>
              </w:rPr>
            </w:pPr>
          </w:p>
        </w:tc>
        <w:tc>
          <w:tcPr>
            <w:tcW w:w="1167" w:type="dxa"/>
            <w:gridSpan w:val="2"/>
            <w:vMerge w:val="continue"/>
            <w:tcBorders>
              <w:top w:val="nil"/>
              <w:bottom w:val="nil"/>
            </w:tcBorders>
            <w:vAlign w:val="top"/>
          </w:tcPr>
          <w:p w14:paraId="6C7F6A4F">
            <w:pPr>
              <w:rPr>
                <w:rFonts w:ascii="Arial"/>
                <w:color w:val="auto"/>
                <w:sz w:val="21"/>
              </w:rPr>
            </w:pPr>
          </w:p>
        </w:tc>
        <w:tc>
          <w:tcPr>
            <w:tcW w:w="1166" w:type="dxa"/>
            <w:gridSpan w:val="2"/>
            <w:vMerge w:val="continue"/>
            <w:tcBorders>
              <w:top w:val="nil"/>
              <w:bottom w:val="nil"/>
            </w:tcBorders>
            <w:vAlign w:val="top"/>
          </w:tcPr>
          <w:p w14:paraId="38FF6DAD">
            <w:pPr>
              <w:rPr>
                <w:rFonts w:ascii="Arial"/>
                <w:color w:val="auto"/>
                <w:sz w:val="21"/>
              </w:rPr>
            </w:pPr>
          </w:p>
        </w:tc>
        <w:tc>
          <w:tcPr>
            <w:tcW w:w="1713" w:type="dxa"/>
            <w:vAlign w:val="top"/>
          </w:tcPr>
          <w:p w14:paraId="4CA2B317">
            <w:pPr>
              <w:keepNext w:val="0"/>
              <w:keepLines w:val="0"/>
              <w:pageBreakBefore w:val="0"/>
              <w:widowControl/>
              <w:kinsoku w:val="0"/>
              <w:wordWrap/>
              <w:overflowPunct/>
              <w:topLinePunct w:val="0"/>
              <w:autoSpaceDE w:val="0"/>
              <w:autoSpaceDN w:val="0"/>
              <w:bidi w:val="0"/>
              <w:adjustRightInd w:val="0"/>
              <w:snapToGrid w:val="0"/>
              <w:spacing w:line="328" w:lineRule="auto"/>
              <w:ind w:left="210" w:leftChars="100"/>
              <w:textAlignment w:val="baseline"/>
              <w:rPr>
                <w:rFonts w:ascii="Arial"/>
                <w:color w:val="auto"/>
                <w:sz w:val="21"/>
              </w:rPr>
            </w:pPr>
          </w:p>
          <w:p w14:paraId="0BD0C5E9">
            <w:pPr>
              <w:keepNext w:val="0"/>
              <w:keepLines w:val="0"/>
              <w:pageBreakBefore w:val="0"/>
              <w:widowControl/>
              <w:kinsoku w:val="0"/>
              <w:wordWrap/>
              <w:overflowPunct/>
              <w:topLinePunct w:val="0"/>
              <w:autoSpaceDE w:val="0"/>
              <w:autoSpaceDN w:val="0"/>
              <w:bidi w:val="0"/>
              <w:adjustRightInd w:val="0"/>
              <w:snapToGrid w:val="0"/>
              <w:spacing w:before="68" w:line="229" w:lineRule="auto"/>
              <w:ind w:left="210" w:leftChars="100" w:right="147" w:firstLine="3"/>
              <w:textAlignment w:val="baseline"/>
              <w:rPr>
                <w:rFonts w:ascii="宋体" w:hAnsi="宋体" w:eastAsia="宋体" w:cs="宋体"/>
                <w:color w:val="auto"/>
                <w:sz w:val="21"/>
                <w:szCs w:val="21"/>
              </w:rPr>
            </w:pPr>
            <w:r>
              <w:rPr>
                <w:rFonts w:ascii="宋体" w:hAnsi="宋体" w:eastAsia="宋体" w:cs="宋体"/>
                <w:color w:val="auto"/>
                <w:spacing w:val="-3"/>
                <w:sz w:val="21"/>
                <w:szCs w:val="21"/>
              </w:rPr>
              <w:t>咨询质量管理措施</w:t>
            </w:r>
          </w:p>
        </w:tc>
        <w:tc>
          <w:tcPr>
            <w:tcW w:w="825" w:type="dxa"/>
            <w:vAlign w:val="top"/>
          </w:tcPr>
          <w:p w14:paraId="1B10B34F">
            <w:pPr>
              <w:spacing w:line="463" w:lineRule="auto"/>
              <w:rPr>
                <w:rFonts w:ascii="Arial"/>
                <w:color w:val="auto"/>
                <w:sz w:val="21"/>
              </w:rPr>
            </w:pPr>
          </w:p>
          <w:p w14:paraId="7B8FC647">
            <w:pPr>
              <w:spacing w:before="69" w:line="221" w:lineRule="auto"/>
              <w:jc w:val="center"/>
              <w:rPr>
                <w:rFonts w:ascii="宋体" w:hAnsi="宋体" w:eastAsia="宋体" w:cs="宋体"/>
                <w:color w:val="auto"/>
                <w:sz w:val="21"/>
                <w:szCs w:val="21"/>
              </w:rPr>
            </w:pPr>
            <w:r>
              <w:rPr>
                <w:rFonts w:ascii="宋体" w:hAnsi="宋体" w:eastAsia="宋体" w:cs="宋体"/>
                <w:color w:val="auto"/>
                <w:spacing w:val="-6"/>
                <w:sz w:val="21"/>
                <w:szCs w:val="21"/>
              </w:rPr>
              <w:t>3</w:t>
            </w:r>
            <w:r>
              <w:rPr>
                <w:rFonts w:ascii="宋体" w:hAnsi="宋体" w:eastAsia="宋体" w:cs="宋体"/>
                <w:color w:val="auto"/>
                <w:spacing w:val="-42"/>
                <w:sz w:val="21"/>
                <w:szCs w:val="21"/>
              </w:rPr>
              <w:t xml:space="preserve"> </w:t>
            </w:r>
            <w:r>
              <w:rPr>
                <w:rFonts w:ascii="宋体" w:hAnsi="宋体" w:eastAsia="宋体" w:cs="宋体"/>
                <w:color w:val="auto"/>
                <w:spacing w:val="-6"/>
                <w:sz w:val="21"/>
                <w:szCs w:val="21"/>
              </w:rPr>
              <w:t>分</w:t>
            </w:r>
          </w:p>
        </w:tc>
        <w:tc>
          <w:tcPr>
            <w:tcW w:w="2799" w:type="dxa"/>
            <w:gridSpan w:val="2"/>
            <w:vAlign w:val="top"/>
          </w:tcPr>
          <w:p w14:paraId="5678E321">
            <w:pPr>
              <w:spacing w:before="126" w:line="220" w:lineRule="auto"/>
              <w:ind w:left="120"/>
              <w:rPr>
                <w:rFonts w:ascii="宋体" w:hAnsi="宋体" w:eastAsia="宋体" w:cs="宋体"/>
                <w:color w:val="auto"/>
                <w:sz w:val="21"/>
                <w:szCs w:val="21"/>
              </w:rPr>
            </w:pPr>
            <w:r>
              <w:rPr>
                <w:rFonts w:ascii="宋体" w:hAnsi="宋体" w:eastAsia="宋体" w:cs="宋体"/>
                <w:color w:val="auto"/>
                <w:spacing w:val="-1"/>
                <w:sz w:val="21"/>
                <w:szCs w:val="21"/>
              </w:rPr>
              <w:t>满足工程基本要求，得</w:t>
            </w:r>
            <w:r>
              <w:rPr>
                <w:rFonts w:ascii="宋体" w:hAnsi="宋体" w:eastAsia="宋体" w:cs="宋体"/>
                <w:color w:val="auto"/>
                <w:spacing w:val="-2"/>
                <w:sz w:val="21"/>
                <w:szCs w:val="21"/>
              </w:rPr>
              <w:t>2.4</w:t>
            </w:r>
            <w:r>
              <w:rPr>
                <w:rFonts w:ascii="宋体" w:hAnsi="宋体" w:eastAsia="宋体" w:cs="宋体"/>
                <w:color w:val="auto"/>
                <w:spacing w:val="-37"/>
                <w:sz w:val="21"/>
                <w:szCs w:val="21"/>
              </w:rPr>
              <w:t xml:space="preserve"> </w:t>
            </w:r>
            <w:r>
              <w:rPr>
                <w:rFonts w:ascii="宋体" w:hAnsi="宋体" w:eastAsia="宋体" w:cs="宋体"/>
                <w:color w:val="auto"/>
                <w:spacing w:val="-2"/>
                <w:sz w:val="21"/>
                <w:szCs w:val="21"/>
              </w:rPr>
              <w:t>分；切实可行且合</w:t>
            </w:r>
            <w:r>
              <w:rPr>
                <w:rFonts w:ascii="宋体" w:hAnsi="宋体" w:eastAsia="宋体" w:cs="宋体"/>
                <w:color w:val="auto"/>
                <w:spacing w:val="-22"/>
                <w:sz w:val="21"/>
                <w:szCs w:val="21"/>
              </w:rPr>
              <w:t>理科学的，酌情加分，</w:t>
            </w:r>
            <w:r>
              <w:rPr>
                <w:rFonts w:ascii="宋体" w:hAnsi="宋体" w:eastAsia="宋体" w:cs="宋体"/>
                <w:color w:val="auto"/>
                <w:spacing w:val="-5"/>
                <w:sz w:val="21"/>
                <w:szCs w:val="21"/>
              </w:rPr>
              <w:t>本项最高得</w:t>
            </w:r>
            <w:r>
              <w:rPr>
                <w:rFonts w:ascii="宋体" w:hAnsi="宋体" w:eastAsia="宋体" w:cs="宋体"/>
                <w:color w:val="auto"/>
                <w:spacing w:val="-40"/>
                <w:sz w:val="21"/>
                <w:szCs w:val="21"/>
              </w:rPr>
              <w:t xml:space="preserve"> </w:t>
            </w:r>
            <w:r>
              <w:rPr>
                <w:rFonts w:ascii="宋体" w:hAnsi="宋体" w:eastAsia="宋体" w:cs="宋体"/>
                <w:color w:val="auto"/>
                <w:spacing w:val="-5"/>
                <w:sz w:val="21"/>
                <w:szCs w:val="21"/>
              </w:rPr>
              <w:t>3</w:t>
            </w:r>
            <w:r>
              <w:rPr>
                <w:rFonts w:ascii="宋体" w:hAnsi="宋体" w:eastAsia="宋体" w:cs="宋体"/>
                <w:color w:val="auto"/>
                <w:spacing w:val="-42"/>
                <w:sz w:val="21"/>
                <w:szCs w:val="21"/>
              </w:rPr>
              <w:t xml:space="preserve"> </w:t>
            </w:r>
            <w:r>
              <w:rPr>
                <w:rFonts w:ascii="宋体" w:hAnsi="宋体" w:eastAsia="宋体" w:cs="宋体"/>
                <w:color w:val="auto"/>
                <w:spacing w:val="-5"/>
                <w:sz w:val="21"/>
                <w:szCs w:val="21"/>
              </w:rPr>
              <w:t>分。</w:t>
            </w:r>
          </w:p>
        </w:tc>
      </w:tr>
      <w:tr w14:paraId="3AF58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280" w:type="dxa"/>
            <w:vMerge w:val="continue"/>
            <w:tcBorders>
              <w:top w:val="nil"/>
            </w:tcBorders>
            <w:vAlign w:val="top"/>
          </w:tcPr>
          <w:p w14:paraId="623FA666">
            <w:pPr>
              <w:rPr>
                <w:rFonts w:ascii="Arial"/>
                <w:color w:val="auto"/>
                <w:sz w:val="21"/>
              </w:rPr>
            </w:pPr>
          </w:p>
        </w:tc>
        <w:tc>
          <w:tcPr>
            <w:tcW w:w="1167" w:type="dxa"/>
            <w:gridSpan w:val="2"/>
            <w:vMerge w:val="continue"/>
            <w:tcBorders>
              <w:top w:val="nil"/>
            </w:tcBorders>
            <w:vAlign w:val="top"/>
          </w:tcPr>
          <w:p w14:paraId="52856EBA">
            <w:pPr>
              <w:rPr>
                <w:rFonts w:ascii="Arial"/>
                <w:color w:val="auto"/>
                <w:sz w:val="21"/>
              </w:rPr>
            </w:pPr>
          </w:p>
        </w:tc>
        <w:tc>
          <w:tcPr>
            <w:tcW w:w="1166" w:type="dxa"/>
            <w:gridSpan w:val="2"/>
            <w:vMerge w:val="continue"/>
            <w:tcBorders>
              <w:top w:val="nil"/>
            </w:tcBorders>
            <w:vAlign w:val="top"/>
          </w:tcPr>
          <w:p w14:paraId="718A0304">
            <w:pPr>
              <w:rPr>
                <w:rFonts w:ascii="Arial"/>
                <w:color w:val="auto"/>
                <w:sz w:val="21"/>
              </w:rPr>
            </w:pPr>
          </w:p>
        </w:tc>
        <w:tc>
          <w:tcPr>
            <w:tcW w:w="1713" w:type="dxa"/>
            <w:vAlign w:val="top"/>
          </w:tcPr>
          <w:p w14:paraId="687A5DFB">
            <w:pPr>
              <w:keepNext w:val="0"/>
              <w:keepLines w:val="0"/>
              <w:pageBreakBefore w:val="0"/>
              <w:widowControl/>
              <w:kinsoku w:val="0"/>
              <w:wordWrap/>
              <w:overflowPunct/>
              <w:topLinePunct w:val="0"/>
              <w:autoSpaceDE w:val="0"/>
              <w:autoSpaceDN w:val="0"/>
              <w:bidi w:val="0"/>
              <w:adjustRightInd w:val="0"/>
              <w:snapToGrid w:val="0"/>
              <w:spacing w:line="325" w:lineRule="auto"/>
              <w:ind w:left="210" w:leftChars="100"/>
              <w:textAlignment w:val="baseline"/>
              <w:rPr>
                <w:rFonts w:ascii="Arial"/>
                <w:color w:val="auto"/>
                <w:sz w:val="21"/>
              </w:rPr>
            </w:pPr>
          </w:p>
          <w:p w14:paraId="2C5BBE72">
            <w:pPr>
              <w:keepNext w:val="0"/>
              <w:keepLines w:val="0"/>
              <w:pageBreakBefore w:val="0"/>
              <w:widowControl/>
              <w:kinsoku w:val="0"/>
              <w:wordWrap/>
              <w:overflowPunct/>
              <w:topLinePunct w:val="0"/>
              <w:autoSpaceDE w:val="0"/>
              <w:autoSpaceDN w:val="0"/>
              <w:bidi w:val="0"/>
              <w:adjustRightInd w:val="0"/>
              <w:snapToGrid w:val="0"/>
              <w:spacing w:before="68" w:line="231" w:lineRule="auto"/>
              <w:ind w:left="210" w:leftChars="100" w:right="147" w:firstLine="3"/>
              <w:textAlignment w:val="baseline"/>
              <w:rPr>
                <w:rFonts w:ascii="宋体" w:hAnsi="宋体" w:eastAsia="宋体" w:cs="宋体"/>
                <w:color w:val="auto"/>
                <w:sz w:val="21"/>
                <w:szCs w:val="21"/>
              </w:rPr>
            </w:pPr>
            <w:r>
              <w:rPr>
                <w:rFonts w:ascii="宋体" w:hAnsi="宋体" w:eastAsia="宋体" w:cs="宋体"/>
                <w:color w:val="auto"/>
                <w:spacing w:val="-3"/>
                <w:sz w:val="21"/>
                <w:szCs w:val="21"/>
              </w:rPr>
              <w:t>咨询进度管理措施</w:t>
            </w:r>
          </w:p>
        </w:tc>
        <w:tc>
          <w:tcPr>
            <w:tcW w:w="825" w:type="dxa"/>
            <w:vAlign w:val="top"/>
          </w:tcPr>
          <w:p w14:paraId="7E00DCE3">
            <w:pPr>
              <w:spacing w:line="464" w:lineRule="auto"/>
              <w:rPr>
                <w:rFonts w:ascii="Arial"/>
                <w:color w:val="auto"/>
                <w:sz w:val="21"/>
              </w:rPr>
            </w:pPr>
          </w:p>
          <w:p w14:paraId="1F158059">
            <w:pPr>
              <w:spacing w:before="69" w:line="221" w:lineRule="auto"/>
              <w:jc w:val="center"/>
              <w:rPr>
                <w:rFonts w:ascii="宋体" w:hAnsi="宋体" w:eastAsia="宋体" w:cs="宋体"/>
                <w:color w:val="auto"/>
                <w:sz w:val="21"/>
                <w:szCs w:val="21"/>
              </w:rPr>
            </w:pPr>
            <w:r>
              <w:rPr>
                <w:rFonts w:ascii="宋体" w:hAnsi="宋体" w:eastAsia="宋体" w:cs="宋体"/>
                <w:color w:val="auto"/>
                <w:spacing w:val="-6"/>
                <w:sz w:val="21"/>
                <w:szCs w:val="21"/>
              </w:rPr>
              <w:t>3</w:t>
            </w:r>
            <w:r>
              <w:rPr>
                <w:rFonts w:ascii="宋体" w:hAnsi="宋体" w:eastAsia="宋体" w:cs="宋体"/>
                <w:color w:val="auto"/>
                <w:spacing w:val="-42"/>
                <w:sz w:val="21"/>
                <w:szCs w:val="21"/>
              </w:rPr>
              <w:t xml:space="preserve"> </w:t>
            </w:r>
            <w:r>
              <w:rPr>
                <w:rFonts w:ascii="宋体" w:hAnsi="宋体" w:eastAsia="宋体" w:cs="宋体"/>
                <w:color w:val="auto"/>
                <w:spacing w:val="-6"/>
                <w:sz w:val="21"/>
                <w:szCs w:val="21"/>
              </w:rPr>
              <w:t>分</w:t>
            </w:r>
          </w:p>
        </w:tc>
        <w:tc>
          <w:tcPr>
            <w:tcW w:w="2799" w:type="dxa"/>
            <w:gridSpan w:val="2"/>
            <w:vAlign w:val="top"/>
          </w:tcPr>
          <w:p w14:paraId="30BA67DD">
            <w:pPr>
              <w:spacing w:before="127" w:line="220" w:lineRule="auto"/>
              <w:ind w:left="120"/>
              <w:rPr>
                <w:rFonts w:ascii="宋体" w:hAnsi="宋体" w:eastAsia="宋体" w:cs="宋体"/>
                <w:color w:val="auto"/>
                <w:sz w:val="21"/>
                <w:szCs w:val="21"/>
              </w:rPr>
            </w:pPr>
            <w:r>
              <w:rPr>
                <w:rFonts w:ascii="宋体" w:hAnsi="宋体" w:eastAsia="宋体" w:cs="宋体"/>
                <w:color w:val="auto"/>
                <w:spacing w:val="-1"/>
                <w:sz w:val="21"/>
                <w:szCs w:val="21"/>
              </w:rPr>
              <w:t>满足工程基本要求，得</w:t>
            </w:r>
            <w:r>
              <w:rPr>
                <w:rFonts w:ascii="宋体" w:hAnsi="宋体" w:eastAsia="宋体" w:cs="宋体"/>
                <w:color w:val="auto"/>
                <w:spacing w:val="-2"/>
                <w:sz w:val="21"/>
                <w:szCs w:val="21"/>
              </w:rPr>
              <w:t>2.4</w:t>
            </w:r>
            <w:r>
              <w:rPr>
                <w:rFonts w:ascii="宋体" w:hAnsi="宋体" w:eastAsia="宋体" w:cs="宋体"/>
                <w:color w:val="auto"/>
                <w:spacing w:val="-37"/>
                <w:sz w:val="21"/>
                <w:szCs w:val="21"/>
              </w:rPr>
              <w:t xml:space="preserve"> </w:t>
            </w:r>
            <w:r>
              <w:rPr>
                <w:rFonts w:ascii="宋体" w:hAnsi="宋体" w:eastAsia="宋体" w:cs="宋体"/>
                <w:color w:val="auto"/>
                <w:spacing w:val="-2"/>
                <w:sz w:val="21"/>
                <w:szCs w:val="21"/>
              </w:rPr>
              <w:t>分；切实可行且合</w:t>
            </w:r>
            <w:r>
              <w:rPr>
                <w:rFonts w:ascii="宋体" w:hAnsi="宋体" w:eastAsia="宋体" w:cs="宋体"/>
                <w:color w:val="auto"/>
                <w:spacing w:val="-22"/>
                <w:sz w:val="21"/>
                <w:szCs w:val="21"/>
              </w:rPr>
              <w:t>理科学的，酌情加分，</w:t>
            </w:r>
            <w:r>
              <w:rPr>
                <w:rFonts w:ascii="宋体" w:hAnsi="宋体" w:eastAsia="宋体" w:cs="宋体"/>
                <w:color w:val="auto"/>
                <w:spacing w:val="-5"/>
                <w:sz w:val="21"/>
                <w:szCs w:val="21"/>
              </w:rPr>
              <w:t>本项最高得</w:t>
            </w:r>
            <w:r>
              <w:rPr>
                <w:rFonts w:ascii="宋体" w:hAnsi="宋体" w:eastAsia="宋体" w:cs="宋体"/>
                <w:color w:val="auto"/>
                <w:spacing w:val="-40"/>
                <w:sz w:val="21"/>
                <w:szCs w:val="21"/>
              </w:rPr>
              <w:t xml:space="preserve"> </w:t>
            </w:r>
            <w:r>
              <w:rPr>
                <w:rFonts w:ascii="宋体" w:hAnsi="宋体" w:eastAsia="宋体" w:cs="宋体"/>
                <w:color w:val="auto"/>
                <w:spacing w:val="-5"/>
                <w:sz w:val="21"/>
                <w:szCs w:val="21"/>
              </w:rPr>
              <w:t>3</w:t>
            </w:r>
            <w:r>
              <w:rPr>
                <w:rFonts w:ascii="宋体" w:hAnsi="宋体" w:eastAsia="宋体" w:cs="宋体"/>
                <w:color w:val="auto"/>
                <w:spacing w:val="-42"/>
                <w:sz w:val="21"/>
                <w:szCs w:val="21"/>
              </w:rPr>
              <w:t xml:space="preserve"> </w:t>
            </w:r>
            <w:r>
              <w:rPr>
                <w:rFonts w:ascii="宋体" w:hAnsi="宋体" w:eastAsia="宋体" w:cs="宋体"/>
                <w:color w:val="auto"/>
                <w:spacing w:val="-5"/>
                <w:sz w:val="21"/>
                <w:szCs w:val="21"/>
              </w:rPr>
              <w:t>分。</w:t>
            </w:r>
          </w:p>
        </w:tc>
      </w:tr>
      <w:tr w14:paraId="11A84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6" w:hRule="atLeast"/>
        </w:trPr>
        <w:tc>
          <w:tcPr>
            <w:tcW w:w="1280" w:type="dxa"/>
            <w:vAlign w:val="top"/>
          </w:tcPr>
          <w:p w14:paraId="6E2B92E5">
            <w:pPr>
              <w:spacing w:line="241" w:lineRule="auto"/>
              <w:rPr>
                <w:rFonts w:ascii="Arial"/>
                <w:color w:val="auto"/>
                <w:sz w:val="21"/>
              </w:rPr>
            </w:pPr>
          </w:p>
          <w:p w14:paraId="73D22F7A">
            <w:pPr>
              <w:spacing w:line="241" w:lineRule="auto"/>
              <w:rPr>
                <w:rFonts w:ascii="Arial"/>
                <w:color w:val="auto"/>
                <w:sz w:val="21"/>
              </w:rPr>
            </w:pPr>
          </w:p>
          <w:p w14:paraId="56336D64">
            <w:pPr>
              <w:spacing w:line="241" w:lineRule="auto"/>
              <w:rPr>
                <w:rFonts w:ascii="Arial"/>
                <w:color w:val="auto"/>
                <w:sz w:val="21"/>
              </w:rPr>
            </w:pPr>
          </w:p>
          <w:p w14:paraId="339641CD">
            <w:pPr>
              <w:spacing w:line="241" w:lineRule="auto"/>
              <w:rPr>
                <w:rFonts w:ascii="Arial"/>
                <w:color w:val="auto"/>
                <w:sz w:val="21"/>
              </w:rPr>
            </w:pPr>
          </w:p>
          <w:p w14:paraId="6C1ACBD9">
            <w:pPr>
              <w:spacing w:before="69" w:line="223" w:lineRule="auto"/>
              <w:ind w:left="130"/>
              <w:rPr>
                <w:rFonts w:ascii="宋体" w:hAnsi="宋体" w:eastAsia="宋体" w:cs="宋体"/>
                <w:color w:val="auto"/>
                <w:spacing w:val="-2"/>
                <w:sz w:val="21"/>
                <w:szCs w:val="21"/>
              </w:rPr>
            </w:pPr>
          </w:p>
          <w:p w14:paraId="1D5C982A">
            <w:pPr>
              <w:spacing w:before="69" w:line="223" w:lineRule="auto"/>
              <w:ind w:left="130"/>
              <w:rPr>
                <w:rFonts w:ascii="宋体" w:hAnsi="宋体" w:eastAsia="宋体" w:cs="宋体"/>
                <w:color w:val="auto"/>
                <w:sz w:val="21"/>
                <w:szCs w:val="21"/>
              </w:rPr>
            </w:pPr>
            <w:r>
              <w:rPr>
                <w:rFonts w:ascii="宋体" w:hAnsi="宋体" w:eastAsia="宋体" w:cs="宋体"/>
                <w:color w:val="auto"/>
                <w:spacing w:val="-2"/>
                <w:sz w:val="21"/>
                <w:szCs w:val="21"/>
              </w:rPr>
              <w:t>2.2.4(</w:t>
            </w:r>
            <w:r>
              <w:rPr>
                <w:rFonts w:ascii="宋体" w:hAnsi="宋体" w:eastAsia="宋体" w:cs="宋体"/>
                <w:color w:val="auto"/>
                <w:spacing w:val="-3"/>
                <w:sz w:val="21"/>
                <w:szCs w:val="21"/>
              </w:rPr>
              <w:t>2)</w:t>
            </w:r>
          </w:p>
        </w:tc>
        <w:tc>
          <w:tcPr>
            <w:tcW w:w="1167" w:type="dxa"/>
            <w:gridSpan w:val="2"/>
            <w:vAlign w:val="top"/>
          </w:tcPr>
          <w:p w14:paraId="764A2180">
            <w:pPr>
              <w:spacing w:line="252" w:lineRule="auto"/>
              <w:rPr>
                <w:rFonts w:ascii="Arial"/>
                <w:color w:val="auto"/>
                <w:sz w:val="21"/>
              </w:rPr>
            </w:pPr>
          </w:p>
          <w:p w14:paraId="243069D2">
            <w:pPr>
              <w:spacing w:line="252" w:lineRule="auto"/>
              <w:rPr>
                <w:rFonts w:ascii="Arial"/>
                <w:color w:val="auto"/>
                <w:sz w:val="21"/>
              </w:rPr>
            </w:pPr>
          </w:p>
          <w:p w14:paraId="231780E6">
            <w:pPr>
              <w:spacing w:line="253" w:lineRule="auto"/>
              <w:rPr>
                <w:rFonts w:ascii="Arial"/>
                <w:color w:val="auto"/>
                <w:sz w:val="21"/>
              </w:rPr>
            </w:pPr>
          </w:p>
          <w:p w14:paraId="385FB7D5">
            <w:pPr>
              <w:spacing w:line="253" w:lineRule="auto"/>
              <w:rPr>
                <w:rFonts w:ascii="Arial"/>
                <w:color w:val="auto"/>
                <w:sz w:val="21"/>
              </w:rPr>
            </w:pPr>
          </w:p>
          <w:p w14:paraId="1A2793E1">
            <w:pPr>
              <w:spacing w:line="253" w:lineRule="auto"/>
              <w:rPr>
                <w:rFonts w:ascii="Arial"/>
                <w:color w:val="auto"/>
                <w:sz w:val="21"/>
              </w:rPr>
            </w:pPr>
          </w:p>
          <w:p w14:paraId="0A42EDE8">
            <w:pPr>
              <w:spacing w:before="69" w:line="222" w:lineRule="auto"/>
              <w:jc w:val="center"/>
              <w:rPr>
                <w:rFonts w:ascii="宋体" w:hAnsi="宋体" w:eastAsia="宋体" w:cs="宋体"/>
                <w:color w:val="auto"/>
                <w:sz w:val="21"/>
                <w:szCs w:val="21"/>
              </w:rPr>
            </w:pPr>
            <w:r>
              <w:rPr>
                <w:rFonts w:ascii="宋体" w:hAnsi="宋体" w:eastAsia="宋体" w:cs="宋体"/>
                <w:color w:val="auto"/>
                <w:spacing w:val="-1"/>
                <w:sz w:val="21"/>
                <w:szCs w:val="21"/>
              </w:rPr>
              <w:t>主要人员</w:t>
            </w:r>
          </w:p>
        </w:tc>
        <w:tc>
          <w:tcPr>
            <w:tcW w:w="1166" w:type="dxa"/>
            <w:gridSpan w:val="2"/>
            <w:vAlign w:val="top"/>
          </w:tcPr>
          <w:p w14:paraId="27B81A84">
            <w:pPr>
              <w:spacing w:line="252" w:lineRule="auto"/>
              <w:rPr>
                <w:rFonts w:ascii="Arial"/>
                <w:color w:val="auto"/>
                <w:sz w:val="21"/>
              </w:rPr>
            </w:pPr>
          </w:p>
          <w:p w14:paraId="37A62B9B">
            <w:pPr>
              <w:spacing w:line="253" w:lineRule="auto"/>
              <w:rPr>
                <w:rFonts w:ascii="Arial"/>
                <w:color w:val="auto"/>
                <w:sz w:val="21"/>
              </w:rPr>
            </w:pPr>
          </w:p>
          <w:p w14:paraId="0D232B83">
            <w:pPr>
              <w:spacing w:line="253" w:lineRule="auto"/>
              <w:rPr>
                <w:rFonts w:ascii="Arial"/>
                <w:color w:val="auto"/>
                <w:sz w:val="21"/>
              </w:rPr>
            </w:pPr>
          </w:p>
          <w:p w14:paraId="5C93E8CA">
            <w:pPr>
              <w:spacing w:line="253" w:lineRule="auto"/>
              <w:rPr>
                <w:rFonts w:ascii="Arial"/>
                <w:color w:val="auto"/>
                <w:sz w:val="21"/>
              </w:rPr>
            </w:pPr>
          </w:p>
          <w:p w14:paraId="6A62DF23">
            <w:pPr>
              <w:spacing w:line="253" w:lineRule="auto"/>
              <w:rPr>
                <w:rFonts w:ascii="Arial"/>
                <w:color w:val="auto"/>
                <w:sz w:val="21"/>
              </w:rPr>
            </w:pPr>
          </w:p>
          <w:p w14:paraId="6FAA87F4">
            <w:pPr>
              <w:spacing w:before="68" w:line="221" w:lineRule="auto"/>
              <w:ind w:left="242"/>
              <w:rPr>
                <w:rFonts w:ascii="宋体" w:hAnsi="宋体" w:eastAsia="宋体" w:cs="宋体"/>
                <w:color w:val="auto"/>
                <w:sz w:val="21"/>
                <w:szCs w:val="21"/>
              </w:rPr>
            </w:pPr>
            <w:r>
              <w:rPr>
                <w:rFonts w:ascii="宋体" w:hAnsi="宋体" w:eastAsia="宋体" w:cs="宋体"/>
                <w:color w:val="auto"/>
                <w:spacing w:val="-3"/>
                <w:sz w:val="21"/>
                <w:szCs w:val="21"/>
              </w:rPr>
              <w:t>3</w:t>
            </w:r>
            <w:r>
              <w:rPr>
                <w:rFonts w:hint="eastAsia" w:ascii="宋体" w:hAnsi="宋体" w:eastAsia="宋体" w:cs="宋体"/>
                <w:color w:val="auto"/>
                <w:spacing w:val="-3"/>
                <w:sz w:val="21"/>
                <w:szCs w:val="21"/>
                <w:lang w:val="en-US" w:eastAsia="zh-CN"/>
              </w:rPr>
              <w:t>0</w:t>
            </w:r>
            <w:r>
              <w:rPr>
                <w:rFonts w:ascii="宋体" w:hAnsi="宋体" w:eastAsia="宋体" w:cs="宋体"/>
                <w:color w:val="auto"/>
                <w:spacing w:val="-3"/>
                <w:sz w:val="21"/>
                <w:szCs w:val="21"/>
              </w:rPr>
              <w:t>.0</w:t>
            </w:r>
            <w:r>
              <w:rPr>
                <w:rFonts w:ascii="宋体" w:hAnsi="宋体" w:eastAsia="宋体" w:cs="宋体"/>
                <w:color w:val="auto"/>
                <w:spacing w:val="-38"/>
                <w:sz w:val="21"/>
                <w:szCs w:val="21"/>
              </w:rPr>
              <w:t xml:space="preserve"> </w:t>
            </w:r>
            <w:r>
              <w:rPr>
                <w:rFonts w:ascii="宋体" w:hAnsi="宋体" w:eastAsia="宋体" w:cs="宋体"/>
                <w:color w:val="auto"/>
                <w:spacing w:val="-3"/>
                <w:sz w:val="21"/>
                <w:szCs w:val="21"/>
              </w:rPr>
              <w:t>分</w:t>
            </w:r>
          </w:p>
        </w:tc>
        <w:tc>
          <w:tcPr>
            <w:tcW w:w="1713" w:type="dxa"/>
            <w:vAlign w:val="top"/>
          </w:tcPr>
          <w:p w14:paraId="72863C5E">
            <w:pPr>
              <w:keepNext w:val="0"/>
              <w:keepLines w:val="0"/>
              <w:pageBreakBefore w:val="0"/>
              <w:widowControl/>
              <w:kinsoku w:val="0"/>
              <w:wordWrap/>
              <w:overflowPunct/>
              <w:topLinePunct w:val="0"/>
              <w:autoSpaceDE w:val="0"/>
              <w:autoSpaceDN w:val="0"/>
              <w:bidi w:val="0"/>
              <w:adjustRightInd w:val="0"/>
              <w:snapToGrid w:val="0"/>
              <w:spacing w:line="251" w:lineRule="auto"/>
              <w:ind w:left="210" w:leftChars="100"/>
              <w:textAlignment w:val="baseline"/>
              <w:rPr>
                <w:rFonts w:ascii="Arial"/>
                <w:color w:val="auto"/>
                <w:sz w:val="21"/>
              </w:rPr>
            </w:pPr>
          </w:p>
          <w:p w14:paraId="5EE67519">
            <w:pPr>
              <w:keepNext w:val="0"/>
              <w:keepLines w:val="0"/>
              <w:pageBreakBefore w:val="0"/>
              <w:widowControl/>
              <w:kinsoku w:val="0"/>
              <w:wordWrap/>
              <w:overflowPunct/>
              <w:topLinePunct w:val="0"/>
              <w:autoSpaceDE w:val="0"/>
              <w:autoSpaceDN w:val="0"/>
              <w:bidi w:val="0"/>
              <w:adjustRightInd w:val="0"/>
              <w:snapToGrid w:val="0"/>
              <w:spacing w:line="251" w:lineRule="auto"/>
              <w:ind w:left="210" w:leftChars="100"/>
              <w:textAlignment w:val="baseline"/>
              <w:rPr>
                <w:rFonts w:ascii="Arial"/>
                <w:color w:val="auto"/>
                <w:sz w:val="21"/>
              </w:rPr>
            </w:pPr>
          </w:p>
          <w:p w14:paraId="29C2E8A8">
            <w:pPr>
              <w:keepNext w:val="0"/>
              <w:keepLines w:val="0"/>
              <w:pageBreakBefore w:val="0"/>
              <w:widowControl/>
              <w:kinsoku w:val="0"/>
              <w:wordWrap/>
              <w:overflowPunct/>
              <w:topLinePunct w:val="0"/>
              <w:autoSpaceDE w:val="0"/>
              <w:autoSpaceDN w:val="0"/>
              <w:bidi w:val="0"/>
              <w:adjustRightInd w:val="0"/>
              <w:snapToGrid w:val="0"/>
              <w:spacing w:line="251" w:lineRule="auto"/>
              <w:ind w:left="210" w:leftChars="100"/>
              <w:textAlignment w:val="baseline"/>
              <w:rPr>
                <w:rFonts w:ascii="Arial"/>
                <w:color w:val="auto"/>
                <w:sz w:val="21"/>
              </w:rPr>
            </w:pPr>
          </w:p>
          <w:p w14:paraId="2F4B8E2B">
            <w:pPr>
              <w:keepNext w:val="0"/>
              <w:keepLines w:val="0"/>
              <w:pageBreakBefore w:val="0"/>
              <w:widowControl/>
              <w:kinsoku w:val="0"/>
              <w:wordWrap/>
              <w:overflowPunct/>
              <w:topLinePunct w:val="0"/>
              <w:autoSpaceDE w:val="0"/>
              <w:autoSpaceDN w:val="0"/>
              <w:bidi w:val="0"/>
              <w:adjustRightInd w:val="0"/>
              <w:snapToGrid w:val="0"/>
              <w:spacing w:line="251" w:lineRule="auto"/>
              <w:ind w:left="210" w:leftChars="100"/>
              <w:textAlignment w:val="baseline"/>
              <w:rPr>
                <w:rFonts w:ascii="Arial"/>
                <w:color w:val="auto"/>
                <w:sz w:val="21"/>
              </w:rPr>
            </w:pPr>
          </w:p>
          <w:p w14:paraId="030A816D">
            <w:pPr>
              <w:keepNext w:val="0"/>
              <w:keepLines w:val="0"/>
              <w:pageBreakBefore w:val="0"/>
              <w:widowControl/>
              <w:kinsoku w:val="0"/>
              <w:wordWrap/>
              <w:overflowPunct/>
              <w:topLinePunct w:val="0"/>
              <w:autoSpaceDE w:val="0"/>
              <w:autoSpaceDN w:val="0"/>
              <w:bidi w:val="0"/>
              <w:adjustRightInd w:val="0"/>
              <w:snapToGrid w:val="0"/>
              <w:spacing w:line="252" w:lineRule="auto"/>
              <w:ind w:left="210" w:leftChars="100"/>
              <w:textAlignment w:val="baseline"/>
              <w:rPr>
                <w:rFonts w:ascii="Arial"/>
                <w:color w:val="auto"/>
                <w:sz w:val="21"/>
              </w:rPr>
            </w:pPr>
          </w:p>
          <w:p w14:paraId="76D205C0">
            <w:pPr>
              <w:keepNext w:val="0"/>
              <w:keepLines w:val="0"/>
              <w:pageBreakBefore w:val="0"/>
              <w:widowControl/>
              <w:kinsoku w:val="0"/>
              <w:wordWrap/>
              <w:overflowPunct/>
              <w:topLinePunct w:val="0"/>
              <w:autoSpaceDE w:val="0"/>
              <w:autoSpaceDN w:val="0"/>
              <w:bidi w:val="0"/>
              <w:adjustRightInd w:val="0"/>
              <w:snapToGrid w:val="0"/>
              <w:spacing w:before="68" w:line="232" w:lineRule="auto"/>
              <w:ind w:left="210" w:leftChars="100" w:right="147" w:firstLine="3"/>
              <w:jc w:val="both"/>
              <w:textAlignment w:val="baseline"/>
              <w:rPr>
                <w:rFonts w:ascii="宋体" w:hAnsi="宋体" w:eastAsia="宋体" w:cs="宋体"/>
                <w:color w:val="auto"/>
                <w:sz w:val="21"/>
                <w:szCs w:val="21"/>
              </w:rPr>
            </w:pPr>
            <w:r>
              <w:rPr>
                <w:rFonts w:ascii="宋体" w:hAnsi="宋体" w:eastAsia="宋体" w:cs="宋体"/>
                <w:color w:val="auto"/>
                <w:spacing w:val="-2"/>
                <w:sz w:val="21"/>
                <w:szCs w:val="21"/>
              </w:rPr>
              <w:t>项目负责</w:t>
            </w:r>
            <w:r>
              <w:rPr>
                <w:rFonts w:ascii="宋体" w:hAnsi="宋体" w:eastAsia="宋体" w:cs="宋体"/>
                <w:color w:val="auto"/>
                <w:spacing w:val="-1"/>
                <w:sz w:val="21"/>
                <w:szCs w:val="21"/>
              </w:rPr>
              <w:t>人任职资格与业绩</w:t>
            </w:r>
          </w:p>
        </w:tc>
        <w:tc>
          <w:tcPr>
            <w:tcW w:w="825" w:type="dxa"/>
            <w:vAlign w:val="top"/>
          </w:tcPr>
          <w:p w14:paraId="0A63F343">
            <w:pPr>
              <w:spacing w:line="252" w:lineRule="auto"/>
              <w:rPr>
                <w:rFonts w:ascii="Arial"/>
                <w:color w:val="auto"/>
                <w:sz w:val="21"/>
              </w:rPr>
            </w:pPr>
          </w:p>
          <w:p w14:paraId="0A0BBB43">
            <w:pPr>
              <w:spacing w:line="253" w:lineRule="auto"/>
              <w:rPr>
                <w:rFonts w:ascii="Arial"/>
                <w:color w:val="auto"/>
                <w:sz w:val="21"/>
              </w:rPr>
            </w:pPr>
          </w:p>
          <w:p w14:paraId="2EC38C0C">
            <w:pPr>
              <w:spacing w:line="253" w:lineRule="auto"/>
              <w:rPr>
                <w:rFonts w:ascii="Arial"/>
                <w:color w:val="auto"/>
                <w:sz w:val="21"/>
              </w:rPr>
            </w:pPr>
          </w:p>
          <w:p w14:paraId="393C51CA">
            <w:pPr>
              <w:spacing w:line="253" w:lineRule="auto"/>
              <w:rPr>
                <w:rFonts w:ascii="Arial"/>
                <w:color w:val="auto"/>
                <w:sz w:val="21"/>
              </w:rPr>
            </w:pPr>
          </w:p>
          <w:p w14:paraId="5D047480">
            <w:pPr>
              <w:spacing w:line="253" w:lineRule="auto"/>
              <w:rPr>
                <w:rFonts w:ascii="Arial"/>
                <w:color w:val="auto"/>
                <w:sz w:val="21"/>
              </w:rPr>
            </w:pPr>
          </w:p>
          <w:p w14:paraId="443FA11C">
            <w:pPr>
              <w:spacing w:before="68" w:line="221" w:lineRule="auto"/>
              <w:jc w:val="center"/>
              <w:rPr>
                <w:rFonts w:ascii="宋体" w:hAnsi="宋体" w:eastAsia="宋体" w:cs="宋体"/>
                <w:color w:val="auto"/>
                <w:sz w:val="21"/>
                <w:szCs w:val="21"/>
              </w:rPr>
            </w:pPr>
            <w:r>
              <w:rPr>
                <w:rFonts w:ascii="宋体" w:hAnsi="宋体" w:eastAsia="宋体" w:cs="宋体"/>
                <w:color w:val="auto"/>
                <w:spacing w:val="-4"/>
                <w:sz w:val="21"/>
                <w:szCs w:val="21"/>
              </w:rPr>
              <w:t>3</w:t>
            </w:r>
            <w:r>
              <w:rPr>
                <w:rFonts w:hint="eastAsia" w:ascii="宋体" w:hAnsi="宋体" w:eastAsia="宋体" w:cs="宋体"/>
                <w:color w:val="auto"/>
                <w:spacing w:val="-4"/>
                <w:sz w:val="21"/>
                <w:szCs w:val="21"/>
                <w:lang w:val="en-US" w:eastAsia="zh-CN"/>
              </w:rPr>
              <w:t>0</w:t>
            </w:r>
            <w:r>
              <w:rPr>
                <w:rFonts w:ascii="宋体" w:hAnsi="宋体" w:eastAsia="宋体" w:cs="宋体"/>
                <w:color w:val="auto"/>
                <w:spacing w:val="-42"/>
                <w:sz w:val="21"/>
                <w:szCs w:val="21"/>
              </w:rPr>
              <w:t xml:space="preserve"> </w:t>
            </w:r>
            <w:r>
              <w:rPr>
                <w:rFonts w:ascii="宋体" w:hAnsi="宋体" w:eastAsia="宋体" w:cs="宋体"/>
                <w:color w:val="auto"/>
                <w:spacing w:val="-4"/>
                <w:sz w:val="21"/>
                <w:szCs w:val="21"/>
              </w:rPr>
              <w:t>分</w:t>
            </w:r>
          </w:p>
        </w:tc>
        <w:tc>
          <w:tcPr>
            <w:tcW w:w="2799" w:type="dxa"/>
            <w:gridSpan w:val="2"/>
            <w:vAlign w:val="center"/>
          </w:tcPr>
          <w:p w14:paraId="5E00B8B5">
            <w:pPr>
              <w:keepNext w:val="0"/>
              <w:keepLines w:val="0"/>
              <w:pageBreakBefore w:val="0"/>
              <w:widowControl/>
              <w:kinsoku w:val="0"/>
              <w:wordWrap/>
              <w:overflowPunct/>
              <w:topLinePunct w:val="0"/>
              <w:autoSpaceDE w:val="0"/>
              <w:autoSpaceDN w:val="0"/>
              <w:bidi w:val="0"/>
              <w:adjustRightInd w:val="0"/>
              <w:snapToGrid w:val="0"/>
              <w:spacing w:line="231" w:lineRule="auto"/>
              <w:ind w:left="105" w:leftChars="50" w:right="0" w:firstLine="51"/>
              <w:jc w:val="both"/>
              <w:textAlignment w:val="baseline"/>
              <w:rPr>
                <w:rFonts w:ascii="宋体" w:hAnsi="宋体" w:eastAsia="宋体" w:cs="宋体"/>
                <w:color w:val="auto"/>
                <w:sz w:val="21"/>
                <w:szCs w:val="21"/>
              </w:rPr>
            </w:pPr>
            <w:r>
              <w:rPr>
                <w:rFonts w:hint="eastAsia" w:ascii="宋体" w:hAnsi="宋体" w:eastAsia="宋体" w:cs="宋体"/>
                <w:color w:val="auto"/>
                <w:sz w:val="21"/>
                <w:szCs w:val="21"/>
                <w:lang w:val="en-US" w:eastAsia="zh-CN"/>
              </w:rPr>
              <w:t>满</w:t>
            </w:r>
            <w:r>
              <w:rPr>
                <w:rFonts w:ascii="宋体" w:hAnsi="宋体" w:eastAsia="宋体" w:cs="宋体"/>
                <w:color w:val="auto"/>
                <w:sz w:val="21"/>
                <w:szCs w:val="21"/>
              </w:rPr>
              <w:t>足资格审查条件要求得2</w:t>
            </w:r>
            <w:r>
              <w:rPr>
                <w:rFonts w:hint="eastAsia" w:ascii="宋体" w:hAnsi="宋体" w:eastAsia="宋体" w:cs="宋体"/>
                <w:color w:val="auto"/>
                <w:sz w:val="21"/>
                <w:szCs w:val="21"/>
                <w:lang w:val="en-US" w:eastAsia="zh-CN"/>
              </w:rPr>
              <w:t>4</w:t>
            </w:r>
            <w:r>
              <w:rPr>
                <w:rFonts w:ascii="宋体" w:hAnsi="宋体" w:eastAsia="宋体" w:cs="宋体"/>
                <w:color w:val="auto"/>
                <w:sz w:val="21"/>
                <w:szCs w:val="21"/>
              </w:rPr>
              <w:t>分；</w:t>
            </w:r>
          </w:p>
          <w:p w14:paraId="51E5FA1F">
            <w:pPr>
              <w:keepNext w:val="0"/>
              <w:keepLines w:val="0"/>
              <w:pageBreakBefore w:val="0"/>
              <w:widowControl/>
              <w:kinsoku w:val="0"/>
              <w:wordWrap/>
              <w:overflowPunct/>
              <w:topLinePunct w:val="0"/>
              <w:autoSpaceDE w:val="0"/>
              <w:autoSpaceDN w:val="0"/>
              <w:bidi w:val="0"/>
              <w:adjustRightInd w:val="0"/>
              <w:snapToGrid w:val="0"/>
              <w:spacing w:line="231" w:lineRule="auto"/>
              <w:ind w:left="105" w:leftChars="50" w:right="0" w:firstLine="51"/>
              <w:jc w:val="both"/>
              <w:textAlignment w:val="baseline"/>
              <w:rPr>
                <w:rFonts w:ascii="宋体" w:hAnsi="宋体" w:eastAsia="宋体" w:cs="宋体"/>
                <w:color w:val="auto"/>
                <w:sz w:val="21"/>
                <w:szCs w:val="21"/>
              </w:rPr>
            </w:pPr>
            <w:r>
              <w:rPr>
                <w:rFonts w:ascii="宋体" w:hAnsi="宋体" w:eastAsia="宋体" w:cs="宋体"/>
                <w:color w:val="auto"/>
                <w:sz w:val="21"/>
                <w:szCs w:val="21"/>
              </w:rPr>
              <w:t>增加一项建安工程费用不低于2.8亿元的公路工程的全过程造价咨询或全过程跟踪审计的业绩加3.5分</w:t>
            </w:r>
            <w:r>
              <w:rPr>
                <w:rFonts w:hint="eastAsia" w:ascii="宋体" w:hAnsi="宋体" w:eastAsia="宋体" w:cs="宋体"/>
                <w:color w:val="auto"/>
                <w:sz w:val="21"/>
                <w:szCs w:val="21"/>
                <w:lang w:eastAsia="zh-CN"/>
              </w:rPr>
              <w:t>；</w:t>
            </w:r>
            <w:r>
              <w:rPr>
                <w:rFonts w:ascii="宋体" w:hAnsi="宋体" w:eastAsia="宋体" w:cs="宋体"/>
                <w:color w:val="auto"/>
                <w:sz w:val="21"/>
                <w:szCs w:val="21"/>
              </w:rPr>
              <w:t xml:space="preserve"> 增加一项建安工程费用不低于2.8亿元的公路工程的工程量清单预算编制(审核)或工程结算审核(审计)或全过程造价咨询或全过程跟踪审计的业绩加2.5分</w:t>
            </w:r>
            <w:r>
              <w:rPr>
                <w:rFonts w:hint="eastAsia" w:ascii="宋体" w:hAnsi="宋体" w:eastAsia="宋体" w:cs="宋体"/>
                <w:color w:val="auto"/>
                <w:sz w:val="21"/>
                <w:szCs w:val="21"/>
                <w:lang w:eastAsia="zh-CN"/>
              </w:rPr>
              <w:t>；</w:t>
            </w:r>
            <w:r>
              <w:rPr>
                <w:rFonts w:ascii="宋体" w:hAnsi="宋体" w:eastAsia="宋体" w:cs="宋体"/>
                <w:color w:val="auto"/>
                <w:sz w:val="21"/>
                <w:szCs w:val="21"/>
              </w:rPr>
              <w:t>每项加一次分，最多加6分。</w:t>
            </w:r>
          </w:p>
        </w:tc>
      </w:tr>
      <w:tr w14:paraId="49B8A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8" w:hRule="atLeast"/>
        </w:trPr>
        <w:tc>
          <w:tcPr>
            <w:tcW w:w="1280" w:type="dxa"/>
            <w:vAlign w:val="top"/>
          </w:tcPr>
          <w:p w14:paraId="146B47C0">
            <w:pPr>
              <w:spacing w:line="282" w:lineRule="auto"/>
              <w:rPr>
                <w:rFonts w:ascii="Arial"/>
                <w:color w:val="auto"/>
                <w:sz w:val="21"/>
              </w:rPr>
            </w:pPr>
          </w:p>
          <w:p w14:paraId="129BF002">
            <w:pPr>
              <w:spacing w:line="282" w:lineRule="auto"/>
              <w:rPr>
                <w:rFonts w:ascii="Arial"/>
                <w:color w:val="auto"/>
                <w:sz w:val="21"/>
              </w:rPr>
            </w:pPr>
          </w:p>
          <w:p w14:paraId="6B1903DE">
            <w:pPr>
              <w:spacing w:line="283" w:lineRule="auto"/>
              <w:rPr>
                <w:rFonts w:ascii="Arial"/>
                <w:color w:val="auto"/>
                <w:sz w:val="21"/>
              </w:rPr>
            </w:pPr>
          </w:p>
          <w:p w14:paraId="16F0550A">
            <w:pPr>
              <w:spacing w:line="283" w:lineRule="auto"/>
              <w:rPr>
                <w:rFonts w:ascii="Arial"/>
                <w:color w:val="auto"/>
                <w:sz w:val="21"/>
              </w:rPr>
            </w:pPr>
          </w:p>
          <w:p w14:paraId="3120714F">
            <w:pPr>
              <w:spacing w:before="68" w:line="223" w:lineRule="auto"/>
              <w:ind w:left="130"/>
              <w:rPr>
                <w:rFonts w:ascii="宋体" w:hAnsi="宋体" w:eastAsia="宋体" w:cs="宋体"/>
                <w:color w:val="auto"/>
                <w:sz w:val="21"/>
                <w:szCs w:val="21"/>
              </w:rPr>
            </w:pPr>
            <w:r>
              <w:rPr>
                <w:rFonts w:ascii="宋体" w:hAnsi="宋体" w:eastAsia="宋体" w:cs="宋体"/>
                <w:color w:val="auto"/>
                <w:spacing w:val="-2"/>
                <w:sz w:val="21"/>
                <w:szCs w:val="21"/>
              </w:rPr>
              <w:t>2.2.4(</w:t>
            </w:r>
            <w:r>
              <w:rPr>
                <w:rFonts w:ascii="宋体" w:hAnsi="宋体" w:eastAsia="宋体" w:cs="宋体"/>
                <w:color w:val="auto"/>
                <w:spacing w:val="-3"/>
                <w:sz w:val="21"/>
                <w:szCs w:val="21"/>
              </w:rPr>
              <w:t>3)</w:t>
            </w:r>
          </w:p>
        </w:tc>
        <w:tc>
          <w:tcPr>
            <w:tcW w:w="1167" w:type="dxa"/>
            <w:gridSpan w:val="2"/>
            <w:vAlign w:val="top"/>
          </w:tcPr>
          <w:p w14:paraId="0B16AC2C">
            <w:pPr>
              <w:spacing w:line="257" w:lineRule="auto"/>
              <w:rPr>
                <w:rFonts w:ascii="Arial"/>
                <w:color w:val="auto"/>
                <w:sz w:val="21"/>
              </w:rPr>
            </w:pPr>
          </w:p>
          <w:p w14:paraId="1B2EFBB6">
            <w:pPr>
              <w:spacing w:line="257" w:lineRule="auto"/>
              <w:rPr>
                <w:rFonts w:ascii="Arial"/>
                <w:color w:val="auto"/>
                <w:sz w:val="21"/>
              </w:rPr>
            </w:pPr>
          </w:p>
          <w:p w14:paraId="07D2AC28">
            <w:pPr>
              <w:spacing w:line="258" w:lineRule="auto"/>
              <w:rPr>
                <w:rFonts w:ascii="Arial"/>
                <w:color w:val="auto"/>
                <w:sz w:val="21"/>
              </w:rPr>
            </w:pPr>
          </w:p>
          <w:p w14:paraId="1354DC9A">
            <w:pPr>
              <w:spacing w:line="258" w:lineRule="auto"/>
              <w:rPr>
                <w:rFonts w:ascii="Arial"/>
                <w:color w:val="auto"/>
                <w:sz w:val="21"/>
              </w:rPr>
            </w:pPr>
          </w:p>
          <w:p w14:paraId="0EDA3C07">
            <w:pPr>
              <w:spacing w:line="258" w:lineRule="auto"/>
              <w:rPr>
                <w:rFonts w:ascii="Arial"/>
                <w:color w:val="auto"/>
                <w:sz w:val="21"/>
              </w:rPr>
            </w:pPr>
          </w:p>
          <w:p w14:paraId="64C02FCF">
            <w:pPr>
              <w:spacing w:before="68" w:line="219" w:lineRule="auto"/>
              <w:jc w:val="center"/>
              <w:rPr>
                <w:rFonts w:ascii="宋体" w:hAnsi="宋体" w:eastAsia="宋体" w:cs="宋体"/>
                <w:color w:val="auto"/>
                <w:sz w:val="21"/>
                <w:szCs w:val="21"/>
              </w:rPr>
            </w:pPr>
            <w:r>
              <w:rPr>
                <w:rFonts w:ascii="宋体" w:hAnsi="宋体" w:eastAsia="宋体" w:cs="宋体"/>
                <w:color w:val="auto"/>
                <w:spacing w:val="-1"/>
                <w:sz w:val="21"/>
                <w:szCs w:val="21"/>
              </w:rPr>
              <w:t>评标价</w:t>
            </w:r>
          </w:p>
        </w:tc>
        <w:tc>
          <w:tcPr>
            <w:tcW w:w="1166" w:type="dxa"/>
            <w:gridSpan w:val="2"/>
            <w:vAlign w:val="top"/>
          </w:tcPr>
          <w:p w14:paraId="23FB3F1F">
            <w:pPr>
              <w:spacing w:line="257" w:lineRule="auto"/>
              <w:rPr>
                <w:rFonts w:ascii="Arial"/>
                <w:color w:val="auto"/>
                <w:sz w:val="21"/>
              </w:rPr>
            </w:pPr>
          </w:p>
          <w:p w14:paraId="5607290D">
            <w:pPr>
              <w:spacing w:line="257" w:lineRule="auto"/>
              <w:rPr>
                <w:rFonts w:ascii="Arial"/>
                <w:color w:val="auto"/>
                <w:sz w:val="21"/>
              </w:rPr>
            </w:pPr>
          </w:p>
          <w:p w14:paraId="3D8FB965">
            <w:pPr>
              <w:spacing w:line="258" w:lineRule="auto"/>
              <w:rPr>
                <w:rFonts w:ascii="Arial"/>
                <w:color w:val="auto"/>
                <w:sz w:val="21"/>
              </w:rPr>
            </w:pPr>
          </w:p>
          <w:p w14:paraId="7C874F09">
            <w:pPr>
              <w:spacing w:line="258" w:lineRule="auto"/>
              <w:rPr>
                <w:rFonts w:ascii="Arial"/>
                <w:color w:val="auto"/>
                <w:sz w:val="21"/>
              </w:rPr>
            </w:pPr>
          </w:p>
          <w:p w14:paraId="0CBD6222">
            <w:pPr>
              <w:spacing w:line="258" w:lineRule="auto"/>
              <w:rPr>
                <w:rFonts w:ascii="Arial"/>
                <w:color w:val="auto"/>
                <w:sz w:val="21"/>
              </w:rPr>
            </w:pPr>
          </w:p>
          <w:p w14:paraId="26013DF8">
            <w:pPr>
              <w:spacing w:before="68" w:line="221" w:lineRule="auto"/>
              <w:ind w:left="254"/>
              <w:rPr>
                <w:rFonts w:ascii="宋体" w:hAnsi="宋体" w:eastAsia="宋体" w:cs="宋体"/>
                <w:color w:val="auto"/>
                <w:sz w:val="21"/>
                <w:szCs w:val="21"/>
              </w:rPr>
            </w:pPr>
            <w:r>
              <w:rPr>
                <w:rFonts w:ascii="宋体" w:hAnsi="宋体" w:eastAsia="宋体" w:cs="宋体"/>
                <w:color w:val="auto"/>
                <w:spacing w:val="-5"/>
                <w:sz w:val="21"/>
                <w:szCs w:val="21"/>
              </w:rPr>
              <w:t>10.0</w:t>
            </w:r>
            <w:r>
              <w:rPr>
                <w:rFonts w:ascii="宋体" w:hAnsi="宋体" w:eastAsia="宋体" w:cs="宋体"/>
                <w:color w:val="auto"/>
                <w:spacing w:val="-39"/>
                <w:sz w:val="21"/>
                <w:szCs w:val="21"/>
              </w:rPr>
              <w:t xml:space="preserve"> </w:t>
            </w:r>
            <w:r>
              <w:rPr>
                <w:rFonts w:ascii="宋体" w:hAnsi="宋体" w:eastAsia="宋体" w:cs="宋体"/>
                <w:color w:val="auto"/>
                <w:spacing w:val="-5"/>
                <w:sz w:val="21"/>
                <w:szCs w:val="21"/>
              </w:rPr>
              <w:t>分</w:t>
            </w:r>
          </w:p>
        </w:tc>
        <w:tc>
          <w:tcPr>
            <w:tcW w:w="5337" w:type="dxa"/>
            <w:gridSpan w:val="4"/>
            <w:vAlign w:val="top"/>
          </w:tcPr>
          <w:p w14:paraId="0099396C">
            <w:pPr>
              <w:spacing w:before="125" w:line="230" w:lineRule="auto"/>
              <w:ind w:left="792" w:right="95" w:hanging="671"/>
              <w:rPr>
                <w:rFonts w:ascii="宋体" w:hAnsi="宋体" w:eastAsia="宋体" w:cs="宋体"/>
                <w:color w:val="auto"/>
                <w:sz w:val="21"/>
                <w:szCs w:val="21"/>
              </w:rPr>
            </w:pPr>
            <w:r>
              <w:rPr>
                <w:rFonts w:ascii="宋体" w:hAnsi="宋体" w:eastAsia="宋体" w:cs="宋体"/>
                <w:color w:val="auto"/>
                <w:spacing w:val="-8"/>
                <w:sz w:val="21"/>
                <w:szCs w:val="21"/>
              </w:rPr>
              <w:t>（1）如果投标人的评标价&gt;评标基准价，则评标</w:t>
            </w:r>
            <w:r>
              <w:rPr>
                <w:rFonts w:ascii="宋体" w:hAnsi="宋体" w:eastAsia="宋体" w:cs="宋体"/>
                <w:color w:val="auto"/>
                <w:spacing w:val="-1"/>
                <w:sz w:val="21"/>
                <w:szCs w:val="21"/>
              </w:rPr>
              <w:t>价得分＝F－偏差率×100×E1；</w:t>
            </w:r>
          </w:p>
          <w:p w14:paraId="664E566E">
            <w:pPr>
              <w:spacing w:before="19" w:line="230" w:lineRule="auto"/>
              <w:ind w:left="633" w:right="152" w:hanging="464"/>
              <w:rPr>
                <w:rFonts w:ascii="宋体" w:hAnsi="宋体" w:eastAsia="宋体" w:cs="宋体"/>
                <w:color w:val="auto"/>
                <w:sz w:val="21"/>
                <w:szCs w:val="21"/>
              </w:rPr>
            </w:pPr>
            <w:r>
              <w:rPr>
                <w:rFonts w:ascii="宋体" w:hAnsi="宋体" w:eastAsia="宋体" w:cs="宋体"/>
                <w:color w:val="auto"/>
                <w:spacing w:val="-1"/>
                <w:sz w:val="21"/>
                <w:szCs w:val="21"/>
              </w:rPr>
              <w:t>（2）如果投标人的评标价≤评标基准价，则评标价得分＝F＋偏差率×100×E2。</w:t>
            </w:r>
          </w:p>
          <w:p w14:paraId="4183FAFD">
            <w:pPr>
              <w:spacing w:before="24" w:line="219" w:lineRule="auto"/>
              <w:ind w:left="115"/>
              <w:rPr>
                <w:rFonts w:ascii="宋体" w:hAnsi="宋体" w:eastAsia="宋体" w:cs="宋体"/>
                <w:color w:val="auto"/>
                <w:sz w:val="21"/>
                <w:szCs w:val="21"/>
              </w:rPr>
            </w:pPr>
            <w:r>
              <w:rPr>
                <w:rFonts w:ascii="宋体" w:hAnsi="宋体" w:eastAsia="宋体" w:cs="宋体"/>
                <w:color w:val="auto"/>
                <w:spacing w:val="-10"/>
                <w:sz w:val="21"/>
                <w:szCs w:val="21"/>
              </w:rPr>
              <w:t>其中：F</w:t>
            </w:r>
            <w:r>
              <w:rPr>
                <w:rFonts w:ascii="宋体" w:hAnsi="宋体" w:eastAsia="宋体" w:cs="宋体"/>
                <w:color w:val="auto"/>
                <w:spacing w:val="-29"/>
                <w:sz w:val="21"/>
                <w:szCs w:val="21"/>
              </w:rPr>
              <w:t xml:space="preserve"> </w:t>
            </w:r>
            <w:r>
              <w:rPr>
                <w:rFonts w:ascii="宋体" w:hAnsi="宋体" w:eastAsia="宋体" w:cs="宋体"/>
                <w:color w:val="auto"/>
                <w:spacing w:val="-10"/>
                <w:sz w:val="21"/>
                <w:szCs w:val="21"/>
              </w:rPr>
              <w:t>是评标价所占的权重分值，E1</w:t>
            </w:r>
            <w:r>
              <w:rPr>
                <w:rFonts w:ascii="宋体" w:hAnsi="宋体" w:eastAsia="宋体" w:cs="宋体"/>
                <w:color w:val="auto"/>
                <w:spacing w:val="-40"/>
                <w:sz w:val="21"/>
                <w:szCs w:val="21"/>
              </w:rPr>
              <w:t xml:space="preserve"> </w:t>
            </w:r>
            <w:r>
              <w:rPr>
                <w:rFonts w:ascii="宋体" w:hAnsi="宋体" w:eastAsia="宋体" w:cs="宋体"/>
                <w:color w:val="auto"/>
                <w:spacing w:val="-10"/>
                <w:sz w:val="21"/>
                <w:szCs w:val="21"/>
              </w:rPr>
              <w:t>是评标价</w:t>
            </w:r>
            <w:r>
              <w:rPr>
                <w:rFonts w:ascii="宋体" w:hAnsi="宋体" w:eastAsia="宋体" w:cs="宋体"/>
                <w:color w:val="auto"/>
                <w:spacing w:val="-8"/>
                <w:sz w:val="21"/>
                <w:szCs w:val="21"/>
              </w:rPr>
              <w:t>每高于评标基准价一个百分点的扣分值，E2</w:t>
            </w:r>
            <w:r>
              <w:rPr>
                <w:rFonts w:ascii="宋体" w:hAnsi="宋体" w:eastAsia="宋体" w:cs="宋体"/>
                <w:color w:val="auto"/>
                <w:spacing w:val="-33"/>
                <w:sz w:val="21"/>
                <w:szCs w:val="21"/>
              </w:rPr>
              <w:t xml:space="preserve"> </w:t>
            </w:r>
            <w:r>
              <w:rPr>
                <w:rFonts w:ascii="宋体" w:hAnsi="宋体" w:eastAsia="宋体" w:cs="宋体"/>
                <w:color w:val="auto"/>
                <w:spacing w:val="-8"/>
                <w:sz w:val="21"/>
                <w:szCs w:val="21"/>
              </w:rPr>
              <w:t>是评</w:t>
            </w:r>
            <w:r>
              <w:rPr>
                <w:rFonts w:ascii="宋体" w:hAnsi="宋体" w:eastAsia="宋体" w:cs="宋体"/>
                <w:color w:val="auto"/>
                <w:spacing w:val="-1"/>
                <w:sz w:val="21"/>
                <w:szCs w:val="21"/>
              </w:rPr>
              <w:t>标价每低于评标基准价一个百分点的扣分值</w:t>
            </w:r>
            <w:r>
              <w:rPr>
                <w:rFonts w:hint="eastAsia" w:ascii="宋体" w:hAnsi="宋体" w:eastAsia="宋体" w:cs="宋体"/>
                <w:color w:val="auto"/>
                <w:spacing w:val="-1"/>
                <w:sz w:val="21"/>
                <w:szCs w:val="21"/>
                <w:lang w:eastAsia="zh-CN"/>
              </w:rPr>
              <w:t>，</w:t>
            </w:r>
            <w:r>
              <w:rPr>
                <w:rFonts w:ascii="宋体" w:hAnsi="宋体" w:eastAsia="宋体" w:cs="宋体"/>
                <w:color w:val="auto"/>
                <w:spacing w:val="-1"/>
                <w:sz w:val="21"/>
                <w:szCs w:val="21"/>
              </w:rPr>
              <w:t>E1</w:t>
            </w:r>
            <w:r>
              <w:rPr>
                <w:rFonts w:ascii="宋体" w:hAnsi="宋体" w:eastAsia="宋体" w:cs="宋体"/>
                <w:color w:val="auto"/>
                <w:spacing w:val="-33"/>
                <w:sz w:val="21"/>
                <w:szCs w:val="21"/>
              </w:rPr>
              <w:t xml:space="preserve"> </w:t>
            </w:r>
            <w:r>
              <w:rPr>
                <w:rFonts w:ascii="宋体" w:hAnsi="宋体" w:eastAsia="宋体" w:cs="宋体"/>
                <w:color w:val="auto"/>
                <w:spacing w:val="-1"/>
                <w:sz w:val="21"/>
                <w:szCs w:val="21"/>
              </w:rPr>
              <w:t>是评标价每高于评标基准价一个百分点的扣</w:t>
            </w:r>
            <w:r>
              <w:rPr>
                <w:rFonts w:ascii="宋体" w:hAnsi="宋体" w:eastAsia="宋体" w:cs="宋体"/>
                <w:color w:val="auto"/>
                <w:spacing w:val="-6"/>
                <w:sz w:val="21"/>
                <w:szCs w:val="21"/>
              </w:rPr>
              <w:t>分值，E2</w:t>
            </w:r>
            <w:r>
              <w:rPr>
                <w:rFonts w:ascii="宋体" w:hAnsi="宋体" w:eastAsia="宋体" w:cs="宋体"/>
                <w:color w:val="auto"/>
                <w:spacing w:val="-40"/>
                <w:sz w:val="21"/>
                <w:szCs w:val="21"/>
              </w:rPr>
              <w:t xml:space="preserve"> </w:t>
            </w:r>
            <w:r>
              <w:rPr>
                <w:rFonts w:ascii="宋体" w:hAnsi="宋体" w:eastAsia="宋体" w:cs="宋体"/>
                <w:color w:val="auto"/>
                <w:spacing w:val="-6"/>
                <w:sz w:val="21"/>
                <w:szCs w:val="21"/>
              </w:rPr>
              <w:t>是评标价每低于评标基准价一个百分点</w:t>
            </w:r>
            <w:r>
              <w:rPr>
                <w:rFonts w:ascii="宋体" w:hAnsi="宋体" w:eastAsia="宋体" w:cs="宋体"/>
                <w:color w:val="auto"/>
                <w:spacing w:val="-1"/>
                <w:sz w:val="21"/>
                <w:szCs w:val="21"/>
              </w:rPr>
              <w:t>的扣分值,招标人可依据招标项目具体特点和</w:t>
            </w:r>
            <w:r>
              <w:rPr>
                <w:rFonts w:ascii="宋体" w:hAnsi="宋体" w:eastAsia="宋体" w:cs="宋体"/>
                <w:color w:val="auto"/>
                <w:spacing w:val="-2"/>
                <w:sz w:val="21"/>
                <w:szCs w:val="21"/>
              </w:rPr>
              <w:t>实际需要设置</w:t>
            </w:r>
            <w:r>
              <w:rPr>
                <w:rFonts w:ascii="宋体" w:hAnsi="宋体" w:eastAsia="宋体" w:cs="宋体"/>
                <w:color w:val="auto"/>
                <w:spacing w:val="-36"/>
                <w:sz w:val="21"/>
                <w:szCs w:val="21"/>
              </w:rPr>
              <w:t xml:space="preserve"> </w:t>
            </w:r>
            <w:r>
              <w:rPr>
                <w:rFonts w:ascii="宋体" w:hAnsi="宋体" w:eastAsia="宋体" w:cs="宋体"/>
                <w:color w:val="auto"/>
                <w:spacing w:val="-2"/>
                <w:sz w:val="21"/>
                <w:szCs w:val="21"/>
              </w:rPr>
              <w:t>E1、E2；</w:t>
            </w:r>
            <w:r>
              <w:rPr>
                <w:rFonts w:ascii="宋体" w:hAnsi="宋体" w:eastAsia="宋体" w:cs="宋体"/>
                <w:color w:val="auto"/>
                <w:spacing w:val="-7"/>
                <w:sz w:val="21"/>
                <w:szCs w:val="21"/>
              </w:rPr>
              <w:t>其中，E1=0.2，E2=0.1</w:t>
            </w:r>
          </w:p>
        </w:tc>
      </w:tr>
      <w:tr w14:paraId="1EA26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80" w:type="dxa"/>
            <w:vMerge w:val="restart"/>
            <w:vAlign w:val="top"/>
          </w:tcPr>
          <w:p w14:paraId="03F70BCA">
            <w:pPr>
              <w:spacing w:line="252" w:lineRule="auto"/>
              <w:rPr>
                <w:rFonts w:ascii="Arial"/>
                <w:color w:val="auto"/>
                <w:sz w:val="21"/>
              </w:rPr>
            </w:pPr>
          </w:p>
          <w:p w14:paraId="007071D9">
            <w:pPr>
              <w:spacing w:line="252" w:lineRule="auto"/>
              <w:rPr>
                <w:rFonts w:ascii="Arial"/>
                <w:color w:val="auto"/>
                <w:sz w:val="21"/>
              </w:rPr>
            </w:pPr>
          </w:p>
          <w:p w14:paraId="6830BCEA">
            <w:pPr>
              <w:spacing w:line="252" w:lineRule="auto"/>
              <w:rPr>
                <w:rFonts w:ascii="Arial"/>
                <w:color w:val="auto"/>
                <w:sz w:val="21"/>
              </w:rPr>
            </w:pPr>
          </w:p>
          <w:p w14:paraId="015427F4">
            <w:pPr>
              <w:spacing w:line="252" w:lineRule="auto"/>
              <w:rPr>
                <w:rFonts w:ascii="Arial"/>
                <w:color w:val="auto"/>
                <w:sz w:val="21"/>
              </w:rPr>
            </w:pPr>
          </w:p>
          <w:p w14:paraId="0A5F1846">
            <w:pPr>
              <w:spacing w:line="253" w:lineRule="auto"/>
              <w:rPr>
                <w:rFonts w:ascii="Arial"/>
                <w:color w:val="auto"/>
                <w:sz w:val="21"/>
              </w:rPr>
            </w:pPr>
          </w:p>
          <w:p w14:paraId="387F2192">
            <w:pPr>
              <w:spacing w:line="253" w:lineRule="auto"/>
              <w:rPr>
                <w:rFonts w:ascii="Arial"/>
                <w:color w:val="auto"/>
                <w:sz w:val="21"/>
              </w:rPr>
            </w:pPr>
          </w:p>
          <w:p w14:paraId="350549D1">
            <w:pPr>
              <w:spacing w:before="68" w:line="223" w:lineRule="auto"/>
              <w:ind w:left="130"/>
              <w:rPr>
                <w:rFonts w:ascii="宋体" w:hAnsi="宋体" w:eastAsia="宋体" w:cs="宋体"/>
                <w:color w:val="auto"/>
                <w:sz w:val="21"/>
                <w:szCs w:val="21"/>
              </w:rPr>
            </w:pPr>
            <w:r>
              <w:rPr>
                <w:rFonts w:ascii="宋体" w:hAnsi="宋体" w:eastAsia="宋体" w:cs="宋体"/>
                <w:color w:val="auto"/>
                <w:spacing w:val="-2"/>
                <w:sz w:val="21"/>
                <w:szCs w:val="21"/>
              </w:rPr>
              <w:t>2.2.4(4)</w:t>
            </w:r>
          </w:p>
        </w:tc>
        <w:tc>
          <w:tcPr>
            <w:tcW w:w="585" w:type="dxa"/>
            <w:vMerge w:val="restart"/>
            <w:vAlign w:val="top"/>
          </w:tcPr>
          <w:p w14:paraId="7F1D9E36">
            <w:pPr>
              <w:spacing w:line="274" w:lineRule="auto"/>
              <w:rPr>
                <w:rFonts w:ascii="Arial"/>
                <w:color w:val="auto"/>
                <w:sz w:val="21"/>
              </w:rPr>
            </w:pPr>
          </w:p>
          <w:p w14:paraId="488C631C">
            <w:pPr>
              <w:spacing w:line="274" w:lineRule="auto"/>
              <w:rPr>
                <w:rFonts w:ascii="Arial"/>
                <w:color w:val="auto"/>
                <w:sz w:val="21"/>
              </w:rPr>
            </w:pPr>
          </w:p>
          <w:p w14:paraId="2A81F0F6">
            <w:pPr>
              <w:spacing w:line="274" w:lineRule="auto"/>
              <w:rPr>
                <w:rFonts w:ascii="Arial"/>
                <w:color w:val="auto"/>
                <w:sz w:val="21"/>
              </w:rPr>
            </w:pPr>
          </w:p>
          <w:p w14:paraId="1A6FD7E5">
            <w:pPr>
              <w:spacing w:line="275" w:lineRule="auto"/>
              <w:rPr>
                <w:rFonts w:ascii="Arial"/>
                <w:color w:val="auto"/>
                <w:sz w:val="21"/>
              </w:rPr>
            </w:pPr>
          </w:p>
          <w:p w14:paraId="52B023C4">
            <w:pPr>
              <w:spacing w:line="275" w:lineRule="auto"/>
              <w:rPr>
                <w:rFonts w:ascii="Arial"/>
                <w:color w:val="auto"/>
                <w:sz w:val="21"/>
              </w:rPr>
            </w:pPr>
          </w:p>
          <w:p w14:paraId="0FAB6745">
            <w:pPr>
              <w:spacing w:line="275" w:lineRule="auto"/>
              <w:rPr>
                <w:rFonts w:ascii="Arial"/>
                <w:color w:val="auto"/>
                <w:sz w:val="21"/>
              </w:rPr>
            </w:pPr>
          </w:p>
          <w:p w14:paraId="6E7CDB1D">
            <w:pPr>
              <w:spacing w:before="68" w:line="221" w:lineRule="auto"/>
              <w:ind w:left="160"/>
              <w:rPr>
                <w:rFonts w:ascii="宋体" w:hAnsi="宋体" w:eastAsia="宋体" w:cs="宋体"/>
                <w:color w:val="auto"/>
                <w:sz w:val="21"/>
                <w:szCs w:val="21"/>
              </w:rPr>
            </w:pPr>
            <w:r>
              <w:rPr>
                <w:rFonts w:ascii="宋体" w:hAnsi="宋体" w:eastAsia="宋体" w:cs="宋体"/>
                <w:color w:val="auto"/>
                <w:spacing w:val="-1"/>
                <w:sz w:val="21"/>
                <w:szCs w:val="21"/>
              </w:rPr>
              <w:t>其他因素</w:t>
            </w:r>
          </w:p>
        </w:tc>
        <w:tc>
          <w:tcPr>
            <w:tcW w:w="582" w:type="dxa"/>
            <w:vAlign w:val="center"/>
          </w:tcPr>
          <w:p w14:paraId="46AF10B3">
            <w:pPr>
              <w:spacing w:before="126" w:line="221" w:lineRule="auto"/>
              <w:ind w:left="162"/>
              <w:jc w:val="center"/>
              <w:rPr>
                <w:rFonts w:ascii="宋体" w:hAnsi="宋体" w:eastAsia="宋体" w:cs="宋体"/>
                <w:color w:val="auto"/>
                <w:sz w:val="21"/>
                <w:szCs w:val="21"/>
              </w:rPr>
            </w:pPr>
            <w:r>
              <w:rPr>
                <w:rFonts w:ascii="宋体" w:hAnsi="宋体" w:eastAsia="宋体" w:cs="宋体"/>
                <w:color w:val="auto"/>
                <w:spacing w:val="-1"/>
                <w:sz w:val="21"/>
                <w:szCs w:val="21"/>
              </w:rPr>
              <w:t>技术能力</w:t>
            </w:r>
          </w:p>
        </w:tc>
        <w:tc>
          <w:tcPr>
            <w:tcW w:w="1166" w:type="dxa"/>
            <w:gridSpan w:val="2"/>
            <w:vAlign w:val="center"/>
          </w:tcPr>
          <w:p w14:paraId="78280CA8">
            <w:pPr>
              <w:spacing w:before="127" w:line="221" w:lineRule="auto"/>
              <w:ind w:left="401"/>
              <w:jc w:val="both"/>
              <w:rPr>
                <w:rFonts w:ascii="宋体" w:hAnsi="宋体" w:eastAsia="宋体" w:cs="宋体"/>
                <w:color w:val="auto"/>
                <w:sz w:val="21"/>
                <w:szCs w:val="21"/>
              </w:rPr>
            </w:pPr>
            <w:r>
              <w:rPr>
                <w:rFonts w:ascii="宋体" w:hAnsi="宋体" w:eastAsia="宋体" w:cs="宋体"/>
                <w:color w:val="auto"/>
                <w:spacing w:val="-6"/>
                <w:sz w:val="21"/>
                <w:szCs w:val="21"/>
              </w:rPr>
              <w:t>5</w:t>
            </w:r>
            <w:r>
              <w:rPr>
                <w:rFonts w:ascii="宋体" w:hAnsi="宋体" w:eastAsia="宋体" w:cs="宋体"/>
                <w:color w:val="auto"/>
                <w:spacing w:val="-42"/>
                <w:sz w:val="21"/>
                <w:szCs w:val="21"/>
              </w:rPr>
              <w:t xml:space="preserve"> </w:t>
            </w:r>
            <w:r>
              <w:rPr>
                <w:rFonts w:ascii="宋体" w:hAnsi="宋体" w:eastAsia="宋体" w:cs="宋体"/>
                <w:color w:val="auto"/>
                <w:spacing w:val="-6"/>
                <w:sz w:val="21"/>
                <w:szCs w:val="21"/>
              </w:rPr>
              <w:t>分</w:t>
            </w:r>
          </w:p>
        </w:tc>
        <w:tc>
          <w:tcPr>
            <w:tcW w:w="5337" w:type="dxa"/>
            <w:gridSpan w:val="4"/>
            <w:vAlign w:val="center"/>
          </w:tcPr>
          <w:p w14:paraId="7459628A">
            <w:pPr>
              <w:spacing w:before="127" w:line="220" w:lineRule="auto"/>
              <w:jc w:val="left"/>
              <w:rPr>
                <w:rFonts w:ascii="宋体" w:hAnsi="宋体" w:eastAsia="宋体" w:cs="宋体"/>
                <w:color w:val="auto"/>
                <w:sz w:val="21"/>
                <w:szCs w:val="21"/>
              </w:rPr>
            </w:pPr>
            <w:r>
              <w:rPr>
                <w:rFonts w:hint="eastAsia" w:ascii="宋体" w:hAnsi="宋体" w:eastAsia="宋体" w:cs="宋体"/>
                <w:color w:val="auto"/>
                <w:sz w:val="21"/>
                <w:szCs w:val="21"/>
                <w:lang w:val="en-US" w:eastAsia="zh-CN"/>
              </w:rPr>
              <w:t>不予评审，统一得</w:t>
            </w:r>
            <w:r>
              <w:rPr>
                <w:rFonts w:hint="eastAsia" w:ascii="宋体" w:hAnsi="宋体" w:eastAsia="宋体" w:cs="宋体"/>
                <w:color w:val="auto"/>
                <w:sz w:val="21"/>
                <w:szCs w:val="21"/>
              </w:rPr>
              <w:t>5分。</w:t>
            </w:r>
          </w:p>
        </w:tc>
      </w:tr>
      <w:tr w14:paraId="3DC11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5" w:hRule="atLeast"/>
        </w:trPr>
        <w:tc>
          <w:tcPr>
            <w:tcW w:w="1280" w:type="dxa"/>
            <w:vMerge w:val="continue"/>
            <w:vAlign w:val="top"/>
          </w:tcPr>
          <w:p w14:paraId="45E547D7">
            <w:pPr>
              <w:rPr>
                <w:rFonts w:ascii="Arial"/>
                <w:color w:val="auto"/>
                <w:sz w:val="21"/>
              </w:rPr>
            </w:pPr>
          </w:p>
        </w:tc>
        <w:tc>
          <w:tcPr>
            <w:tcW w:w="585" w:type="dxa"/>
            <w:vMerge w:val="continue"/>
            <w:vAlign w:val="top"/>
          </w:tcPr>
          <w:p w14:paraId="3F4134F0">
            <w:pPr>
              <w:rPr>
                <w:rFonts w:ascii="Arial"/>
                <w:color w:val="auto"/>
                <w:sz w:val="21"/>
              </w:rPr>
            </w:pPr>
          </w:p>
        </w:tc>
        <w:tc>
          <w:tcPr>
            <w:tcW w:w="582" w:type="dxa"/>
            <w:vAlign w:val="top"/>
          </w:tcPr>
          <w:p w14:paraId="7AFCD4E9">
            <w:pPr>
              <w:spacing w:line="282" w:lineRule="auto"/>
              <w:rPr>
                <w:rFonts w:ascii="Arial"/>
                <w:color w:val="auto"/>
                <w:sz w:val="21"/>
              </w:rPr>
            </w:pPr>
          </w:p>
          <w:p w14:paraId="049C7CE3">
            <w:pPr>
              <w:spacing w:line="283" w:lineRule="auto"/>
              <w:rPr>
                <w:rFonts w:ascii="Arial"/>
                <w:color w:val="auto"/>
                <w:sz w:val="21"/>
              </w:rPr>
            </w:pPr>
          </w:p>
          <w:p w14:paraId="790512FF">
            <w:pPr>
              <w:spacing w:line="283" w:lineRule="auto"/>
              <w:rPr>
                <w:rFonts w:ascii="Arial"/>
                <w:color w:val="auto"/>
                <w:sz w:val="21"/>
              </w:rPr>
            </w:pPr>
          </w:p>
          <w:p w14:paraId="4E0D6E8A">
            <w:pPr>
              <w:spacing w:line="283" w:lineRule="auto"/>
              <w:rPr>
                <w:rFonts w:ascii="Arial"/>
                <w:color w:val="auto"/>
                <w:sz w:val="21"/>
              </w:rPr>
            </w:pPr>
          </w:p>
          <w:p w14:paraId="4E061A7E">
            <w:pPr>
              <w:spacing w:line="283" w:lineRule="auto"/>
              <w:rPr>
                <w:rFonts w:ascii="Arial"/>
                <w:color w:val="auto"/>
                <w:sz w:val="21"/>
              </w:rPr>
            </w:pPr>
          </w:p>
          <w:p w14:paraId="7EFC46CD">
            <w:pPr>
              <w:spacing w:before="68" w:line="221" w:lineRule="auto"/>
              <w:rPr>
                <w:rFonts w:ascii="宋体" w:hAnsi="宋体" w:eastAsia="宋体" w:cs="宋体"/>
                <w:color w:val="auto"/>
                <w:sz w:val="21"/>
                <w:szCs w:val="21"/>
              </w:rPr>
            </w:pPr>
            <w:r>
              <w:rPr>
                <w:rFonts w:ascii="宋体" w:hAnsi="宋体" w:eastAsia="宋体" w:cs="宋体"/>
                <w:color w:val="auto"/>
                <w:spacing w:val="-2"/>
                <w:sz w:val="21"/>
                <w:szCs w:val="21"/>
              </w:rPr>
              <w:t>业绩</w:t>
            </w:r>
          </w:p>
        </w:tc>
        <w:tc>
          <w:tcPr>
            <w:tcW w:w="1166" w:type="dxa"/>
            <w:gridSpan w:val="2"/>
            <w:vAlign w:val="top"/>
          </w:tcPr>
          <w:p w14:paraId="3223662F">
            <w:pPr>
              <w:spacing w:line="282" w:lineRule="auto"/>
              <w:rPr>
                <w:rFonts w:ascii="Arial"/>
                <w:color w:val="auto"/>
                <w:sz w:val="21"/>
              </w:rPr>
            </w:pPr>
          </w:p>
          <w:p w14:paraId="45396676">
            <w:pPr>
              <w:spacing w:line="283" w:lineRule="auto"/>
              <w:rPr>
                <w:rFonts w:ascii="Arial"/>
                <w:color w:val="auto"/>
                <w:sz w:val="21"/>
              </w:rPr>
            </w:pPr>
          </w:p>
          <w:p w14:paraId="7A3D2796">
            <w:pPr>
              <w:spacing w:line="283" w:lineRule="auto"/>
              <w:rPr>
                <w:rFonts w:ascii="Arial"/>
                <w:color w:val="auto"/>
                <w:sz w:val="21"/>
              </w:rPr>
            </w:pPr>
          </w:p>
          <w:p w14:paraId="26DA9CBA">
            <w:pPr>
              <w:spacing w:line="283" w:lineRule="auto"/>
              <w:rPr>
                <w:rFonts w:ascii="Arial"/>
                <w:color w:val="auto"/>
                <w:sz w:val="21"/>
              </w:rPr>
            </w:pPr>
          </w:p>
          <w:p w14:paraId="119F9C63">
            <w:pPr>
              <w:spacing w:line="283" w:lineRule="auto"/>
              <w:rPr>
                <w:rFonts w:ascii="Arial"/>
                <w:color w:val="auto"/>
                <w:sz w:val="21"/>
              </w:rPr>
            </w:pPr>
          </w:p>
          <w:p w14:paraId="607B1003">
            <w:pPr>
              <w:spacing w:before="68" w:line="221" w:lineRule="auto"/>
              <w:ind w:left="346"/>
              <w:rPr>
                <w:rFonts w:ascii="宋体" w:hAnsi="宋体" w:eastAsia="宋体" w:cs="宋体"/>
                <w:color w:val="auto"/>
                <w:sz w:val="21"/>
                <w:szCs w:val="21"/>
              </w:rPr>
            </w:pPr>
            <w:r>
              <w:rPr>
                <w:rFonts w:ascii="宋体" w:hAnsi="宋体" w:eastAsia="宋体" w:cs="宋体"/>
                <w:color w:val="auto"/>
                <w:spacing w:val="-4"/>
                <w:sz w:val="21"/>
                <w:szCs w:val="21"/>
              </w:rPr>
              <w:t>25</w:t>
            </w:r>
            <w:r>
              <w:rPr>
                <w:rFonts w:ascii="宋体" w:hAnsi="宋体" w:eastAsia="宋体" w:cs="宋体"/>
                <w:color w:val="auto"/>
                <w:spacing w:val="-40"/>
                <w:sz w:val="21"/>
                <w:szCs w:val="21"/>
              </w:rPr>
              <w:t xml:space="preserve"> </w:t>
            </w:r>
            <w:r>
              <w:rPr>
                <w:rFonts w:ascii="宋体" w:hAnsi="宋体" w:eastAsia="宋体" w:cs="宋体"/>
                <w:color w:val="auto"/>
                <w:spacing w:val="-4"/>
                <w:sz w:val="21"/>
                <w:szCs w:val="21"/>
              </w:rPr>
              <w:t>分</w:t>
            </w:r>
          </w:p>
        </w:tc>
        <w:tc>
          <w:tcPr>
            <w:tcW w:w="5337" w:type="dxa"/>
            <w:gridSpan w:val="4"/>
            <w:vAlign w:val="top"/>
          </w:tcPr>
          <w:p w14:paraId="5CEECE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8" w:leftChars="0" w:right="40" w:rightChars="0" w:firstLine="23" w:firstLineChars="0"/>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val="en-US" w:eastAsia="en-US"/>
              </w:rPr>
              <w:t>1、</w:t>
            </w:r>
            <w:r>
              <w:rPr>
                <w:rFonts w:hint="eastAsia" w:ascii="宋体" w:hAnsi="宋体" w:eastAsia="宋体" w:cs="宋体"/>
                <w:color w:val="auto"/>
                <w:spacing w:val="-9"/>
                <w:sz w:val="21"/>
                <w:szCs w:val="21"/>
                <w:lang w:val="en-US" w:eastAsia="zh-CN"/>
              </w:rPr>
              <w:t xml:space="preserve">满足资格审查条件（业绩最低要求）得 20 分； </w:t>
            </w:r>
          </w:p>
          <w:p w14:paraId="72969E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108" w:leftChars="0" w:right="40" w:rightChars="0" w:firstLine="23" w:firstLineChars="0"/>
              <w:textAlignment w:val="baseline"/>
              <w:rPr>
                <w:rFonts w:ascii="宋体" w:hAnsi="宋体" w:eastAsia="宋体" w:cs="宋体"/>
                <w:color w:val="auto"/>
                <w:sz w:val="21"/>
                <w:szCs w:val="21"/>
              </w:rPr>
            </w:pPr>
            <w:r>
              <w:rPr>
                <w:rFonts w:hint="eastAsia" w:ascii="宋体" w:hAnsi="宋体" w:eastAsia="宋体" w:cs="宋体"/>
                <w:color w:val="auto"/>
                <w:spacing w:val="-9"/>
                <w:sz w:val="21"/>
                <w:szCs w:val="21"/>
                <w:lang w:val="en-US" w:eastAsia="en-US"/>
              </w:rPr>
              <w:t>2、</w:t>
            </w:r>
            <w:r>
              <w:rPr>
                <w:rFonts w:hint="eastAsia" w:ascii="宋体" w:hAnsi="宋体" w:eastAsia="宋体" w:cs="宋体"/>
                <w:color w:val="auto"/>
                <w:spacing w:val="-9"/>
                <w:sz w:val="21"/>
                <w:szCs w:val="21"/>
                <w:lang w:val="en-US" w:eastAsia="zh-CN"/>
              </w:rPr>
              <w:t>增加一项建安工程费用不低于2.8亿元的公路工程的</w:t>
            </w:r>
            <w:r>
              <w:rPr>
                <w:rFonts w:ascii="宋体" w:hAnsi="宋体" w:eastAsia="宋体" w:cs="宋体"/>
                <w:color w:val="auto"/>
                <w:spacing w:val="-9"/>
                <w:sz w:val="21"/>
                <w:szCs w:val="21"/>
              </w:rPr>
              <w:t>全过程造价咨询</w:t>
            </w:r>
            <w:r>
              <w:rPr>
                <w:rFonts w:hint="eastAsia" w:ascii="宋体" w:hAnsi="宋体" w:eastAsia="宋体" w:cs="宋体"/>
                <w:color w:val="auto"/>
                <w:spacing w:val="-5"/>
                <w:sz w:val="21"/>
                <w:szCs w:val="21"/>
                <w:lang w:val="en-US" w:eastAsia="zh-CN"/>
              </w:rPr>
              <w:t>或</w:t>
            </w:r>
            <w:r>
              <w:rPr>
                <w:rFonts w:hint="eastAsia" w:ascii="宋体" w:hAnsi="宋体" w:eastAsia="宋体" w:cs="宋体"/>
                <w:color w:val="auto"/>
                <w:spacing w:val="-5"/>
                <w:sz w:val="21"/>
                <w:szCs w:val="21"/>
              </w:rPr>
              <w:t>全过程</w:t>
            </w:r>
            <w:r>
              <w:rPr>
                <w:rFonts w:hint="eastAsia" w:ascii="宋体" w:hAnsi="宋体" w:eastAsia="宋体" w:cs="宋体"/>
                <w:color w:val="auto"/>
                <w:spacing w:val="-5"/>
                <w:sz w:val="21"/>
                <w:szCs w:val="21"/>
                <w:lang w:val="en-US" w:eastAsia="zh-CN"/>
              </w:rPr>
              <w:t>跟踪审计</w:t>
            </w:r>
            <w:r>
              <w:rPr>
                <w:rFonts w:ascii="宋体" w:hAnsi="宋体" w:eastAsia="宋体" w:cs="宋体"/>
                <w:color w:val="auto"/>
                <w:spacing w:val="-9"/>
                <w:sz w:val="21"/>
                <w:szCs w:val="21"/>
              </w:rPr>
              <w:t>的业绩加</w:t>
            </w:r>
            <w:r>
              <w:rPr>
                <w:rFonts w:ascii="宋体" w:hAnsi="宋体" w:eastAsia="宋体" w:cs="宋体"/>
                <w:color w:val="auto"/>
                <w:spacing w:val="-33"/>
                <w:sz w:val="21"/>
                <w:szCs w:val="21"/>
              </w:rPr>
              <w:t xml:space="preserve"> </w:t>
            </w:r>
            <w:r>
              <w:rPr>
                <w:rFonts w:ascii="宋体" w:hAnsi="宋体" w:eastAsia="宋体" w:cs="宋体"/>
                <w:color w:val="auto"/>
                <w:spacing w:val="-9"/>
                <w:sz w:val="21"/>
                <w:szCs w:val="21"/>
              </w:rPr>
              <w:t>2</w:t>
            </w:r>
            <w:r>
              <w:rPr>
                <w:rFonts w:ascii="宋体" w:hAnsi="宋体" w:eastAsia="宋体" w:cs="宋体"/>
                <w:color w:val="auto"/>
                <w:spacing w:val="-41"/>
                <w:sz w:val="21"/>
                <w:szCs w:val="21"/>
              </w:rPr>
              <w:t xml:space="preserve"> </w:t>
            </w:r>
            <w:r>
              <w:rPr>
                <w:rFonts w:ascii="宋体" w:hAnsi="宋体" w:eastAsia="宋体" w:cs="宋体"/>
                <w:color w:val="auto"/>
                <w:spacing w:val="-9"/>
                <w:sz w:val="21"/>
                <w:szCs w:val="21"/>
              </w:rPr>
              <w:t>分；【14】；</w:t>
            </w:r>
            <w:r>
              <w:rPr>
                <w:rFonts w:ascii="宋体" w:hAnsi="宋体" w:eastAsia="宋体" w:cs="宋体"/>
                <w:color w:val="auto"/>
                <w:spacing w:val="-1"/>
                <w:sz w:val="21"/>
                <w:szCs w:val="21"/>
              </w:rPr>
              <w:t>增加一项建安工程费用不低于</w:t>
            </w:r>
            <w:r>
              <w:rPr>
                <w:rFonts w:hint="eastAsia" w:ascii="宋体" w:hAnsi="宋体" w:eastAsia="宋体" w:cs="宋体"/>
                <w:color w:val="auto"/>
                <w:spacing w:val="-9"/>
                <w:sz w:val="21"/>
                <w:szCs w:val="21"/>
                <w:lang w:eastAsia="zh-CN"/>
              </w:rPr>
              <w:t>2.8</w:t>
            </w:r>
            <w:r>
              <w:rPr>
                <w:rFonts w:ascii="宋体" w:hAnsi="宋体" w:eastAsia="宋体" w:cs="宋体"/>
                <w:color w:val="auto"/>
                <w:spacing w:val="-1"/>
                <w:sz w:val="21"/>
                <w:szCs w:val="21"/>
              </w:rPr>
              <w:t>亿元的公路</w:t>
            </w:r>
            <w:r>
              <w:rPr>
                <w:rFonts w:ascii="宋体" w:hAnsi="宋体" w:eastAsia="宋体" w:cs="宋体"/>
                <w:color w:val="auto"/>
                <w:spacing w:val="-5"/>
                <w:sz w:val="21"/>
                <w:szCs w:val="21"/>
              </w:rPr>
              <w:t>工程的工程结算</w:t>
            </w:r>
            <w:r>
              <w:rPr>
                <w:rFonts w:ascii="宋体" w:hAnsi="宋体" w:eastAsia="宋体" w:cs="宋体"/>
                <w:color w:val="auto"/>
                <w:spacing w:val="-7"/>
                <w:sz w:val="21"/>
                <w:szCs w:val="21"/>
              </w:rPr>
              <w:t>审核（审计）或全过程造价咨询</w:t>
            </w:r>
            <w:r>
              <w:rPr>
                <w:rFonts w:hint="eastAsia" w:ascii="宋体" w:hAnsi="宋体" w:eastAsia="宋体" w:cs="宋体"/>
                <w:color w:val="auto"/>
                <w:spacing w:val="-5"/>
                <w:sz w:val="21"/>
                <w:szCs w:val="21"/>
                <w:lang w:val="en-US" w:eastAsia="zh-CN"/>
              </w:rPr>
              <w:t>或</w:t>
            </w:r>
            <w:r>
              <w:rPr>
                <w:rFonts w:hint="eastAsia" w:ascii="宋体" w:hAnsi="宋体" w:eastAsia="宋体" w:cs="宋体"/>
                <w:color w:val="auto"/>
                <w:spacing w:val="-5"/>
                <w:sz w:val="21"/>
                <w:szCs w:val="21"/>
              </w:rPr>
              <w:t>全过程</w:t>
            </w:r>
            <w:r>
              <w:rPr>
                <w:rFonts w:hint="eastAsia" w:ascii="宋体" w:hAnsi="宋体" w:eastAsia="宋体" w:cs="宋体"/>
                <w:color w:val="auto"/>
                <w:spacing w:val="-5"/>
                <w:sz w:val="21"/>
                <w:szCs w:val="21"/>
                <w:lang w:val="en-US" w:eastAsia="zh-CN"/>
              </w:rPr>
              <w:t>跟踪审计</w:t>
            </w:r>
            <w:r>
              <w:rPr>
                <w:rFonts w:ascii="宋体" w:hAnsi="宋体" w:eastAsia="宋体" w:cs="宋体"/>
                <w:color w:val="auto"/>
                <w:spacing w:val="-7"/>
                <w:sz w:val="21"/>
                <w:szCs w:val="21"/>
              </w:rPr>
              <w:t>的业绩加</w:t>
            </w:r>
            <w:r>
              <w:rPr>
                <w:rFonts w:ascii="宋体" w:hAnsi="宋体" w:eastAsia="宋体" w:cs="宋体"/>
                <w:color w:val="auto"/>
                <w:spacing w:val="-10"/>
                <w:sz w:val="21"/>
                <w:szCs w:val="21"/>
              </w:rPr>
              <w:t xml:space="preserve"> </w:t>
            </w:r>
            <w:r>
              <w:rPr>
                <w:rFonts w:ascii="宋体" w:hAnsi="宋体" w:eastAsia="宋体" w:cs="宋体"/>
                <w:color w:val="auto"/>
                <w:spacing w:val="-7"/>
                <w:sz w:val="21"/>
                <w:szCs w:val="21"/>
              </w:rPr>
              <w:t>1.5</w:t>
            </w:r>
            <w:r>
              <w:rPr>
                <w:rFonts w:ascii="宋体" w:hAnsi="宋体" w:eastAsia="宋体" w:cs="宋体"/>
                <w:color w:val="auto"/>
                <w:spacing w:val="-42"/>
                <w:sz w:val="21"/>
                <w:szCs w:val="21"/>
              </w:rPr>
              <w:t xml:space="preserve"> </w:t>
            </w:r>
            <w:r>
              <w:rPr>
                <w:rFonts w:ascii="宋体" w:hAnsi="宋体" w:eastAsia="宋体" w:cs="宋体"/>
                <w:color w:val="auto"/>
                <w:spacing w:val="-7"/>
                <w:sz w:val="21"/>
                <w:szCs w:val="21"/>
              </w:rPr>
              <w:t>分</w:t>
            </w:r>
            <w:r>
              <w:rPr>
                <w:rFonts w:ascii="宋体" w:hAnsi="宋体" w:eastAsia="宋体" w:cs="宋体"/>
                <w:color w:val="auto"/>
                <w:spacing w:val="-15"/>
                <w:sz w:val="21"/>
                <w:szCs w:val="21"/>
              </w:rPr>
              <w:t>【15】；</w:t>
            </w:r>
          </w:p>
          <w:p w14:paraId="3FF92D17">
            <w:pPr>
              <w:keepNext w:val="0"/>
              <w:keepLines w:val="0"/>
              <w:pageBreakBefore w:val="0"/>
              <w:widowControl/>
              <w:kinsoku w:val="0"/>
              <w:wordWrap/>
              <w:overflowPunct/>
              <w:topLinePunct w:val="0"/>
              <w:autoSpaceDE w:val="0"/>
              <w:autoSpaceDN w:val="0"/>
              <w:bidi w:val="0"/>
              <w:adjustRightInd w:val="0"/>
              <w:snapToGrid w:val="0"/>
              <w:spacing w:before="19" w:line="240" w:lineRule="auto"/>
              <w:ind w:left="114" w:right="95" w:firstLine="1"/>
              <w:jc w:val="both"/>
              <w:textAlignment w:val="baseline"/>
              <w:rPr>
                <w:rFonts w:ascii="宋体" w:hAnsi="宋体" w:eastAsia="宋体" w:cs="宋体"/>
                <w:color w:val="auto"/>
                <w:spacing w:val="-6"/>
                <w:sz w:val="21"/>
                <w:szCs w:val="21"/>
              </w:rPr>
            </w:pPr>
            <w:r>
              <w:rPr>
                <w:rFonts w:ascii="宋体" w:hAnsi="宋体" w:eastAsia="宋体" w:cs="宋体"/>
                <w:color w:val="auto"/>
                <w:spacing w:val="-1"/>
                <w:sz w:val="21"/>
                <w:szCs w:val="21"/>
              </w:rPr>
              <w:t>增加一项建安工程费用不低于</w:t>
            </w:r>
            <w:r>
              <w:rPr>
                <w:rFonts w:ascii="宋体" w:hAnsi="宋体" w:eastAsia="宋体" w:cs="宋体"/>
                <w:color w:val="auto"/>
                <w:spacing w:val="-44"/>
                <w:sz w:val="21"/>
                <w:szCs w:val="21"/>
              </w:rPr>
              <w:t xml:space="preserve"> </w:t>
            </w:r>
            <w:r>
              <w:rPr>
                <w:rFonts w:hint="eastAsia" w:ascii="宋体" w:hAnsi="宋体" w:eastAsia="宋体" w:cs="宋体"/>
                <w:color w:val="auto"/>
                <w:spacing w:val="-1"/>
                <w:sz w:val="21"/>
                <w:szCs w:val="21"/>
                <w:lang w:val="en-US" w:eastAsia="zh-CN"/>
              </w:rPr>
              <w:t>1.4</w:t>
            </w:r>
            <w:r>
              <w:rPr>
                <w:rFonts w:ascii="宋体" w:hAnsi="宋体" w:eastAsia="宋体" w:cs="宋体"/>
                <w:color w:val="auto"/>
                <w:spacing w:val="-1"/>
                <w:sz w:val="21"/>
                <w:szCs w:val="21"/>
              </w:rPr>
              <w:t>亿元的公路</w:t>
            </w:r>
            <w:r>
              <w:rPr>
                <w:rFonts w:ascii="宋体" w:hAnsi="宋体" w:eastAsia="宋体" w:cs="宋体"/>
                <w:color w:val="auto"/>
                <w:spacing w:val="-5"/>
                <w:sz w:val="21"/>
                <w:szCs w:val="21"/>
              </w:rPr>
              <w:t>工程</w:t>
            </w:r>
            <w:r>
              <w:rPr>
                <w:rFonts w:ascii="宋体" w:hAnsi="宋体" w:eastAsia="宋体" w:cs="宋体"/>
                <w:color w:val="auto"/>
                <w:spacing w:val="-6"/>
                <w:sz w:val="21"/>
                <w:szCs w:val="21"/>
              </w:rPr>
              <w:t>工程的工程</w:t>
            </w:r>
            <w:r>
              <w:rPr>
                <w:rFonts w:ascii="宋体" w:hAnsi="宋体" w:eastAsia="宋体" w:cs="宋体"/>
                <w:color w:val="auto"/>
                <w:spacing w:val="-9"/>
                <w:sz w:val="21"/>
                <w:szCs w:val="21"/>
              </w:rPr>
              <w:t>结算审核（审计）</w:t>
            </w:r>
            <w:r>
              <w:rPr>
                <w:rFonts w:ascii="宋体" w:hAnsi="宋体" w:eastAsia="宋体" w:cs="宋体"/>
                <w:color w:val="auto"/>
                <w:spacing w:val="-6"/>
                <w:sz w:val="21"/>
                <w:szCs w:val="21"/>
              </w:rPr>
              <w:t>或全过程造价咨询</w:t>
            </w:r>
            <w:r>
              <w:rPr>
                <w:rFonts w:hint="eastAsia" w:ascii="宋体" w:hAnsi="宋体" w:eastAsia="宋体" w:cs="宋体"/>
                <w:color w:val="auto"/>
                <w:spacing w:val="-6"/>
                <w:sz w:val="21"/>
                <w:szCs w:val="21"/>
                <w:lang w:val="en-US" w:eastAsia="zh-CN"/>
              </w:rPr>
              <w:t>或</w:t>
            </w:r>
            <w:r>
              <w:rPr>
                <w:rFonts w:hint="eastAsia" w:ascii="宋体" w:hAnsi="宋体" w:eastAsia="宋体" w:cs="宋体"/>
                <w:color w:val="auto"/>
                <w:spacing w:val="-6"/>
                <w:sz w:val="21"/>
                <w:szCs w:val="21"/>
              </w:rPr>
              <w:t>全过程</w:t>
            </w:r>
            <w:r>
              <w:rPr>
                <w:rFonts w:hint="eastAsia" w:ascii="宋体" w:hAnsi="宋体" w:eastAsia="宋体" w:cs="宋体"/>
                <w:color w:val="auto"/>
                <w:spacing w:val="-6"/>
                <w:sz w:val="21"/>
                <w:szCs w:val="21"/>
                <w:lang w:val="en-US" w:eastAsia="zh-CN"/>
              </w:rPr>
              <w:t>跟踪审计</w:t>
            </w:r>
            <w:r>
              <w:rPr>
                <w:rFonts w:ascii="宋体" w:hAnsi="宋体" w:eastAsia="宋体" w:cs="宋体"/>
                <w:color w:val="auto"/>
                <w:spacing w:val="-6"/>
                <w:sz w:val="21"/>
                <w:szCs w:val="21"/>
              </w:rPr>
              <w:t>的业绩加 1.5 分；</w:t>
            </w:r>
          </w:p>
          <w:p w14:paraId="0ADEA8D9">
            <w:pPr>
              <w:keepNext w:val="0"/>
              <w:keepLines w:val="0"/>
              <w:pageBreakBefore w:val="0"/>
              <w:widowControl/>
              <w:kinsoku w:val="0"/>
              <w:wordWrap/>
              <w:overflowPunct/>
              <w:topLinePunct w:val="0"/>
              <w:autoSpaceDE w:val="0"/>
              <w:autoSpaceDN w:val="0"/>
              <w:bidi w:val="0"/>
              <w:adjustRightInd w:val="0"/>
              <w:snapToGrid w:val="0"/>
              <w:spacing w:before="19" w:line="240" w:lineRule="auto"/>
              <w:ind w:left="114" w:right="95" w:firstLine="1"/>
              <w:jc w:val="both"/>
              <w:textAlignment w:val="baseline"/>
              <w:rPr>
                <w:rFonts w:ascii="宋体" w:hAnsi="宋体" w:eastAsia="宋体" w:cs="宋体"/>
                <w:color w:val="auto"/>
                <w:sz w:val="21"/>
                <w:szCs w:val="21"/>
              </w:rPr>
            </w:pPr>
            <w:r>
              <w:rPr>
                <w:rFonts w:ascii="宋体" w:hAnsi="宋体" w:eastAsia="宋体" w:cs="宋体"/>
                <w:color w:val="auto"/>
                <w:spacing w:val="-6"/>
                <w:sz w:val="21"/>
                <w:szCs w:val="21"/>
              </w:rPr>
              <w:t>每项加一次分，最多加 5 分。</w:t>
            </w:r>
          </w:p>
        </w:tc>
      </w:tr>
      <w:tr w14:paraId="1C61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280" w:type="dxa"/>
            <w:vMerge w:val="continue"/>
            <w:vAlign w:val="top"/>
          </w:tcPr>
          <w:p w14:paraId="44A68350">
            <w:pPr>
              <w:rPr>
                <w:rFonts w:ascii="Arial"/>
                <w:color w:val="auto"/>
                <w:sz w:val="21"/>
              </w:rPr>
            </w:pPr>
          </w:p>
        </w:tc>
        <w:tc>
          <w:tcPr>
            <w:tcW w:w="585" w:type="dxa"/>
            <w:vMerge w:val="continue"/>
            <w:vAlign w:val="top"/>
          </w:tcPr>
          <w:p w14:paraId="17D517F0">
            <w:pPr>
              <w:rPr>
                <w:rFonts w:ascii="Arial"/>
                <w:color w:val="auto"/>
                <w:sz w:val="21"/>
              </w:rPr>
            </w:pPr>
          </w:p>
        </w:tc>
        <w:tc>
          <w:tcPr>
            <w:tcW w:w="582" w:type="dxa"/>
            <w:tcBorders>
              <w:top w:val="single" w:color="auto" w:sz="4" w:space="0"/>
            </w:tcBorders>
            <w:vAlign w:val="center"/>
          </w:tcPr>
          <w:p w14:paraId="229AAED9">
            <w:pPr>
              <w:spacing w:before="68" w:line="220" w:lineRule="auto"/>
              <w:ind w:left="164"/>
              <w:jc w:val="center"/>
              <w:rPr>
                <w:rFonts w:ascii="宋体" w:hAnsi="宋体" w:eastAsia="宋体" w:cs="宋体"/>
                <w:color w:val="auto"/>
                <w:sz w:val="21"/>
                <w:szCs w:val="21"/>
              </w:rPr>
            </w:pPr>
            <w:r>
              <w:rPr>
                <w:rFonts w:ascii="宋体" w:hAnsi="宋体" w:eastAsia="宋体" w:cs="宋体"/>
                <w:color w:val="auto"/>
                <w:spacing w:val="-2"/>
                <w:sz w:val="21"/>
                <w:szCs w:val="21"/>
              </w:rPr>
              <w:t>履约信誉</w:t>
            </w:r>
          </w:p>
        </w:tc>
        <w:tc>
          <w:tcPr>
            <w:tcW w:w="1166" w:type="dxa"/>
            <w:gridSpan w:val="2"/>
            <w:vAlign w:val="center"/>
          </w:tcPr>
          <w:p w14:paraId="138111F7">
            <w:pPr>
              <w:spacing w:before="68" w:line="221" w:lineRule="auto"/>
              <w:ind w:left="401"/>
              <w:jc w:val="both"/>
              <w:rPr>
                <w:rFonts w:ascii="宋体" w:hAnsi="宋体" w:eastAsia="宋体" w:cs="宋体"/>
                <w:color w:val="auto"/>
                <w:sz w:val="21"/>
                <w:szCs w:val="21"/>
              </w:rPr>
            </w:pPr>
            <w:r>
              <w:rPr>
                <w:rFonts w:hint="eastAsia" w:ascii="宋体" w:hAnsi="宋体" w:eastAsia="宋体" w:cs="宋体"/>
                <w:color w:val="auto"/>
                <w:spacing w:val="-6"/>
                <w:sz w:val="21"/>
                <w:szCs w:val="21"/>
                <w:lang w:val="en-US" w:eastAsia="zh-CN"/>
              </w:rPr>
              <w:t>5</w:t>
            </w:r>
            <w:r>
              <w:rPr>
                <w:rFonts w:ascii="宋体" w:hAnsi="宋体" w:eastAsia="宋体" w:cs="宋体"/>
                <w:color w:val="auto"/>
                <w:spacing w:val="-6"/>
                <w:sz w:val="21"/>
                <w:szCs w:val="21"/>
              </w:rPr>
              <w:t>分</w:t>
            </w:r>
          </w:p>
        </w:tc>
        <w:tc>
          <w:tcPr>
            <w:tcW w:w="5337" w:type="dxa"/>
            <w:gridSpan w:val="4"/>
            <w:vAlign w:val="center"/>
          </w:tcPr>
          <w:p w14:paraId="38D87BCD">
            <w:pPr>
              <w:spacing w:before="124" w:line="229" w:lineRule="auto"/>
              <w:ind w:left="118" w:right="97" w:firstLine="12"/>
              <w:jc w:val="both"/>
              <w:rPr>
                <w:rFonts w:ascii="宋体" w:hAnsi="宋体" w:eastAsia="宋体" w:cs="宋体"/>
                <w:color w:val="auto"/>
                <w:sz w:val="21"/>
                <w:szCs w:val="21"/>
              </w:rPr>
            </w:pPr>
            <w:r>
              <w:rPr>
                <w:rFonts w:ascii="宋体" w:hAnsi="宋体" w:eastAsia="宋体" w:cs="宋体"/>
                <w:color w:val="auto"/>
                <w:spacing w:val="-6"/>
                <w:sz w:val="21"/>
                <w:szCs w:val="21"/>
              </w:rPr>
              <w:t>1.满足资格审查条件（信誉最低要求）及投标人</w:t>
            </w:r>
            <w:r>
              <w:rPr>
                <w:rFonts w:ascii="宋体" w:hAnsi="宋体" w:eastAsia="宋体" w:cs="宋体"/>
                <w:color w:val="auto"/>
                <w:spacing w:val="-3"/>
                <w:sz w:val="21"/>
                <w:szCs w:val="21"/>
              </w:rPr>
              <w:t>须知第</w:t>
            </w:r>
            <w:r>
              <w:rPr>
                <w:rFonts w:ascii="宋体" w:hAnsi="宋体" w:eastAsia="宋体" w:cs="宋体"/>
                <w:color w:val="auto"/>
                <w:spacing w:val="-16"/>
                <w:sz w:val="21"/>
                <w:szCs w:val="21"/>
              </w:rPr>
              <w:t xml:space="preserve"> </w:t>
            </w:r>
            <w:r>
              <w:rPr>
                <w:rFonts w:ascii="宋体" w:hAnsi="宋体" w:eastAsia="宋体" w:cs="宋体"/>
                <w:color w:val="auto"/>
                <w:spacing w:val="-3"/>
                <w:sz w:val="21"/>
                <w:szCs w:val="21"/>
              </w:rPr>
              <w:t>1.4.4 项的规定，得</w:t>
            </w:r>
            <w:r>
              <w:rPr>
                <w:rFonts w:hint="eastAsia" w:ascii="宋体" w:hAnsi="宋体" w:eastAsia="宋体" w:cs="宋体"/>
                <w:color w:val="auto"/>
                <w:spacing w:val="-39"/>
                <w:sz w:val="21"/>
                <w:szCs w:val="21"/>
                <w:lang w:val="en-US" w:eastAsia="zh-CN"/>
              </w:rPr>
              <w:t>3</w:t>
            </w:r>
            <w:r>
              <w:rPr>
                <w:rFonts w:ascii="宋体" w:hAnsi="宋体" w:eastAsia="宋体" w:cs="宋体"/>
                <w:color w:val="auto"/>
                <w:spacing w:val="-46"/>
                <w:sz w:val="21"/>
                <w:szCs w:val="21"/>
              </w:rPr>
              <w:t xml:space="preserve"> </w:t>
            </w:r>
            <w:r>
              <w:rPr>
                <w:rFonts w:ascii="宋体" w:hAnsi="宋体" w:eastAsia="宋体" w:cs="宋体"/>
                <w:color w:val="auto"/>
                <w:spacing w:val="-3"/>
                <w:sz w:val="21"/>
                <w:szCs w:val="21"/>
              </w:rPr>
              <w:t>分【16】</w:t>
            </w:r>
          </w:p>
          <w:p w14:paraId="4663220B">
            <w:pPr>
              <w:spacing w:before="22" w:line="220" w:lineRule="auto"/>
              <w:ind w:left="117"/>
              <w:jc w:val="both"/>
              <w:rPr>
                <w:rFonts w:hint="eastAsia" w:ascii="宋体" w:hAnsi="宋体" w:eastAsia="宋体" w:cs="宋体"/>
                <w:color w:val="auto"/>
                <w:spacing w:val="-1"/>
                <w:sz w:val="21"/>
                <w:szCs w:val="21"/>
                <w:highlight w:val="none"/>
                <w:lang w:eastAsia="zh-CN"/>
              </w:rPr>
            </w:pPr>
            <w:r>
              <w:rPr>
                <w:rFonts w:ascii="宋体" w:hAnsi="宋体" w:eastAsia="宋体" w:cs="宋体"/>
                <w:color w:val="auto"/>
                <w:spacing w:val="-1"/>
                <w:sz w:val="21"/>
                <w:szCs w:val="21"/>
              </w:rPr>
              <w:t>2.其他履约信誉</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highlight w:val="none"/>
                <w:lang w:eastAsia="zh-CN"/>
              </w:rPr>
              <w:t>具有2019年-2023年连续获得“纳税信用等级 A”的计</w:t>
            </w:r>
            <w:r>
              <w:rPr>
                <w:rFonts w:hint="eastAsia" w:ascii="宋体" w:hAnsi="宋体" w:eastAsia="宋体"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lang w:eastAsia="zh-CN"/>
              </w:rPr>
              <w:t>分，其它不得分。</w:t>
            </w:r>
          </w:p>
          <w:p w14:paraId="70FE4C9E">
            <w:pPr>
              <w:spacing w:before="22" w:line="220" w:lineRule="auto"/>
              <w:ind w:left="117"/>
              <w:jc w:val="both"/>
              <w:rPr>
                <w:rFonts w:ascii="宋体" w:hAnsi="宋体" w:eastAsia="宋体" w:cs="宋体"/>
                <w:color w:val="auto"/>
                <w:sz w:val="21"/>
                <w:szCs w:val="21"/>
              </w:rPr>
            </w:pPr>
            <w:r>
              <w:rPr>
                <w:rFonts w:hint="eastAsia" w:ascii="宋体" w:hAnsi="宋体" w:eastAsia="宋体" w:cs="宋体"/>
                <w:color w:val="auto"/>
                <w:spacing w:val="-1"/>
                <w:sz w:val="21"/>
                <w:szCs w:val="21"/>
                <w:highlight w:val="none"/>
                <w:lang w:eastAsia="zh-CN"/>
              </w:rPr>
              <w:t>注：提供国家税务总局（或信用中国或省级税务局）查询结果截图并加盖投标人公章，否则不计分。</w:t>
            </w:r>
            <w:r>
              <w:rPr>
                <w:rFonts w:ascii="宋体" w:hAnsi="宋体" w:eastAsia="宋体" w:cs="宋体"/>
                <w:color w:val="auto"/>
                <w:spacing w:val="-1"/>
                <w:sz w:val="21"/>
                <w:szCs w:val="21"/>
              </w:rPr>
              <w:t>【17】</w:t>
            </w:r>
          </w:p>
        </w:tc>
      </w:tr>
    </w:tbl>
    <w:p w14:paraId="5048DD2F">
      <w:pPr>
        <w:spacing w:line="246" w:lineRule="auto"/>
        <w:rPr>
          <w:rFonts w:ascii="Arial"/>
          <w:color w:val="auto"/>
          <w:sz w:val="21"/>
        </w:rPr>
      </w:pPr>
    </w:p>
    <w:p w14:paraId="3626EE54">
      <w:pPr>
        <w:spacing w:line="246" w:lineRule="auto"/>
        <w:rPr>
          <w:rFonts w:ascii="Arial"/>
          <w:color w:val="auto"/>
          <w:sz w:val="21"/>
        </w:rPr>
      </w:pPr>
    </w:p>
    <w:p w14:paraId="2D992B48">
      <w:pPr>
        <w:spacing w:line="246" w:lineRule="auto"/>
        <w:rPr>
          <w:rFonts w:ascii="Arial"/>
          <w:color w:val="auto"/>
          <w:sz w:val="21"/>
        </w:rPr>
      </w:pPr>
    </w:p>
    <w:p w14:paraId="5D30604E">
      <w:pPr>
        <w:spacing w:line="246" w:lineRule="auto"/>
        <w:rPr>
          <w:rFonts w:ascii="Arial"/>
          <w:color w:val="auto"/>
          <w:sz w:val="21"/>
        </w:rPr>
      </w:pPr>
    </w:p>
    <w:p w14:paraId="3E34BC47">
      <w:pPr>
        <w:spacing w:line="246" w:lineRule="auto"/>
        <w:rPr>
          <w:rFonts w:ascii="Arial"/>
          <w:color w:val="auto"/>
          <w:sz w:val="21"/>
        </w:rPr>
      </w:pPr>
    </w:p>
    <w:p w14:paraId="39231EFE">
      <w:pPr>
        <w:spacing w:line="246" w:lineRule="auto"/>
        <w:rPr>
          <w:rFonts w:ascii="Arial"/>
          <w:color w:val="auto"/>
          <w:sz w:val="21"/>
        </w:rPr>
      </w:pPr>
    </w:p>
    <w:p w14:paraId="652B9718">
      <w:pPr>
        <w:spacing w:line="246" w:lineRule="auto"/>
        <w:rPr>
          <w:rFonts w:ascii="Arial"/>
          <w:color w:val="auto"/>
          <w:sz w:val="21"/>
        </w:rPr>
      </w:pPr>
    </w:p>
    <w:p w14:paraId="6093C2E1">
      <w:pPr>
        <w:spacing w:line="246" w:lineRule="auto"/>
        <w:rPr>
          <w:rFonts w:ascii="Arial"/>
          <w:color w:val="auto"/>
          <w:sz w:val="21"/>
        </w:rPr>
      </w:pPr>
    </w:p>
    <w:p w14:paraId="7ED1581E">
      <w:pPr>
        <w:spacing w:line="246" w:lineRule="auto"/>
        <w:rPr>
          <w:rFonts w:ascii="Arial"/>
          <w:color w:val="auto"/>
          <w:sz w:val="21"/>
        </w:rPr>
      </w:pPr>
    </w:p>
    <w:p w14:paraId="421D7412">
      <w:pPr>
        <w:spacing w:line="246" w:lineRule="auto"/>
        <w:rPr>
          <w:rFonts w:ascii="Arial"/>
          <w:color w:val="auto"/>
          <w:sz w:val="21"/>
        </w:rPr>
      </w:pPr>
    </w:p>
    <w:p w14:paraId="4E19323C">
      <w:pPr>
        <w:spacing w:line="246" w:lineRule="auto"/>
        <w:rPr>
          <w:rFonts w:ascii="Arial"/>
          <w:color w:val="auto"/>
          <w:sz w:val="21"/>
        </w:rPr>
      </w:pPr>
    </w:p>
    <w:p w14:paraId="7302CF1B">
      <w:pPr>
        <w:spacing w:line="246" w:lineRule="auto"/>
        <w:rPr>
          <w:rFonts w:ascii="Arial"/>
          <w:color w:val="auto"/>
          <w:sz w:val="21"/>
        </w:rPr>
      </w:pPr>
    </w:p>
    <w:p w14:paraId="30DBD45C">
      <w:pPr>
        <w:spacing w:line="246" w:lineRule="auto"/>
        <w:rPr>
          <w:rFonts w:ascii="Arial"/>
          <w:color w:val="auto"/>
          <w:sz w:val="21"/>
        </w:rPr>
      </w:pPr>
    </w:p>
    <w:p w14:paraId="09914C94">
      <w:pPr>
        <w:spacing w:line="246" w:lineRule="auto"/>
        <w:rPr>
          <w:rFonts w:ascii="Arial"/>
          <w:color w:val="auto"/>
          <w:sz w:val="21"/>
        </w:rPr>
      </w:pPr>
    </w:p>
    <w:p w14:paraId="28350AE2">
      <w:pPr>
        <w:spacing w:line="246" w:lineRule="auto"/>
        <w:rPr>
          <w:rFonts w:ascii="Arial"/>
          <w:color w:val="auto"/>
          <w:sz w:val="21"/>
        </w:rPr>
      </w:pPr>
    </w:p>
    <w:p w14:paraId="44906002">
      <w:pPr>
        <w:pStyle w:val="2"/>
        <w:spacing w:before="94" w:line="223" w:lineRule="auto"/>
        <w:ind w:left="3350"/>
        <w:outlineLvl w:val="1"/>
        <w:rPr>
          <w:color w:val="auto"/>
          <w:sz w:val="14"/>
          <w:szCs w:val="14"/>
        </w:rPr>
      </w:pPr>
      <w:r>
        <w:rPr>
          <w:i/>
          <w:iCs/>
          <w:color w:val="auto"/>
          <w:spacing w:val="16"/>
          <w:sz w:val="29"/>
          <w:szCs w:val="29"/>
        </w:rPr>
        <w:t>附件</w:t>
      </w:r>
      <w:r>
        <w:rPr>
          <w:rFonts w:ascii="宋体" w:hAnsi="宋体" w:eastAsia="宋体" w:cs="宋体"/>
          <w:i/>
          <w:iCs/>
          <w:color w:val="auto"/>
          <w:spacing w:val="16"/>
          <w:sz w:val="29"/>
          <w:szCs w:val="29"/>
        </w:rPr>
        <w:t>3</w:t>
      </w:r>
      <w:r>
        <w:rPr>
          <w:rFonts w:ascii="宋体" w:hAnsi="宋体" w:eastAsia="宋体" w:cs="宋体"/>
          <w:color w:val="auto"/>
          <w:spacing w:val="-67"/>
          <w:sz w:val="29"/>
          <w:szCs w:val="29"/>
        </w:rPr>
        <w:t xml:space="preserve"> </w:t>
      </w:r>
      <w:r>
        <w:rPr>
          <w:i/>
          <w:iCs/>
          <w:color w:val="auto"/>
          <w:spacing w:val="16"/>
          <w:sz w:val="29"/>
          <w:szCs w:val="29"/>
        </w:rPr>
        <w:t>项目概况</w:t>
      </w:r>
      <w:r>
        <w:rPr>
          <w:i/>
          <w:iCs/>
          <w:color w:val="auto"/>
          <w:spacing w:val="16"/>
          <w:position w:val="13"/>
          <w:sz w:val="14"/>
          <w:szCs w:val="14"/>
        </w:rPr>
        <w:t>①</w:t>
      </w:r>
    </w:p>
    <w:p w14:paraId="04F45641">
      <w:pPr>
        <w:spacing w:line="353" w:lineRule="auto"/>
        <w:rPr>
          <w:rFonts w:ascii="Arial"/>
          <w:color w:val="auto"/>
          <w:sz w:val="21"/>
        </w:rPr>
      </w:pPr>
    </w:p>
    <w:p w14:paraId="7106F3F0">
      <w:pPr>
        <w:pStyle w:val="2"/>
        <w:spacing w:before="68" w:line="561" w:lineRule="auto"/>
        <w:ind w:left="4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u w:val="single" w:color="auto"/>
        </w:rPr>
        <w:t xml:space="preserve">一、相关区域路网现状及规划（包括道路及交通工程设施现状及规划）    </w:t>
      </w:r>
    </w:p>
    <w:p w14:paraId="530EFEE3">
      <w:pPr>
        <w:spacing w:line="318" w:lineRule="auto"/>
        <w:rPr>
          <w:rFonts w:hint="eastAsia" w:ascii="宋体" w:hAnsi="宋体" w:eastAsia="宋体" w:cs="宋体"/>
          <w:color w:val="auto"/>
          <w:spacing w:val="0"/>
          <w:sz w:val="21"/>
        </w:rPr>
      </w:pPr>
      <w:r>
        <w:rPr>
          <w:rFonts w:hint="eastAsia" w:ascii="宋体" w:hAnsi="宋体" w:eastAsia="宋体" w:cs="宋体"/>
          <w:color w:val="auto"/>
          <w:spacing w:val="0"/>
          <w:sz w:val="21"/>
        </w:rPr>
        <w:t>（1）项目说明：</w:t>
      </w:r>
    </w:p>
    <w:p w14:paraId="553E246A">
      <w:pPr>
        <w:spacing w:line="318" w:lineRule="auto"/>
        <w:rPr>
          <w:rFonts w:hint="eastAsia" w:ascii="宋体" w:hAnsi="宋体" w:eastAsia="宋体" w:cs="宋体"/>
          <w:color w:val="auto"/>
          <w:spacing w:val="0"/>
          <w:sz w:val="21"/>
        </w:rPr>
      </w:pPr>
      <w:r>
        <w:rPr>
          <w:rFonts w:hint="eastAsia" w:ascii="宋体" w:hAnsi="宋体" w:eastAsia="宋体" w:cs="宋体"/>
          <w:color w:val="auto"/>
          <w:spacing w:val="0"/>
          <w:sz w:val="21"/>
          <w:u w:val="single"/>
          <w:lang w:eastAsia="zh-CN"/>
        </w:rPr>
        <w:t>本</w:t>
      </w:r>
      <w:r>
        <w:rPr>
          <w:rFonts w:hint="eastAsia" w:ascii="宋体" w:hAnsi="宋体" w:eastAsia="宋体" w:cs="宋体"/>
          <w:color w:val="auto"/>
          <w:spacing w:val="0"/>
          <w:sz w:val="21"/>
          <w:u w:val="single"/>
        </w:rPr>
        <w:t>项目起点 路线起点（K0+000）位于湘鄂两省交界处的临湘市羊楼司镇 ，接G107老路（桩号 K1508+308），路线往西南沿老路布线，经羊楼司镇新屋村，在K6+680位置下穿新屋渡槽，在K7+260附近下穿京港澳高速，继续往老路布线经千针村，终点（K13+114.1）位于临湘五里牌街道最兰坡 ，与S206省道T字交叉，顺接G107老路（桩号K1521+427）。路线全长13.114km。 整体呈东北至西南走向。本项目全线采用一级公路标准建设，沥青混凝土路面，设计速度 80 公里/小时。起点至麻子园段（K0+000-K4+720）路基宽度23.5m，</w:t>
      </w:r>
      <w:r>
        <w:rPr>
          <w:rFonts w:hint="eastAsia" w:ascii="宋体" w:hAnsi="宋体" w:eastAsia="宋体" w:cs="宋体"/>
          <w:color w:val="auto"/>
          <w:spacing w:val="0"/>
          <w:sz w:val="21"/>
          <w:u w:val="single"/>
          <w:lang w:eastAsia="zh-CN"/>
        </w:rPr>
        <w:t>路面宽</w:t>
      </w:r>
      <w:r>
        <w:rPr>
          <w:rFonts w:hint="eastAsia" w:ascii="宋体" w:hAnsi="宋体" w:eastAsia="宋体" w:cs="宋体"/>
          <w:color w:val="auto"/>
          <w:spacing w:val="0"/>
          <w:sz w:val="21"/>
          <w:u w:val="single"/>
          <w:lang w:val="en-US" w:eastAsia="zh-CN"/>
        </w:rPr>
        <w:t xml:space="preserve">25.5米 </w:t>
      </w:r>
      <w:r>
        <w:rPr>
          <w:rFonts w:hint="eastAsia" w:ascii="宋体" w:hAnsi="宋体" w:eastAsia="宋体" w:cs="宋体"/>
          <w:color w:val="auto"/>
          <w:spacing w:val="0"/>
          <w:sz w:val="21"/>
          <w:u w:val="single"/>
        </w:rPr>
        <w:t>。麻子园至终点段（K4+720-K13+114.1）路基宽度 30.0m，</w:t>
      </w:r>
      <w:r>
        <w:rPr>
          <w:rFonts w:hint="eastAsia" w:ascii="宋体" w:hAnsi="宋体" w:eastAsia="宋体" w:cs="宋体"/>
          <w:color w:val="auto"/>
          <w:spacing w:val="0"/>
          <w:sz w:val="21"/>
          <w:u w:val="single"/>
          <w:lang w:eastAsia="zh-CN"/>
        </w:rPr>
        <w:t>路面宽</w:t>
      </w:r>
      <w:r>
        <w:rPr>
          <w:rFonts w:hint="eastAsia" w:ascii="宋体" w:hAnsi="宋体" w:eastAsia="宋体" w:cs="宋体"/>
          <w:color w:val="auto"/>
          <w:spacing w:val="0"/>
          <w:sz w:val="21"/>
          <w:u w:val="single"/>
          <w:lang w:val="en-US" w:eastAsia="zh-CN"/>
        </w:rPr>
        <w:t>25.5米</w:t>
      </w:r>
      <w:r>
        <w:rPr>
          <w:rFonts w:hint="eastAsia" w:ascii="宋体" w:hAnsi="宋体" w:eastAsia="宋体" w:cs="宋体"/>
          <w:color w:val="auto"/>
          <w:spacing w:val="0"/>
          <w:sz w:val="21"/>
          <w:u w:val="single"/>
        </w:rPr>
        <w:t>。全线共设置桥梁155.08米/2座，其中大桥133.08米/1座，小桥22.0米/座，全线共设置涵洞32道，新建涵洞9道，完全利用涵洞23道。全线桥涵设计汽车荷载等级采用公路-I级。</w:t>
      </w:r>
    </w:p>
    <w:p w14:paraId="68FC75F7">
      <w:pPr>
        <w:spacing w:line="318" w:lineRule="auto"/>
        <w:rPr>
          <w:rFonts w:hint="eastAsia" w:ascii="宋体" w:hAnsi="宋体" w:eastAsia="宋体" w:cs="宋体"/>
          <w:color w:val="auto"/>
          <w:spacing w:val="0"/>
          <w:sz w:val="21"/>
        </w:rPr>
      </w:pPr>
      <w:r>
        <w:rPr>
          <w:rFonts w:hint="eastAsia" w:ascii="宋体" w:hAnsi="宋体" w:eastAsia="宋体" w:cs="宋体"/>
          <w:color w:val="auto"/>
          <w:spacing w:val="0"/>
          <w:sz w:val="21"/>
        </w:rPr>
        <w:t>（2）水文、气象及地质简况；</w:t>
      </w:r>
    </w:p>
    <w:p w14:paraId="4BCF51A8">
      <w:pPr>
        <w:spacing w:line="318" w:lineRule="auto"/>
        <w:rPr>
          <w:rFonts w:hint="eastAsia" w:ascii="宋体" w:hAnsi="宋体" w:eastAsia="宋体" w:cs="宋体"/>
          <w:color w:val="auto"/>
          <w:spacing w:val="0"/>
          <w:sz w:val="21"/>
          <w:u w:val="single"/>
          <w:lang w:eastAsia="zh-CN"/>
        </w:rPr>
      </w:pPr>
      <w:r>
        <w:rPr>
          <w:rFonts w:hint="eastAsia" w:ascii="宋体" w:hAnsi="宋体" w:eastAsia="宋体" w:cs="宋体"/>
          <w:color w:val="auto"/>
          <w:spacing w:val="0"/>
          <w:sz w:val="21"/>
          <w:u w:val="single"/>
          <w:lang w:eastAsia="zh-CN"/>
        </w:rPr>
        <w:t>项目所在地临湘在属于亚热带季风性湿润气候。年平均气温17度，年平均降雨量1302毫米，四季分明，雨量充沛，温暖湿润，四季分明，季节性强；热量丰富，严寒期短、无霜期长，春温多变，盛夏酷热；雨水充沛，雨季明显，降水集中。</w:t>
      </w:r>
    </w:p>
    <w:p w14:paraId="7567EA40">
      <w:pPr>
        <w:spacing w:line="318" w:lineRule="auto"/>
        <w:rPr>
          <w:rFonts w:hint="eastAsia" w:ascii="宋体" w:hAnsi="宋体" w:eastAsia="宋体" w:cs="宋体"/>
          <w:color w:val="auto"/>
          <w:spacing w:val="0"/>
          <w:sz w:val="21"/>
          <w:lang w:eastAsia="zh-CN"/>
        </w:rPr>
      </w:pPr>
      <w:r>
        <w:rPr>
          <w:rFonts w:hint="eastAsia" w:ascii="宋体" w:hAnsi="宋体" w:eastAsia="宋体" w:cs="宋体"/>
          <w:color w:val="auto"/>
          <w:spacing w:val="0"/>
          <w:sz w:val="21"/>
          <w:u w:val="single"/>
          <w:lang w:eastAsia="zh-CN"/>
        </w:rPr>
        <w:t>本项目</w:t>
      </w:r>
      <w:r>
        <w:rPr>
          <w:rFonts w:hint="eastAsia" w:ascii="宋体" w:hAnsi="宋体" w:eastAsia="宋体" w:cs="宋体"/>
          <w:color w:val="auto"/>
          <w:spacing w:val="0"/>
          <w:sz w:val="21"/>
          <w:u w:val="single"/>
        </w:rPr>
        <w:t>线路段地表水体主要河流为新店河及支流，沿线水库、水塘分布较广。其水量及水位受大气降水影响较大，雨季水位暴涨暴落，枯水期水位浅可见底甚至干枯。地表水系较发育，其水量主要受大气降水影响。路线区域内地下水类型分为第四系松散岩类孔隙水、基岩裂隙水和岩溶水三个大类</w:t>
      </w:r>
      <w:r>
        <w:rPr>
          <w:rFonts w:hint="eastAsia" w:ascii="宋体" w:hAnsi="宋体" w:eastAsia="宋体" w:cs="宋体"/>
          <w:color w:val="auto"/>
          <w:spacing w:val="0"/>
          <w:sz w:val="21"/>
          <w:u w:val="single"/>
          <w:lang w:eastAsia="zh-CN"/>
        </w:rPr>
        <w:t>。</w:t>
      </w:r>
    </w:p>
    <w:p w14:paraId="183DF9B0">
      <w:pPr>
        <w:spacing w:line="318" w:lineRule="auto"/>
        <w:rPr>
          <w:rFonts w:hint="eastAsia" w:ascii="宋体" w:hAnsi="宋体" w:eastAsia="宋体" w:cs="宋体"/>
          <w:color w:val="auto"/>
          <w:spacing w:val="0"/>
          <w:sz w:val="21"/>
        </w:rPr>
      </w:pPr>
      <w:r>
        <w:rPr>
          <w:rFonts w:hint="eastAsia" w:ascii="宋体" w:hAnsi="宋体" w:eastAsia="宋体" w:cs="宋体"/>
          <w:color w:val="auto"/>
          <w:spacing w:val="0"/>
          <w:sz w:val="21"/>
          <w:u w:val="single"/>
          <w:lang w:val="en-US" w:eastAsia="zh-CN"/>
        </w:rPr>
        <w:t>线路内不良地质主要是岩溶及土洞，线路范围内分布碳酸盐岩，主要为灰岩。岩溶形态主要为浅部的溶沟溶槽及溶洞，为浅覆盖型，岩溶埋藏较浅，地下水丰富，与地表水联系较密切。</w:t>
      </w:r>
      <w:r>
        <w:rPr>
          <w:rFonts w:hint="eastAsia" w:ascii="宋体" w:hAnsi="宋体" w:eastAsia="宋体" w:cs="宋体"/>
          <w:color w:val="auto"/>
          <w:spacing w:val="0"/>
          <w:sz w:val="21"/>
          <w:lang w:val="en-US" w:eastAsia="zh-CN"/>
        </w:rPr>
        <w:t xml:space="preserve"> </w:t>
      </w:r>
    </w:p>
    <w:p w14:paraId="3FFC47E4">
      <w:pPr>
        <w:spacing w:line="318" w:lineRule="auto"/>
        <w:rPr>
          <w:rFonts w:hint="eastAsia" w:ascii="宋体" w:hAnsi="宋体" w:eastAsia="宋体" w:cs="宋体"/>
          <w:color w:val="auto"/>
          <w:spacing w:val="0"/>
          <w:sz w:val="21"/>
        </w:rPr>
      </w:pPr>
      <w:r>
        <w:rPr>
          <w:rFonts w:hint="eastAsia" w:ascii="宋体" w:hAnsi="宋体" w:eastAsia="宋体" w:cs="宋体"/>
          <w:color w:val="auto"/>
          <w:spacing w:val="0"/>
          <w:sz w:val="21"/>
          <w:lang w:val="en-US" w:eastAsia="zh-CN"/>
        </w:rPr>
        <w:t xml:space="preserve"> </w:t>
      </w:r>
      <w:r>
        <w:rPr>
          <w:rFonts w:hint="eastAsia" w:ascii="宋体" w:hAnsi="宋体" w:eastAsia="宋体" w:cs="宋体"/>
          <w:color w:val="auto"/>
          <w:spacing w:val="0"/>
          <w:sz w:val="21"/>
        </w:rPr>
        <w:t>（3）交通、电力、通信及其他条件；</w:t>
      </w:r>
    </w:p>
    <w:p w14:paraId="11363B7F">
      <w:pPr>
        <w:spacing w:line="318" w:lineRule="auto"/>
        <w:rPr>
          <w:rFonts w:hint="eastAsia" w:ascii="宋体" w:hAnsi="宋体" w:eastAsia="宋体" w:cs="宋体"/>
          <w:color w:val="auto"/>
          <w:spacing w:val="0"/>
          <w:sz w:val="21"/>
          <w:lang w:eastAsia="zh-CN"/>
        </w:rPr>
      </w:pPr>
      <w:r>
        <w:rPr>
          <w:rFonts w:hint="eastAsia" w:ascii="宋体" w:hAnsi="宋体" w:eastAsia="宋体" w:cs="宋体"/>
          <w:color w:val="auto"/>
          <w:spacing w:val="0"/>
          <w:sz w:val="21"/>
          <w:u w:val="single"/>
          <w:lang w:eastAsia="zh-CN"/>
        </w:rPr>
        <w:t>本项目区域</w:t>
      </w:r>
      <w:r>
        <w:rPr>
          <w:rFonts w:hint="eastAsia" w:ascii="宋体" w:hAnsi="宋体" w:eastAsia="宋体" w:cs="宋体"/>
          <w:color w:val="auto"/>
          <w:spacing w:val="0"/>
          <w:sz w:val="21"/>
          <w:u w:val="single"/>
        </w:rPr>
        <w:t>内交通以公路为主，铁路、水运为辅，京广铁路、武广铁路、京珠高速、G107、G106、S210、S206 纵贯南北，S301、S308、S313 横跨东西，众多公路相互交叉成网，交通较为便利。G107 在岳阳范围内北部直接联系湖北，南部联系长沙，贯穿岳阳全境，G107 属于国省干线路网中南北贯通的主要交通大动脉，除高速外最大的开放性路网，承载着 G4 京港澳车辆分流、外省过境车辆通行等重要交通功能</w:t>
      </w:r>
      <w:r>
        <w:rPr>
          <w:rFonts w:hint="eastAsia" w:ascii="宋体" w:hAnsi="宋体" w:eastAsia="宋体" w:cs="宋体"/>
          <w:color w:val="auto"/>
          <w:spacing w:val="0"/>
          <w:sz w:val="21"/>
          <w:u w:val="single"/>
          <w:lang w:eastAsia="zh-CN"/>
        </w:rPr>
        <w:t>。电力和通信在本区域内的配置，在各个环节上能做好充足的保障。</w:t>
      </w:r>
    </w:p>
    <w:p w14:paraId="500F1B49">
      <w:pPr>
        <w:spacing w:line="318" w:lineRule="auto"/>
        <w:rPr>
          <w:rFonts w:hint="eastAsia" w:ascii="宋体" w:hAnsi="宋体" w:eastAsia="宋体" w:cs="宋体"/>
          <w:color w:val="auto"/>
          <w:spacing w:val="0"/>
          <w:sz w:val="21"/>
        </w:rPr>
      </w:pPr>
      <w:r>
        <w:rPr>
          <w:rFonts w:hint="eastAsia" w:ascii="宋体" w:hAnsi="宋体" w:eastAsia="宋体" w:cs="宋体"/>
          <w:color w:val="auto"/>
          <w:spacing w:val="0"/>
          <w:sz w:val="21"/>
        </w:rPr>
        <w:t>（4）施工标段划分及各标段主要工程数量表；</w:t>
      </w:r>
    </w:p>
    <w:p w14:paraId="1099CAF2">
      <w:pPr>
        <w:spacing w:line="318" w:lineRule="auto"/>
        <w:rPr>
          <w:rFonts w:hint="eastAsia" w:ascii="宋体" w:hAnsi="宋体" w:eastAsia="宋体" w:cs="宋体"/>
          <w:color w:val="auto"/>
          <w:spacing w:val="0"/>
          <w:sz w:val="21"/>
          <w:u w:val="single"/>
          <w:lang w:eastAsia="zh-CN"/>
        </w:rPr>
      </w:pPr>
      <w:r>
        <w:rPr>
          <w:rFonts w:hint="eastAsia" w:ascii="宋体" w:hAnsi="宋体" w:eastAsia="宋体" w:cs="宋体"/>
          <w:color w:val="auto"/>
          <w:spacing w:val="0"/>
          <w:sz w:val="21"/>
          <w:u w:val="single"/>
          <w:lang w:eastAsia="zh-CN"/>
        </w:rPr>
        <w:t>本项目施工为一个标段，主要施工内容为路基工程、路面工程、交安工程、桥涵工程、绿化工程等。</w:t>
      </w:r>
    </w:p>
    <w:p w14:paraId="7489EAAA">
      <w:pPr>
        <w:spacing w:line="318" w:lineRule="auto"/>
        <w:rPr>
          <w:rFonts w:hint="eastAsia" w:ascii="宋体" w:hAnsi="宋体" w:eastAsia="宋体" w:cs="宋体"/>
          <w:color w:val="auto"/>
          <w:spacing w:val="0"/>
          <w:sz w:val="21"/>
        </w:rPr>
      </w:pPr>
    </w:p>
    <w:p w14:paraId="37E28F05">
      <w:pPr>
        <w:pStyle w:val="2"/>
        <w:spacing w:before="68" w:line="220" w:lineRule="auto"/>
        <w:ind w:left="4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u w:val="single" w:color="auto"/>
        </w:rPr>
        <w:t xml:space="preserve">二、建设规模及技术标准   </w:t>
      </w:r>
    </w:p>
    <w:p w14:paraId="4681605B">
      <w:pPr>
        <w:spacing w:line="321" w:lineRule="auto"/>
        <w:rPr>
          <w:rFonts w:hint="eastAsia" w:ascii="宋体" w:hAnsi="宋体" w:eastAsia="宋体" w:cs="宋体"/>
          <w:color w:val="auto"/>
          <w:spacing w:val="0"/>
          <w:sz w:val="21"/>
        </w:rPr>
      </w:pPr>
    </w:p>
    <w:p w14:paraId="6FCDAF17">
      <w:pPr>
        <w:spacing w:line="325" w:lineRule="auto"/>
        <w:rPr>
          <w:rFonts w:hint="eastAsia" w:ascii="宋体" w:hAnsi="宋体" w:eastAsia="宋体" w:cs="宋体"/>
          <w:color w:val="auto"/>
          <w:spacing w:val="0"/>
          <w:sz w:val="21"/>
        </w:rPr>
      </w:pPr>
      <w:r>
        <w:rPr>
          <w:rFonts w:hint="eastAsia" w:ascii="宋体" w:hAnsi="宋体" w:eastAsia="宋体" w:cs="宋体"/>
          <w:color w:val="auto"/>
          <w:spacing w:val="0"/>
          <w:sz w:val="21"/>
          <w:szCs w:val="21"/>
          <w:u w:val="single" w:color="auto"/>
          <w:lang w:eastAsia="zh-CN"/>
        </w:rPr>
        <w:t>G107岳阳市改线工程（临湘羊楼司至五里牌段）</w:t>
      </w:r>
      <w:r>
        <w:rPr>
          <w:rFonts w:hint="eastAsia" w:ascii="宋体" w:hAnsi="宋体" w:eastAsia="宋体" w:cs="宋体"/>
          <w:color w:val="auto"/>
          <w:spacing w:val="0"/>
          <w:sz w:val="21"/>
          <w:szCs w:val="21"/>
          <w:u w:val="single" w:color="auto"/>
        </w:rPr>
        <w:t>路线起点路线起点</w:t>
      </w:r>
      <w:r>
        <w:rPr>
          <w:rFonts w:hint="eastAsia" w:ascii="宋体" w:hAnsi="宋体" w:eastAsia="宋体" w:cs="宋体"/>
          <w:color w:val="auto"/>
          <w:spacing w:val="0"/>
          <w:sz w:val="21"/>
          <w:szCs w:val="21"/>
          <w:u w:val="single" w:color="auto"/>
          <w:lang w:eastAsia="zh-CN"/>
        </w:rPr>
        <w:t>（</w:t>
      </w:r>
      <w:r>
        <w:rPr>
          <w:rFonts w:hint="eastAsia" w:ascii="宋体" w:hAnsi="宋体" w:eastAsia="宋体" w:cs="宋体"/>
          <w:color w:val="auto"/>
          <w:spacing w:val="0"/>
          <w:sz w:val="21"/>
          <w:szCs w:val="21"/>
          <w:u w:val="single" w:color="auto"/>
        </w:rPr>
        <w:t>K0+000</w:t>
      </w:r>
      <w:r>
        <w:rPr>
          <w:rFonts w:hint="eastAsia" w:ascii="宋体" w:hAnsi="宋体" w:eastAsia="宋体" w:cs="宋体"/>
          <w:color w:val="auto"/>
          <w:spacing w:val="0"/>
          <w:sz w:val="21"/>
          <w:szCs w:val="21"/>
          <w:u w:val="single" w:color="auto"/>
          <w:lang w:eastAsia="zh-CN"/>
        </w:rPr>
        <w:t>）</w:t>
      </w:r>
      <w:r>
        <w:rPr>
          <w:rFonts w:hint="eastAsia" w:ascii="宋体" w:hAnsi="宋体" w:eastAsia="宋体" w:cs="宋体"/>
          <w:color w:val="auto"/>
          <w:spacing w:val="0"/>
          <w:sz w:val="21"/>
          <w:szCs w:val="21"/>
          <w:u w:val="single" w:color="auto"/>
        </w:rPr>
        <w:t>位于湘鄂两省交界处的临湘市羊楼司镇，接G107老路</w:t>
      </w:r>
      <w:r>
        <w:rPr>
          <w:rFonts w:hint="eastAsia" w:ascii="宋体" w:hAnsi="宋体" w:eastAsia="宋体" w:cs="宋体"/>
          <w:color w:val="auto"/>
          <w:spacing w:val="0"/>
          <w:sz w:val="21"/>
          <w:szCs w:val="21"/>
          <w:u w:val="single" w:color="auto"/>
          <w:lang w:eastAsia="zh-CN"/>
        </w:rPr>
        <w:t>（</w:t>
      </w:r>
      <w:r>
        <w:rPr>
          <w:rFonts w:hint="eastAsia" w:ascii="宋体" w:hAnsi="宋体" w:eastAsia="宋体" w:cs="宋体"/>
          <w:color w:val="auto"/>
          <w:spacing w:val="0"/>
          <w:sz w:val="21"/>
          <w:szCs w:val="21"/>
          <w:u w:val="single" w:color="auto"/>
        </w:rPr>
        <w:t>桩号K1508+308），路线往西南沿老路布线，经羊楼司镇</w:t>
      </w:r>
      <w:r>
        <w:rPr>
          <w:rFonts w:hint="eastAsia" w:ascii="宋体" w:hAnsi="宋体" w:eastAsia="宋体" w:cs="宋体"/>
          <w:color w:val="auto"/>
          <w:spacing w:val="0"/>
          <w:sz w:val="21"/>
          <w:szCs w:val="21"/>
          <w:u w:val="single" w:color="auto"/>
          <w:lang w:eastAsia="zh-CN"/>
        </w:rPr>
        <w:t>新</w:t>
      </w:r>
      <w:r>
        <w:rPr>
          <w:rFonts w:hint="eastAsia" w:ascii="宋体" w:hAnsi="宋体" w:eastAsia="宋体" w:cs="宋体"/>
          <w:color w:val="auto"/>
          <w:spacing w:val="0"/>
          <w:sz w:val="21"/>
          <w:szCs w:val="21"/>
          <w:u w:val="single" w:color="auto"/>
        </w:rPr>
        <w:t>屋村，在K6+680位置下穿新屋渡槽，在K7+260附近下穿京港</w:t>
      </w:r>
      <w:r>
        <w:rPr>
          <w:rFonts w:hint="eastAsia" w:ascii="宋体" w:hAnsi="宋体" w:eastAsia="宋体" w:cs="宋体"/>
          <w:color w:val="auto"/>
          <w:spacing w:val="0"/>
          <w:sz w:val="21"/>
          <w:szCs w:val="21"/>
          <w:u w:val="single" w:color="auto"/>
          <w:lang w:eastAsia="zh-CN"/>
        </w:rPr>
        <w:t>澳</w:t>
      </w:r>
      <w:r>
        <w:rPr>
          <w:rFonts w:hint="eastAsia" w:ascii="宋体" w:hAnsi="宋体" w:eastAsia="宋体" w:cs="宋体"/>
          <w:color w:val="auto"/>
          <w:spacing w:val="0"/>
          <w:sz w:val="21"/>
          <w:szCs w:val="21"/>
          <w:u w:val="single" w:color="auto"/>
        </w:rPr>
        <w:t>高速，继续往老路布线经千针村，终点</w:t>
      </w:r>
      <w:r>
        <w:rPr>
          <w:rFonts w:hint="eastAsia" w:ascii="宋体" w:hAnsi="宋体" w:eastAsia="宋体" w:cs="宋体"/>
          <w:color w:val="auto"/>
          <w:spacing w:val="0"/>
          <w:sz w:val="21"/>
          <w:szCs w:val="21"/>
          <w:u w:val="single" w:color="auto"/>
          <w:lang w:eastAsia="zh-CN"/>
        </w:rPr>
        <w:t>（</w:t>
      </w:r>
      <w:r>
        <w:rPr>
          <w:rFonts w:hint="eastAsia" w:ascii="宋体" w:hAnsi="宋体" w:eastAsia="宋体" w:cs="宋体"/>
          <w:color w:val="auto"/>
          <w:spacing w:val="0"/>
          <w:sz w:val="21"/>
          <w:szCs w:val="21"/>
          <w:u w:val="single" w:color="auto"/>
        </w:rPr>
        <w:t>K13+114.1</w:t>
      </w:r>
      <w:r>
        <w:rPr>
          <w:rFonts w:hint="eastAsia" w:ascii="宋体" w:hAnsi="宋体" w:eastAsia="宋体" w:cs="宋体"/>
          <w:color w:val="auto"/>
          <w:spacing w:val="0"/>
          <w:sz w:val="21"/>
          <w:szCs w:val="21"/>
          <w:u w:val="single" w:color="auto"/>
          <w:lang w:eastAsia="zh-CN"/>
        </w:rPr>
        <w:t>）</w:t>
      </w:r>
      <w:r>
        <w:rPr>
          <w:rFonts w:hint="eastAsia" w:ascii="宋体" w:hAnsi="宋体" w:eastAsia="宋体" w:cs="宋体"/>
          <w:color w:val="auto"/>
          <w:spacing w:val="0"/>
          <w:sz w:val="21"/>
          <w:szCs w:val="21"/>
          <w:u w:val="single" w:color="auto"/>
        </w:rPr>
        <w:t>位于临湘五里牌街道最兰坡，与S206省道T字交叉，顺接G107老路（桩号K1521+427）。路线全长13.114km。整体呈东北至西南走向。本项目全线采用一级公路标准建设，</w:t>
      </w:r>
      <w:r>
        <w:rPr>
          <w:rFonts w:hint="eastAsia" w:ascii="宋体" w:hAnsi="宋体" w:eastAsia="宋体" w:cs="宋体"/>
          <w:color w:val="auto"/>
          <w:spacing w:val="0"/>
          <w:sz w:val="21"/>
          <w:szCs w:val="21"/>
          <w:u w:val="single" w:color="auto"/>
          <w:lang w:eastAsia="zh-CN"/>
        </w:rPr>
        <w:t>沥青混凝土路面，</w:t>
      </w:r>
      <w:r>
        <w:rPr>
          <w:rFonts w:hint="eastAsia" w:ascii="宋体" w:hAnsi="宋体" w:eastAsia="宋体" w:cs="宋体"/>
          <w:color w:val="auto"/>
          <w:spacing w:val="0"/>
          <w:sz w:val="21"/>
          <w:szCs w:val="21"/>
          <w:u w:val="single" w:color="auto"/>
        </w:rPr>
        <w:t>设计速度80公里/小时</w:t>
      </w:r>
      <w:r>
        <w:rPr>
          <w:rFonts w:hint="eastAsia" w:ascii="宋体" w:hAnsi="宋体" w:eastAsia="宋体" w:cs="宋体"/>
          <w:color w:val="auto"/>
          <w:spacing w:val="0"/>
          <w:sz w:val="21"/>
          <w:szCs w:val="21"/>
          <w:u w:val="single" w:color="auto"/>
          <w:lang w:eastAsia="zh-CN"/>
        </w:rPr>
        <w:t>。起点至麻子园段（K0+000-K4+720）路基宽度23.5m，路面宽</w:t>
      </w:r>
      <w:r>
        <w:rPr>
          <w:rFonts w:hint="eastAsia" w:ascii="宋体" w:hAnsi="宋体" w:eastAsia="宋体" w:cs="宋体"/>
          <w:color w:val="auto"/>
          <w:spacing w:val="0"/>
          <w:sz w:val="21"/>
          <w:szCs w:val="21"/>
          <w:u w:val="single" w:color="auto"/>
          <w:lang w:val="en-US" w:eastAsia="zh-CN"/>
        </w:rPr>
        <w:t>25.5米</w:t>
      </w:r>
      <w:r>
        <w:rPr>
          <w:rFonts w:hint="eastAsia" w:ascii="宋体" w:hAnsi="宋体" w:eastAsia="宋体" w:cs="宋体"/>
          <w:color w:val="auto"/>
          <w:spacing w:val="0"/>
          <w:sz w:val="21"/>
          <w:szCs w:val="21"/>
          <w:u w:val="single" w:color="auto"/>
          <w:lang w:eastAsia="zh-CN"/>
        </w:rPr>
        <w:t>。麻子园至终点段（K4+720-K13+114.1）路基宽度 30.0m，</w:t>
      </w:r>
      <w:bookmarkStart w:id="0" w:name="OLE_LINK1"/>
      <w:r>
        <w:rPr>
          <w:rFonts w:hint="eastAsia" w:ascii="宋体" w:hAnsi="宋体" w:eastAsia="宋体" w:cs="宋体"/>
          <w:color w:val="auto"/>
          <w:spacing w:val="0"/>
          <w:sz w:val="21"/>
          <w:szCs w:val="21"/>
          <w:u w:val="single" w:color="auto"/>
          <w:lang w:eastAsia="zh-CN"/>
        </w:rPr>
        <w:t>路面宽</w:t>
      </w:r>
      <w:r>
        <w:rPr>
          <w:rFonts w:hint="eastAsia" w:ascii="宋体" w:hAnsi="宋体" w:eastAsia="宋体" w:cs="宋体"/>
          <w:color w:val="auto"/>
          <w:spacing w:val="0"/>
          <w:sz w:val="21"/>
          <w:szCs w:val="21"/>
          <w:u w:val="single" w:color="auto"/>
          <w:lang w:val="en-US" w:eastAsia="zh-CN"/>
        </w:rPr>
        <w:t>25.5米</w:t>
      </w:r>
      <w:bookmarkEnd w:id="0"/>
      <w:r>
        <w:rPr>
          <w:rFonts w:hint="eastAsia" w:ascii="宋体" w:hAnsi="宋体" w:eastAsia="宋体" w:cs="宋体"/>
          <w:color w:val="auto"/>
          <w:spacing w:val="0"/>
          <w:sz w:val="21"/>
          <w:szCs w:val="21"/>
          <w:u w:val="single" w:color="auto"/>
          <w:lang w:eastAsia="zh-CN"/>
        </w:rPr>
        <w:t>。全线共设置桥梁</w:t>
      </w:r>
      <w:r>
        <w:rPr>
          <w:rFonts w:hint="eastAsia" w:ascii="宋体" w:hAnsi="宋体" w:eastAsia="宋体" w:cs="宋体"/>
          <w:color w:val="auto"/>
          <w:spacing w:val="0"/>
          <w:sz w:val="21"/>
          <w:szCs w:val="21"/>
          <w:u w:val="single" w:color="auto"/>
          <w:lang w:val="en-US" w:eastAsia="zh-CN"/>
        </w:rPr>
        <w:t>155.08米/2座，其中大桥133.08米/1座，小桥22.0米/座，全线共设置涵洞32道，新建涵洞9道，完全利用涵洞23道。</w:t>
      </w:r>
      <w:r>
        <w:rPr>
          <w:rFonts w:hint="eastAsia" w:ascii="宋体" w:hAnsi="宋体" w:eastAsia="宋体" w:cs="宋体"/>
          <w:color w:val="auto"/>
          <w:spacing w:val="0"/>
          <w:sz w:val="21"/>
          <w:szCs w:val="21"/>
          <w:u w:val="single" w:color="auto"/>
        </w:rPr>
        <w:t>全线桥涵设计汽车荷载等级采用公路-I级。</w:t>
      </w:r>
      <w:r>
        <w:rPr>
          <w:rFonts w:hint="eastAsia" w:ascii="宋体" w:hAnsi="宋体" w:eastAsia="宋体" w:cs="宋体"/>
          <w:color w:val="auto"/>
          <w:spacing w:val="0"/>
          <w:sz w:val="21"/>
          <w:szCs w:val="21"/>
          <w:u w:val="single" w:color="auto"/>
          <w:lang w:eastAsia="zh-CN"/>
        </w:rPr>
        <w:t>项目总投资约为</w:t>
      </w:r>
      <w:r>
        <w:rPr>
          <w:rFonts w:hint="eastAsia" w:ascii="宋体" w:hAnsi="宋体" w:eastAsia="宋体" w:cs="宋体"/>
          <w:color w:val="auto"/>
          <w:spacing w:val="0"/>
          <w:sz w:val="21"/>
          <w:szCs w:val="21"/>
          <w:u w:val="single" w:color="auto"/>
          <w:lang w:val="en-US" w:eastAsia="zh-CN"/>
        </w:rPr>
        <w:t>42733.30万元、建设工程费为28032.23万元。</w:t>
      </w:r>
    </w:p>
    <w:p w14:paraId="3B2DAA92">
      <w:pPr>
        <w:pStyle w:val="2"/>
        <w:spacing w:before="68" w:line="220" w:lineRule="auto"/>
        <w:ind w:left="41"/>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u w:val="single" w:color="auto"/>
        </w:rPr>
        <w:t xml:space="preserve">三、招标范围（标段划分及主要工作内容）    </w:t>
      </w:r>
    </w:p>
    <w:p w14:paraId="4E8E2091">
      <w:pPr>
        <w:spacing w:line="325" w:lineRule="auto"/>
        <w:rPr>
          <w:rFonts w:hint="eastAsia" w:ascii="宋体" w:hAnsi="宋体" w:eastAsia="宋体" w:cs="宋体"/>
          <w:color w:val="auto"/>
          <w:spacing w:val="0"/>
          <w:sz w:val="21"/>
          <w:szCs w:val="21"/>
          <w:u w:val="single" w:color="auto"/>
        </w:rPr>
      </w:pPr>
    </w:p>
    <w:p w14:paraId="369FD5A2">
      <w:pPr>
        <w:spacing w:line="325" w:lineRule="auto"/>
        <w:rPr>
          <w:rFonts w:hint="eastAsia" w:ascii="宋体" w:hAnsi="宋体" w:eastAsia="宋体" w:cs="宋体"/>
          <w:color w:val="auto"/>
          <w:spacing w:val="0"/>
          <w:sz w:val="21"/>
          <w:szCs w:val="21"/>
          <w:u w:val="single" w:color="auto"/>
        </w:rPr>
      </w:pPr>
      <w:r>
        <w:rPr>
          <w:rFonts w:hint="eastAsia" w:ascii="宋体" w:hAnsi="宋体" w:eastAsia="宋体" w:cs="宋体"/>
          <w:color w:val="auto"/>
          <w:spacing w:val="0"/>
          <w:sz w:val="21"/>
          <w:szCs w:val="21"/>
          <w:u w:val="single" w:color="auto"/>
          <w:lang w:eastAsia="zh-CN"/>
        </w:rPr>
        <w:t>G107岳阳市改线工程（临湘羊楼司至五里牌段）全过程跟踪审计咨询服务</w:t>
      </w:r>
      <w:r>
        <w:rPr>
          <w:rFonts w:hint="eastAsia" w:ascii="宋体" w:hAnsi="宋体" w:eastAsia="宋体" w:cs="宋体"/>
          <w:color w:val="auto"/>
          <w:spacing w:val="0"/>
          <w:sz w:val="21"/>
          <w:szCs w:val="21"/>
          <w:u w:val="single" w:color="auto"/>
        </w:rPr>
        <w:t xml:space="preserve">工作（包括但不限于施工类， 监理、监测、检测等服务类，以及设备采购等所有造价咨询工作）具体包括但不限于：    </w:t>
      </w:r>
    </w:p>
    <w:p w14:paraId="7B6E4D09">
      <w:pPr>
        <w:spacing w:line="329" w:lineRule="auto"/>
        <w:rPr>
          <w:rFonts w:hint="eastAsia" w:ascii="宋体" w:hAnsi="宋体" w:eastAsia="宋体" w:cs="宋体"/>
          <w:color w:val="auto"/>
          <w:spacing w:val="0"/>
          <w:sz w:val="21"/>
        </w:rPr>
      </w:pPr>
    </w:p>
    <w:p w14:paraId="3DBFB324">
      <w:pPr>
        <w:pStyle w:val="2"/>
        <w:numPr>
          <w:ilvl w:val="0"/>
          <w:numId w:val="3"/>
        </w:numPr>
        <w:spacing w:line="220" w:lineRule="auto"/>
        <w:ind w:left="37"/>
        <w:rPr>
          <w:rFonts w:hint="eastAsia" w:ascii="宋体" w:hAnsi="宋体" w:eastAsia="宋体" w:cs="宋体"/>
          <w:color w:val="auto"/>
          <w:spacing w:val="0"/>
          <w:sz w:val="21"/>
          <w:szCs w:val="21"/>
          <w:u w:val="single" w:color="auto"/>
          <w:lang w:val="en-US" w:eastAsia="zh-CN"/>
        </w:rPr>
      </w:pPr>
      <w:r>
        <w:rPr>
          <w:rFonts w:hint="eastAsia" w:ascii="宋体" w:hAnsi="宋体" w:eastAsia="宋体" w:cs="宋体"/>
          <w:color w:val="auto"/>
          <w:spacing w:val="0"/>
          <w:sz w:val="21"/>
          <w:szCs w:val="21"/>
          <w:u w:val="single" w:color="auto"/>
          <w:lang w:val="en-US" w:eastAsia="zh-CN"/>
        </w:rPr>
        <w:t>施工阶段：①开工准备审计；②隐蔽工程审计；③材料、设备采购审计；⑤工程现场管理审计；⑥工程进度款审计；⑦工程变更、签证及价款调整审计；⑧质量、安全、工期审计；⑨监理管理审计。</w:t>
      </w:r>
    </w:p>
    <w:p w14:paraId="11F63105">
      <w:pPr>
        <w:pStyle w:val="2"/>
        <w:numPr>
          <w:ilvl w:val="0"/>
          <w:numId w:val="0"/>
        </w:numPr>
        <w:spacing w:line="220" w:lineRule="auto"/>
        <w:rPr>
          <w:rFonts w:hint="eastAsia" w:ascii="宋体" w:hAnsi="宋体" w:eastAsia="宋体" w:cs="宋体"/>
          <w:color w:val="auto"/>
          <w:spacing w:val="0"/>
          <w:sz w:val="21"/>
          <w:szCs w:val="21"/>
          <w:u w:val="single" w:color="auto"/>
          <w:lang w:val="en-US" w:eastAsia="zh-CN"/>
        </w:rPr>
      </w:pPr>
    </w:p>
    <w:p w14:paraId="4B20F267">
      <w:pPr>
        <w:pStyle w:val="2"/>
        <w:spacing w:line="220" w:lineRule="auto"/>
        <w:ind w:left="37"/>
        <w:rPr>
          <w:rFonts w:hint="eastAsia" w:ascii="宋体" w:hAnsi="宋体" w:eastAsia="宋体" w:cs="宋体"/>
          <w:color w:val="auto"/>
          <w:spacing w:val="0"/>
          <w:sz w:val="21"/>
          <w:szCs w:val="21"/>
          <w:u w:val="single" w:color="auto"/>
          <w:lang w:val="en-US" w:eastAsia="zh-CN"/>
        </w:rPr>
      </w:pPr>
      <w:r>
        <w:rPr>
          <w:rFonts w:hint="eastAsia" w:ascii="宋体" w:hAnsi="宋体" w:eastAsia="宋体" w:cs="宋体"/>
          <w:color w:val="auto"/>
          <w:spacing w:val="0"/>
          <w:sz w:val="21"/>
          <w:szCs w:val="21"/>
          <w:u w:val="single" w:color="auto"/>
          <w:lang w:val="en-US" w:eastAsia="zh-CN"/>
        </w:rPr>
        <w:t>2、竣工阶段：①竣工验收审计；②竣工结算审计；③竣工财务决算审计。</w:t>
      </w:r>
    </w:p>
    <w:p w14:paraId="28A67477">
      <w:pPr>
        <w:pStyle w:val="2"/>
        <w:spacing w:line="220" w:lineRule="auto"/>
        <w:ind w:left="37"/>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u w:val="single" w:color="auto"/>
        </w:rPr>
        <w:t xml:space="preserve">本次招标共分为 1 个标段。    </w:t>
      </w:r>
    </w:p>
    <w:p w14:paraId="0ED7F6B8">
      <w:pPr>
        <w:spacing w:line="322" w:lineRule="auto"/>
        <w:rPr>
          <w:rFonts w:hint="eastAsia" w:ascii="宋体" w:hAnsi="宋体" w:eastAsia="宋体" w:cs="宋体"/>
          <w:color w:val="auto"/>
          <w:spacing w:val="0"/>
          <w:sz w:val="21"/>
        </w:rPr>
      </w:pPr>
    </w:p>
    <w:p w14:paraId="4E51914B">
      <w:pPr>
        <w:pStyle w:val="2"/>
        <w:spacing w:before="69" w:line="561" w:lineRule="auto"/>
        <w:ind w:left="49"/>
        <w:rPr>
          <w:rFonts w:hint="eastAsia" w:ascii="宋体" w:hAnsi="宋体" w:eastAsia="宋体" w:cs="宋体"/>
          <w:color w:val="auto"/>
          <w:spacing w:val="0"/>
          <w:sz w:val="21"/>
          <w:szCs w:val="21"/>
          <w:u w:val="single" w:color="auto"/>
        </w:rPr>
      </w:pPr>
      <w:r>
        <w:rPr>
          <w:rFonts w:hint="eastAsia" w:ascii="宋体" w:hAnsi="宋体" w:eastAsia="宋体" w:cs="宋体"/>
          <w:color w:val="auto"/>
          <w:spacing w:val="0"/>
          <w:sz w:val="21"/>
          <w:szCs w:val="21"/>
          <w:u w:val="single" w:color="auto"/>
        </w:rPr>
        <w:t xml:space="preserve">四、招标项目位置示意图   </w:t>
      </w:r>
    </w:p>
    <w:p w14:paraId="2F82044A">
      <w:pPr>
        <w:bidi w:val="0"/>
        <w:rPr>
          <w:rFonts w:hint="eastAsia"/>
          <w:color w:val="auto"/>
        </w:rPr>
      </w:pPr>
    </w:p>
    <w:p w14:paraId="7FBC04CA">
      <w:pPr>
        <w:bidi w:val="0"/>
        <w:rPr>
          <w:rFonts w:hint="eastAsia"/>
          <w:color w:val="auto"/>
        </w:rPr>
      </w:pPr>
    </w:p>
    <w:p w14:paraId="39076119">
      <w:pPr>
        <w:bidi w:val="0"/>
        <w:rPr>
          <w:rFonts w:hint="eastAsia"/>
          <w:color w:val="auto"/>
        </w:rPr>
      </w:pPr>
    </w:p>
    <w:p w14:paraId="264C4AD7">
      <w:pPr>
        <w:bidi w:val="0"/>
        <w:rPr>
          <w:rFonts w:hint="eastAsia"/>
          <w:color w:val="auto"/>
        </w:rPr>
      </w:pPr>
    </w:p>
    <w:p w14:paraId="5F1A36B9">
      <w:pPr>
        <w:bidi w:val="0"/>
        <w:rPr>
          <w:rFonts w:hint="eastAsia"/>
          <w:color w:val="auto"/>
        </w:rPr>
      </w:pPr>
    </w:p>
    <w:p w14:paraId="19775765">
      <w:pPr>
        <w:bidi w:val="0"/>
        <w:rPr>
          <w:rFonts w:hint="eastAsia"/>
          <w:color w:val="auto"/>
        </w:rPr>
      </w:pPr>
    </w:p>
    <w:p w14:paraId="6F415934">
      <w:pPr>
        <w:bidi w:val="0"/>
        <w:rPr>
          <w:rFonts w:hint="eastAsia"/>
          <w:color w:val="auto"/>
        </w:rPr>
      </w:pPr>
    </w:p>
    <w:p w14:paraId="79E6F526">
      <w:pPr>
        <w:tabs>
          <w:tab w:val="left" w:pos="3425"/>
        </w:tabs>
        <w:bidi w:val="0"/>
        <w:jc w:val="left"/>
        <w:rPr>
          <w:rFonts w:ascii="Arial"/>
          <w:color w:val="auto"/>
          <w:sz w:val="21"/>
        </w:rPr>
      </w:pPr>
      <w:r>
        <w:rPr>
          <w:rFonts w:hint="eastAsia" w:eastAsia="宋体"/>
          <w:color w:val="auto"/>
          <w:lang w:eastAsia="zh-CN"/>
        </w:rPr>
        <w:tab/>
      </w:r>
    </w:p>
    <w:p w14:paraId="76D3E9B3">
      <w:pPr>
        <w:spacing w:line="244" w:lineRule="auto"/>
        <w:rPr>
          <w:rFonts w:ascii="Arial"/>
          <w:color w:val="auto"/>
          <w:sz w:val="21"/>
        </w:rPr>
      </w:pPr>
    </w:p>
    <w:p w14:paraId="3BC86D34">
      <w:pPr>
        <w:spacing w:line="244" w:lineRule="auto"/>
        <w:rPr>
          <w:rFonts w:ascii="Arial"/>
          <w:color w:val="auto"/>
          <w:sz w:val="21"/>
        </w:rPr>
      </w:pPr>
    </w:p>
    <w:p w14:paraId="3CCE015B">
      <w:pPr>
        <w:spacing w:line="244" w:lineRule="auto"/>
        <w:rPr>
          <w:rFonts w:ascii="Arial"/>
          <w:color w:val="auto"/>
          <w:sz w:val="21"/>
        </w:rPr>
      </w:pPr>
    </w:p>
    <w:p w14:paraId="57B009BC">
      <w:pPr>
        <w:bidi w:val="0"/>
        <w:rPr>
          <w:rFonts w:hint="default"/>
          <w:color w:val="auto"/>
          <w:lang w:val="en-US" w:eastAsia="zh-CN"/>
        </w:rPr>
      </w:pPr>
    </w:p>
    <w:p w14:paraId="18E2D376">
      <w:pPr>
        <w:rPr>
          <w:color w:val="auto"/>
        </w:rPr>
      </w:pPr>
    </w:p>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3B02C">
    <w:pPr>
      <w:spacing w:line="169" w:lineRule="auto"/>
      <w:ind w:left="4341"/>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DBD2D">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2DBD2D">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ABFA">
    <w:pPr>
      <w:spacing w:line="169" w:lineRule="auto"/>
      <w:ind w:left="4341"/>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AB16B">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D1AB16B">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AA39">
    <w:pPr>
      <w:spacing w:line="169" w:lineRule="auto"/>
      <w:ind w:left="4340"/>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00FB7">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FA00FB7">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420A">
    <w:pPr>
      <w:spacing w:line="169" w:lineRule="auto"/>
      <w:ind w:left="4398"/>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7150">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CDF7150">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4F20">
    <w:pPr>
      <w:spacing w:line="169" w:lineRule="auto"/>
      <w:ind w:left="4398"/>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E8239">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C1E8239">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6339B">
    <w:pPr>
      <w:spacing w:line="169" w:lineRule="auto"/>
      <w:ind w:left="4347"/>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7A6F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17A6F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D6742">
    <w:pPr>
      <w:pStyle w:val="2"/>
      <w:spacing w:line="219" w:lineRule="auto"/>
      <w:jc w:val="right"/>
      <w:rPr>
        <w:sz w:val="21"/>
        <w:szCs w:val="21"/>
      </w:rPr>
    </w:pPr>
    <w:r>
      <mc:AlternateContent>
        <mc:Choice Requires="wps">
          <w:drawing>
            <wp:anchor distT="0" distB="0" distL="114300" distR="114300" simplePos="0" relativeHeight="251659264" behindDoc="0" locked="0" layoutInCell="0" allowOverlap="1">
              <wp:simplePos x="0" y="0"/>
              <wp:positionH relativeFrom="page">
                <wp:posOffset>990600</wp:posOffset>
              </wp:positionH>
              <wp:positionV relativeFrom="page">
                <wp:posOffset>725170</wp:posOffset>
              </wp:positionV>
              <wp:extent cx="5620385"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5620385" cy="6350"/>
                      </a:xfrm>
                      <a:custGeom>
                        <a:avLst/>
                        <a:gdLst/>
                        <a:ahLst/>
                        <a:cxnLst/>
                        <a:pathLst>
                          <a:path w="8850" h="10">
                            <a:moveTo>
                              <a:pt x="0" y="9"/>
                            </a:moveTo>
                            <a:lnTo>
                              <a:pt x="8850" y="9"/>
                            </a:lnTo>
                            <a:lnTo>
                              <a:pt x="8850"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8pt;margin-top:57.1pt;height:0.5pt;width:442.55pt;mso-position-horizontal-relative:page;mso-position-vertical-relative:page;z-index:251659264;mso-width-relative:page;mso-height-relative:page;" fillcolor="#000000" filled="t" stroked="f" coordsize="8850,10" o:allowincell="f" o:gfxdata="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mO7K2QAAAAwBAAAPAAAA&#10;AAAAAAEAIAAAACIAAABkcnMvZG93bnJldi54bWxQSwECFAAUAAAACACHTuJAg6CgERQCAAB5BAAA&#10;DgAAAAAAAAABACAAAAAoAQAAZHJzL2Uyb0RvYy54bWxQSwUGAAAAAAYABgBZAQAArgUAAAAA&#10;" path="m0,9l8850,9,8850,0,0,0,0,9xe">
              <v:fill on="t" focussize="0,0"/>
              <v:stroke on="f"/>
              <v:imagedata o:title=""/>
              <o:lock v:ext="edit" aspectratio="f"/>
            </v:shape>
          </w:pict>
        </mc:Fallback>
      </mc:AlternateContent>
    </w:r>
    <w:r>
      <w:rPr>
        <w:sz w:val="21"/>
        <w:szCs w:val="21"/>
      </w:rPr>
      <w:t>湖南省公路工程标准咨询服务招标文件（2019</w:t>
    </w:r>
    <w:r>
      <w:rPr>
        <w:spacing w:val="-44"/>
        <w:sz w:val="21"/>
        <w:szCs w:val="21"/>
      </w:rPr>
      <w:t xml:space="preserve"> </w:t>
    </w:r>
    <w:r>
      <w:rPr>
        <w:sz w:val="21"/>
        <w:szCs w:val="21"/>
      </w:rPr>
      <w:t>年版）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F051">
    <w:pPr>
      <w:pStyle w:val="2"/>
      <w:spacing w:line="218" w:lineRule="auto"/>
      <w:ind w:left="3531"/>
      <w:rPr>
        <w:sz w:val="22"/>
        <w:szCs w:val="22"/>
      </w:rPr>
    </w:pPr>
    <w:r>
      <mc:AlternateContent>
        <mc:Choice Requires="wps">
          <w:drawing>
            <wp:anchor distT="0" distB="0" distL="114300" distR="114300" simplePos="0" relativeHeight="251662336" behindDoc="0" locked="0" layoutInCell="0" allowOverlap="1">
              <wp:simplePos x="0" y="0"/>
              <wp:positionH relativeFrom="page">
                <wp:posOffset>990600</wp:posOffset>
              </wp:positionH>
              <wp:positionV relativeFrom="page">
                <wp:posOffset>822960</wp:posOffset>
              </wp:positionV>
              <wp:extent cx="5461635" cy="6350"/>
              <wp:effectExtent l="0" t="0" r="0" b="0"/>
              <wp:wrapNone/>
              <wp:docPr id="7" name="任意多边形 7"/>
              <wp:cNvGraphicFramePr/>
              <a:graphic xmlns:a="http://schemas.openxmlformats.org/drawingml/2006/main">
                <a:graphicData uri="http://schemas.microsoft.com/office/word/2010/wordprocessingShape">
                  <wps:wsp>
                    <wps:cNvSpPr/>
                    <wps:spPr>
                      <a:xfrm>
                        <a:off x="0" y="0"/>
                        <a:ext cx="5461635" cy="6350"/>
                      </a:xfrm>
                      <a:custGeom>
                        <a:avLst/>
                        <a:gdLst/>
                        <a:ahLst/>
                        <a:cxnLst/>
                        <a:pathLst>
                          <a:path w="8600" h="10">
                            <a:moveTo>
                              <a:pt x="0" y="9"/>
                            </a:moveTo>
                            <a:lnTo>
                              <a:pt x="8600" y="9"/>
                            </a:lnTo>
                            <a:lnTo>
                              <a:pt x="8600"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8pt;margin-top:64.8pt;height:0.5pt;width:430.05pt;mso-position-horizontal-relative:page;mso-position-vertical-relative:page;z-index:251662336;mso-width-relative:page;mso-height-relative:page;" fillcolor="#000000" filled="t" stroked="f" coordsize="8600,10" o:allowincell="f" o:gfxdata="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5bD72QAAAAwBAAAPAAAA&#10;AAAAAAEAIAAAACIAAABkcnMvZG93bnJldi54bWxQSwECFAAUAAAACACHTuJAx11V7hQCAAB5BAAA&#10;DgAAAAAAAAABACAAAAAoAQAAZHJzL2Uyb0RvYy54bWxQSwUGAAAAAAYABgBZAQAArgUAAAAA&#10;" path="m0,9l8600,9,8600,0,0,0,0,9xe">
              <v:fill on="t" focussize="0,0"/>
              <v:stroke on="f"/>
              <v:imagedata o:title=""/>
              <o:lock v:ext="edit" aspectratio="f"/>
            </v:shape>
          </w:pict>
        </mc:Fallback>
      </mc:AlternateContent>
    </w:r>
    <w:r>
      <w:rPr>
        <w:sz w:val="22"/>
        <w:szCs w:val="22"/>
      </w:rPr>
      <w:t>湖南省公路工程标准咨询服务招标文件（</w:t>
    </w:r>
    <w:r>
      <w:rPr>
        <w:rFonts w:ascii="Calibri" w:hAnsi="Calibri" w:eastAsia="Calibri" w:cs="Calibri"/>
        <w:sz w:val="22"/>
        <w:szCs w:val="22"/>
      </w:rPr>
      <w:t>2019</w:t>
    </w:r>
    <w:r>
      <w:rPr>
        <w:rFonts w:ascii="Calibri" w:hAnsi="Calibri" w:eastAsia="Calibri" w:cs="Calibri"/>
        <w:spacing w:val="-1"/>
        <w:sz w:val="22"/>
        <w:szCs w:val="22"/>
      </w:rPr>
      <w:t xml:space="preserve"> </w:t>
    </w:r>
    <w:r>
      <w:rPr>
        <w:spacing w:val="-1"/>
        <w:sz w:val="22"/>
        <w:szCs w:val="22"/>
      </w:rPr>
      <w:t>年版）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C8407">
    <w:pPr>
      <w:pStyle w:val="2"/>
      <w:spacing w:line="219" w:lineRule="auto"/>
      <w:jc w:val="right"/>
      <w:rPr>
        <w:sz w:val="21"/>
        <w:szCs w:val="21"/>
      </w:rPr>
    </w:pPr>
    <w:r>
      <mc:AlternateContent>
        <mc:Choice Requires="wps">
          <w:drawing>
            <wp:anchor distT="0" distB="0" distL="114300" distR="114300" simplePos="0" relativeHeight="251659264" behindDoc="0" locked="0" layoutInCell="0" allowOverlap="1">
              <wp:simplePos x="0" y="0"/>
              <wp:positionH relativeFrom="page">
                <wp:posOffset>990600</wp:posOffset>
              </wp:positionH>
              <wp:positionV relativeFrom="page">
                <wp:posOffset>725170</wp:posOffset>
              </wp:positionV>
              <wp:extent cx="562038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620385" cy="6350"/>
                      </a:xfrm>
                      <a:custGeom>
                        <a:avLst/>
                        <a:gdLst/>
                        <a:ahLst/>
                        <a:cxnLst/>
                        <a:pathLst>
                          <a:path w="8850" h="10">
                            <a:moveTo>
                              <a:pt x="0" y="9"/>
                            </a:moveTo>
                            <a:lnTo>
                              <a:pt x="8850" y="9"/>
                            </a:lnTo>
                            <a:lnTo>
                              <a:pt x="8850"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8pt;margin-top:57.1pt;height:0.5pt;width:442.55pt;mso-position-horizontal-relative:page;mso-position-vertical-relative:page;z-index:251659264;mso-width-relative:page;mso-height-relative:page;" fillcolor="#000000" filled="t" stroked="f" coordsize="8850,10" o:allowincell="f" o:gfxdata="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eY7srZAAAADAEAAA8AAAAA&#10;AAAAAQAgAAAAIgAAAGRycy9kb3ducmV2LnhtbFBLAQIUABQAAAAIAIdO4kDxpbXdEwIAAHkEAAAO&#10;AAAAAAAAAAEAIAAAACgBAABkcnMvZTJvRG9jLnhtbFBLBQYAAAAABgAGAFkBAACtBQAAAAA=&#10;" path="m0,9l8850,9,8850,0,0,0,0,9xe">
              <v:fill on="t" focussize="0,0"/>
              <v:stroke on="f"/>
              <v:imagedata o:title=""/>
              <o:lock v:ext="edit" aspectratio="f"/>
            </v:shape>
          </w:pict>
        </mc:Fallback>
      </mc:AlternateContent>
    </w:r>
    <w:r>
      <w:rPr>
        <w:sz w:val="21"/>
        <w:szCs w:val="21"/>
      </w:rPr>
      <w:t>湖南省公路工程标准咨询服务招标文件（2019</w:t>
    </w:r>
    <w:r>
      <w:rPr>
        <w:spacing w:val="-44"/>
        <w:sz w:val="21"/>
        <w:szCs w:val="21"/>
      </w:rPr>
      <w:t xml:space="preserve"> </w:t>
    </w:r>
    <w:r>
      <w:rPr>
        <w:sz w:val="21"/>
        <w:szCs w:val="21"/>
      </w:rPr>
      <w:t>年版）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A64EC"/>
    <w:multiLevelType w:val="singleLevel"/>
    <w:tmpl w:val="CF9A64EC"/>
    <w:lvl w:ilvl="0" w:tentative="0">
      <w:start w:val="1"/>
      <w:numFmt w:val="decimal"/>
      <w:lvlText w:val="(%1)"/>
      <w:lvlJc w:val="left"/>
      <w:pPr>
        <w:tabs>
          <w:tab w:val="left" w:pos="312"/>
        </w:tabs>
      </w:pPr>
    </w:lvl>
  </w:abstractNum>
  <w:abstractNum w:abstractNumId="1">
    <w:nsid w:val="2A21C048"/>
    <w:multiLevelType w:val="singleLevel"/>
    <w:tmpl w:val="2A21C048"/>
    <w:lvl w:ilvl="0" w:tentative="0">
      <w:start w:val="1"/>
      <w:numFmt w:val="decimal"/>
      <w:suff w:val="nothing"/>
      <w:lvlText w:val="%1、"/>
      <w:lvlJc w:val="left"/>
    </w:lvl>
  </w:abstractNum>
  <w:abstractNum w:abstractNumId="2">
    <w:nsid w:val="6C0F9427"/>
    <w:multiLevelType w:val="singleLevel"/>
    <w:tmpl w:val="6C0F9427"/>
    <w:lvl w:ilvl="0" w:tentative="0">
      <w:start w:val="7"/>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F7F72"/>
    <w:rsid w:val="11713FF8"/>
    <w:rsid w:val="31993012"/>
    <w:rsid w:val="57EF7F72"/>
    <w:rsid w:val="733E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3497</Words>
  <Characters>4061</Characters>
  <Lines>0</Lines>
  <Paragraphs>0</Paragraphs>
  <TotalTime>0</TotalTime>
  <ScaleCrop>false</ScaleCrop>
  <LinksUpToDate>false</LinksUpToDate>
  <CharactersWithSpaces>4571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2025-01-02T07:11:00Z</dcterms:created>
  <dc:creator>石材人，吴日新</dc:creator>
  <cp:lastModifiedBy>石材人，吴日新</cp:lastModifiedBy>
  <dcterms:modified xsi:type="dcterms:W3CDTF">2025-01-03T07:14:01Z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5542944C09DD46538FAFB0239B05AAA9_11</vt:lpwstr>
  </property>
  <property fmtid="{D5CDD505-2E9C-101B-9397-08002B2CF9AE}" pid="4" name="KSOTemplateDocerSaveRecord">
    <vt:lpwstr>eyJoZGlkIjoiZWZjNTA5NTg3OWQyZWQ1OTA5NWZlMjQ5ODE4ODUwYmQiLCJ1c2VySWQiOiIyNjE1MjY3ODIifQ==</vt:lpwstr>
  </property>
</Properties>
</file>