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29041">
      <w:pPr>
        <w:keepNext w:val="0"/>
        <w:keepLines w:val="0"/>
        <w:pageBreakBefore w:val="0"/>
        <w:widowControl w:val="0"/>
        <w:kinsoku/>
        <w:wordWrap/>
        <w:overflowPunct/>
        <w:topLinePunct w:val="0"/>
        <w:autoSpaceDE/>
        <w:autoSpaceDN/>
        <w:bidi w:val="0"/>
        <w:adjustRightInd/>
        <w:snapToGrid/>
        <w:ind w:firstLine="883" w:firstLineChars="200"/>
        <w:textAlignment w:val="auto"/>
        <w:rPr>
          <w:rFonts w:hint="eastAsia" w:ascii="方正仿宋_GBK" w:hAnsi="方正仿宋_GBK" w:eastAsia="方正仿宋_GBK" w:cs="方正仿宋_GBK"/>
          <w:b/>
          <w:bCs/>
          <w:kern w:val="0"/>
          <w:sz w:val="44"/>
          <w:szCs w:val="44"/>
        </w:rPr>
      </w:pPr>
    </w:p>
    <w:p w14:paraId="1B0BF954">
      <w:pPr>
        <w:keepNext w:val="0"/>
        <w:keepLines w:val="0"/>
        <w:pageBreakBefore w:val="0"/>
        <w:widowControl w:val="0"/>
        <w:kinsoku/>
        <w:wordWrap/>
        <w:overflowPunct/>
        <w:topLinePunct w:val="0"/>
        <w:autoSpaceDE/>
        <w:autoSpaceDN/>
        <w:bidi w:val="0"/>
        <w:adjustRightInd/>
        <w:snapToGrid/>
        <w:ind w:firstLine="1446" w:firstLineChars="200"/>
        <w:jc w:val="center"/>
        <w:textAlignment w:val="auto"/>
        <w:rPr>
          <w:rFonts w:hint="eastAsia" w:ascii="方正仿宋_GBK" w:hAnsi="方正仿宋_GBK" w:eastAsia="方正仿宋_GBK" w:cs="方正仿宋_GBK"/>
          <w:b/>
          <w:bCs/>
          <w:kern w:val="0"/>
          <w:sz w:val="72"/>
          <w:szCs w:val="72"/>
        </w:rPr>
      </w:pPr>
    </w:p>
    <w:p w14:paraId="2CC1118D">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1CDA624E">
      <w:pPr>
        <w:pStyle w:val="2"/>
        <w:keepNext w:val="0"/>
        <w:keepLines w:val="0"/>
        <w:pageBreakBefore w:val="0"/>
        <w:widowControl w:val="0"/>
        <w:kinsoku/>
        <w:wordWrap/>
        <w:overflowPunct/>
        <w:topLinePunct w:val="0"/>
        <w:autoSpaceDE/>
        <w:autoSpaceDN/>
        <w:bidi w:val="0"/>
        <w:adjustRightInd/>
        <w:snapToGrid/>
        <w:textAlignment w:val="auto"/>
        <w:rPr>
          <w:rFonts w:hint="eastAsia"/>
        </w:rPr>
      </w:pPr>
    </w:p>
    <w:p w14:paraId="6F135D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bCs/>
          <w:kern w:val="0"/>
          <w:sz w:val="52"/>
          <w:szCs w:val="52"/>
          <w:lang w:eastAsia="zh-CN"/>
        </w:rPr>
      </w:pPr>
      <w:r>
        <w:rPr>
          <w:rFonts w:hint="eastAsia" w:ascii="方正黑体_GBK" w:hAnsi="方正黑体_GBK" w:eastAsia="方正黑体_GBK" w:cs="方正黑体_GBK"/>
          <w:b/>
          <w:bCs/>
          <w:kern w:val="0"/>
          <w:sz w:val="52"/>
          <w:szCs w:val="52"/>
          <w:lang w:eastAsia="zh-CN"/>
        </w:rPr>
        <w:t>岳阳市纪委市监委案件管理中心</w:t>
      </w:r>
    </w:p>
    <w:p w14:paraId="08A73C8F">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eastAsia="zh-CN"/>
        </w:rPr>
      </w:pPr>
    </w:p>
    <w:p w14:paraId="3EFACC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kern w:val="0"/>
          <w:sz w:val="72"/>
          <w:szCs w:val="72"/>
        </w:rPr>
      </w:pPr>
      <w:r>
        <w:rPr>
          <w:rFonts w:hint="eastAsia" w:ascii="方正小标宋简体" w:hAnsi="方正小标宋简体" w:eastAsia="方正小标宋简体" w:cs="方正小标宋简体"/>
          <w:b/>
          <w:bCs/>
          <w:kern w:val="0"/>
          <w:sz w:val="72"/>
          <w:szCs w:val="72"/>
          <w:lang w:eastAsia="zh-CN"/>
        </w:rPr>
        <w:t>2025年</w:t>
      </w:r>
      <w:r>
        <w:rPr>
          <w:rFonts w:hint="eastAsia" w:ascii="方正小标宋简体" w:hAnsi="方正小标宋简体" w:eastAsia="方正小标宋简体" w:cs="方正小标宋简体"/>
          <w:b/>
          <w:bCs/>
          <w:kern w:val="0"/>
          <w:sz w:val="72"/>
          <w:szCs w:val="72"/>
        </w:rPr>
        <w:t>度</w:t>
      </w:r>
      <w:r>
        <w:rPr>
          <w:rFonts w:hint="eastAsia" w:ascii="方正小标宋简体" w:hAnsi="方正小标宋简体" w:eastAsia="方正小标宋简体" w:cs="方正小标宋简体"/>
          <w:b/>
          <w:bCs/>
          <w:kern w:val="0"/>
          <w:sz w:val="72"/>
          <w:szCs w:val="72"/>
          <w:lang w:val="en-US" w:eastAsia="zh-CN"/>
        </w:rPr>
        <w:t>单位预算</w:t>
      </w:r>
    </w:p>
    <w:p w14:paraId="6A9EBC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楷体_GB2312"/>
          <w:b/>
          <w:bCs/>
          <w:kern w:val="0"/>
          <w:sz w:val="32"/>
          <w:szCs w:val="32"/>
        </w:rPr>
      </w:pPr>
    </w:p>
    <w:p w14:paraId="7DB76661">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5DACE290">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67EF7373">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594DC8C6">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5B958F51">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pPr>
    </w:p>
    <w:p w14:paraId="03B1BAF9">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b/>
          <w:bCs/>
          <w:kern w:val="0"/>
          <w:sz w:val="44"/>
          <w:szCs w:val="44"/>
        </w:rPr>
        <w:sectPr>
          <w:pgSz w:w="11906" w:h="16838"/>
          <w:pgMar w:top="1440" w:right="1800" w:bottom="1440" w:left="1800" w:header="851" w:footer="992" w:gutter="0"/>
          <w:cols w:space="425" w:num="1"/>
          <w:docGrid w:type="lines" w:linePitch="312" w:charSpace="0"/>
        </w:sectPr>
      </w:pPr>
    </w:p>
    <w:p w14:paraId="4FF4D92C">
      <w:pPr>
        <w:keepNext w:val="0"/>
        <w:keepLines w:val="0"/>
        <w:pageBreakBefore w:val="0"/>
        <w:widowControl w:val="0"/>
        <w:kinsoku/>
        <w:wordWrap/>
        <w:overflowPunct/>
        <w:topLinePunct w:val="0"/>
        <w:autoSpaceDE/>
        <w:autoSpaceDN/>
        <w:bidi w:val="0"/>
        <w:adjustRightInd/>
        <w:snapToGrid/>
        <w:jc w:val="both"/>
        <w:textAlignment w:val="auto"/>
        <w:rPr>
          <w:b/>
          <w:bCs/>
          <w:kern w:val="0"/>
          <w:sz w:val="44"/>
          <w:szCs w:val="44"/>
        </w:rPr>
      </w:pPr>
    </w:p>
    <w:p w14:paraId="6FB10631">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0"/>
        <w:rPr>
          <w:rFonts w:hint="eastAsia" w:eastAsia="方正小标宋简体"/>
          <w:b/>
          <w:bCs/>
          <w:sz w:val="44"/>
          <w:lang w:val="en-US" w:eastAsia="zh-CN"/>
        </w:rPr>
      </w:pPr>
      <w:r>
        <w:rPr>
          <w:rFonts w:hint="eastAsia" w:eastAsia="方正小标宋简体"/>
          <w:b/>
          <w:bCs/>
          <w:sz w:val="44"/>
          <w:lang w:val="en-US" w:eastAsia="zh-CN"/>
        </w:rPr>
        <w:t>目    录</w:t>
      </w:r>
    </w:p>
    <w:p w14:paraId="4F0B3B10">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p>
    <w:p w14:paraId="3DEBE0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第一部分  2025年单位预算说明</w:t>
      </w:r>
    </w:p>
    <w:p w14:paraId="1093C7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第二部分  2025年单位预算公开表格</w:t>
      </w:r>
    </w:p>
    <w:p w14:paraId="40B56A5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2443756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6C7ED01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2000BA8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00FBFAB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338B27D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57A0555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3FA2F20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348EFBC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034C9B4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0274D4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6173352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30664E9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65AB1A3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01467E0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4163D09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0360501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1B97283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659587F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688E556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01F203A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74750E8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52EB899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51FE0B5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0CFE707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512AAF9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13DD2749">
      <w:pPr>
        <w:keepNext w:val="0"/>
        <w:keepLines w:val="0"/>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b/>
          <w:bCs/>
          <w:kern w:val="0"/>
          <w:sz w:val="32"/>
          <w:szCs w:val="32"/>
          <w:lang w:val="en-US" w:eastAsia="zh-CN"/>
        </w:rPr>
      </w:pPr>
      <w:r>
        <w:rPr>
          <w:rFonts w:hint="eastAsia" w:ascii="方正小标宋简体" w:hAnsi="方正小标宋简体" w:eastAsia="方正小标宋简体" w:cs="方正小标宋简体"/>
          <w:b/>
          <w:bCs/>
          <w:kern w:val="0"/>
          <w:sz w:val="32"/>
          <w:szCs w:val="32"/>
          <w:lang w:val="en-US" w:eastAsia="zh-CN"/>
        </w:rPr>
        <w:br w:type="page"/>
      </w:r>
    </w:p>
    <w:p w14:paraId="6940429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方正小标宋简体" w:hAnsi="方正小标宋简体" w:eastAsia="方正小标宋简体" w:cs="方正小标宋简体"/>
          <w:b/>
          <w:bCs/>
          <w:kern w:val="0"/>
          <w:sz w:val="32"/>
          <w:szCs w:val="32"/>
          <w:lang w:val="en-US" w:eastAsia="zh-CN"/>
        </w:rPr>
      </w:pPr>
    </w:p>
    <w:p w14:paraId="6C02973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第一部分  2025年部门预算说明</w:t>
      </w:r>
    </w:p>
    <w:p w14:paraId="0746C4E5">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b/>
          <w:bCs/>
          <w:lang w:val="en-US" w:eastAsia="zh-CN"/>
        </w:rPr>
      </w:pPr>
    </w:p>
    <w:p w14:paraId="5B5B4E9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一、单位基本概况</w:t>
      </w:r>
    </w:p>
    <w:p w14:paraId="3A4C138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（一）职能职责</w:t>
      </w:r>
    </w:p>
    <w:p w14:paraId="3B1A51E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岳阳市纪委市监委案件管理中心为岳阳市纪委市监委机关下设的二级机构，为正科级公益一类事业单位。负责为监督执纪问责和监督调查处置提供必要的场所和安全管理、后勤保障服务等。</w:t>
      </w:r>
    </w:p>
    <w:p w14:paraId="5F76AE2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（二）机构设置</w:t>
      </w:r>
    </w:p>
    <w:p w14:paraId="6F9F93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内设科室1个，办公室。在编在岗人数，10人。</w:t>
      </w:r>
    </w:p>
    <w:p w14:paraId="5CEE7C9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二、单位预算单位构成</w:t>
      </w:r>
    </w:p>
    <w:p w14:paraId="2FC923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本单位预算仅含本级预算。</w:t>
      </w:r>
    </w:p>
    <w:p w14:paraId="24E6EF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bidi="ar-SA"/>
        </w:rPr>
        <w:t>三、</w:t>
      </w:r>
      <w:r>
        <w:rPr>
          <w:rFonts w:hint="eastAsia" w:ascii="方正黑体_GBK" w:hAnsi="方正黑体_GBK" w:eastAsia="方正黑体_GBK" w:cs="方正黑体_GBK"/>
          <w:b/>
          <w:bCs/>
          <w:kern w:val="0"/>
          <w:sz w:val="32"/>
          <w:szCs w:val="32"/>
          <w:lang w:val="en-US" w:eastAsia="zh-CN"/>
        </w:rPr>
        <w:t>单位收支总体情况</w:t>
      </w:r>
    </w:p>
    <w:p w14:paraId="0D80B7A4">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1BCFB2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（一）收入预算</w:t>
      </w:r>
    </w:p>
    <w:p w14:paraId="372CACD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包括一般公共预算、政府性基金、国有资本经营预算等财政拨款收入，以及经营收入、事业收入等单位资金。2025年度本单位收入预算2223.75万元，其中，一般公共预算拨款2223.75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减少1986.79万元，主要是因为厉行节约，落实过紧日子要求。</w:t>
      </w:r>
    </w:p>
    <w:p w14:paraId="262721B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（二）支出预算</w:t>
      </w:r>
    </w:p>
    <w:p w14:paraId="2CE8F08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本单位支出预算2223.75万元，其中，201一般公共服务支出2189.68万元，208社会保障和就业支出18.40万元，210卫生健康支出5.26万元，221住房保障支出10.42万元，支出较去年减少1986.79万元，主要是因为厉行节约，落实过紧日子要求。</w:t>
      </w:r>
    </w:p>
    <w:p w14:paraId="1575FCB5">
      <w:pPr>
        <w:keepNext w:val="0"/>
        <w:keepLines w:val="0"/>
        <w:pageBreakBefore w:val="0"/>
        <w:widowControl w:val="0"/>
        <w:kinsoku/>
        <w:wordWrap/>
        <w:overflowPunct/>
        <w:topLinePunct w:val="0"/>
        <w:autoSpaceDE/>
        <w:autoSpaceDN/>
        <w:bidi w:val="0"/>
        <w:adjustRightInd/>
        <w:snapToGrid/>
        <w:spacing w:line="62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四、一般公共预算拨款支出预算</w:t>
      </w:r>
    </w:p>
    <w:p w14:paraId="1EAB351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一般公共预算拨款支出预算2223.75万元，其中，201一般公共服务支出2189.68万元，占98.47%；208社会保障和就业支出18.40万元，占0.83%；210卫生健康支出5.26万元，占0.24%；221住房保障支出10.42万元，占0.47%；具体安排情况如下：</w:t>
      </w:r>
    </w:p>
    <w:p w14:paraId="2EE08F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一）基本支出：2025年基本支出年初预算数为146.25万元（数据来源见表23），是指为保障单位机构正常运转、完成日常工作任务而发生的各项支出，包括用于基本工资、津贴补贴等人员经费以及办公费、印刷费、水电费、差旅费等日常公用经费。</w:t>
      </w:r>
      <w:r>
        <w:rPr>
          <w:rFonts w:hint="eastAsia" w:ascii="方正仿宋_GBK" w:hAnsi="方正仿宋_GBK" w:eastAsia="方正仿宋_GBK" w:cs="方正仿宋_GBK"/>
          <w:b/>
          <w:bCs/>
          <w:kern w:val="0"/>
          <w:sz w:val="32"/>
          <w:szCs w:val="32"/>
          <w:lang w:val="en-US" w:eastAsia="zh-CN" w:bidi="ar-SA"/>
        </w:rPr>
        <w:tab/>
      </w:r>
    </w:p>
    <w:p w14:paraId="4D6DAE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二）项目支出：2025年项目支出年初预算数为2077.50万元（数据来源见表20），是指单位为完成特定行政工作任务或事业发展目标而发生的支出，包括有关业务工作经费、运行维护经费、其他事业发展资金等。其中：日常工作经费专项支出2077.50万元，主要用于保障案件管理中心正常安全运转方面。</w:t>
      </w:r>
      <w:r>
        <w:rPr>
          <w:rFonts w:hint="eastAsia" w:ascii="方正仿宋_GBK" w:hAnsi="方正仿宋_GBK" w:eastAsia="方正仿宋_GBK" w:cs="方正仿宋_GBK"/>
          <w:b/>
          <w:bCs/>
          <w:kern w:val="0"/>
          <w:sz w:val="32"/>
          <w:szCs w:val="32"/>
          <w:lang w:val="en-US" w:eastAsia="zh-CN" w:bidi="ar-SA"/>
        </w:rPr>
        <w:tab/>
      </w:r>
    </w:p>
    <w:p w14:paraId="2C5B6A3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五、政府性基金预算支出</w:t>
      </w:r>
    </w:p>
    <w:p w14:paraId="1FBBFA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2025年度本单位无政府性基金安排的支出，所以公开的附件15-17（政府性基金预算）为空。</w:t>
      </w:r>
    </w:p>
    <w:p w14:paraId="4660BDA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六、其他重要事项的情况说明</w:t>
      </w:r>
    </w:p>
    <w:p w14:paraId="659255D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（一）机关运行经费</w:t>
      </w:r>
    </w:p>
    <w:p w14:paraId="73C439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本单位2025年机关运行经费当年一般公共预算拨款15.10万元（数据来源见表12），比上一年增加4.06万元，增加36.78%。主要原因是工资调标，社保费增加。</w:t>
      </w:r>
    </w:p>
    <w:p w14:paraId="0D9F55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（二）“三公”经费预算</w:t>
      </w:r>
    </w:p>
    <w:p w14:paraId="58A3BB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2025年“三公”经费预算数0.00万元（数据来源见表14），其中，公务接待费0.00万元，因公出国（境）费0.00万元，公务用车购置及运行费0.00万元（其中，公务用车购置费0.00万元，公务用车运行费0.00万元）。2025年三公经费预算较上年增加0万元，主要原因是无变动。</w:t>
      </w:r>
    </w:p>
    <w:p w14:paraId="0159FB7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（三）一般性支出情况</w:t>
      </w:r>
    </w:p>
    <w:p w14:paraId="74FBFCC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2025年度本单位未计划安排会议、培训，未计划举办节庆、晚会、论坛、赛事活动。</w:t>
      </w:r>
    </w:p>
    <w:p w14:paraId="623F34C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（四）政府采购情况</w:t>
      </w:r>
    </w:p>
    <w:p w14:paraId="208C18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highlight w:val="none"/>
          <w:lang w:val="en-US" w:eastAsia="zh-CN" w:bidi="ar-SA"/>
        </w:rPr>
      </w:pPr>
      <w:r>
        <w:rPr>
          <w:rFonts w:hint="eastAsia" w:ascii="方正仿宋_GBK" w:hAnsi="方正仿宋_GBK" w:eastAsia="方正仿宋_GBK" w:cs="方正仿宋_GBK"/>
          <w:b/>
          <w:bCs/>
          <w:kern w:val="0"/>
          <w:sz w:val="32"/>
          <w:szCs w:val="32"/>
          <w:highlight w:val="none"/>
          <w:lang w:val="en-US" w:eastAsia="zh-CN" w:bidi="ar-SA"/>
        </w:rPr>
        <w:t>本单位2025年政府采购预算总额3696.96万元，其中工程类45万元，货物类1486.76万元，服务类2165.2万元。</w:t>
      </w:r>
    </w:p>
    <w:p w14:paraId="120AAC7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（五）国有资产占有使用及新增资产配置情况</w:t>
      </w:r>
    </w:p>
    <w:p w14:paraId="041C787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截至上年底，本单位共有车辆0辆，其中领导干部用车0辆，一般公务用车0辆，其他用车0辆。单位价值50万元以上通用设备0台，单位价值100万元以上专用设备0台。</w:t>
      </w:r>
    </w:p>
    <w:p w14:paraId="2E03C2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2025年度本单位未计划处置或新增车辆、设备等。</w:t>
      </w:r>
    </w:p>
    <w:p w14:paraId="4A910A8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楷体_GBK" w:hAnsi="方正楷体_GBK" w:eastAsia="方正楷体_GBK" w:cs="方正楷体_GBK"/>
          <w:b/>
          <w:bCs/>
          <w:kern w:val="0"/>
          <w:sz w:val="32"/>
          <w:szCs w:val="32"/>
          <w:lang w:val="en-US" w:eastAsia="zh-CN" w:bidi="ar-SA"/>
        </w:rPr>
      </w:pPr>
      <w:r>
        <w:rPr>
          <w:rFonts w:hint="eastAsia" w:ascii="方正楷体_GBK" w:hAnsi="方正楷体_GBK" w:eastAsia="方正楷体_GBK" w:cs="方正楷体_GBK"/>
          <w:b/>
          <w:bCs/>
          <w:kern w:val="0"/>
          <w:sz w:val="32"/>
          <w:szCs w:val="32"/>
          <w:lang w:val="en-US" w:eastAsia="zh-CN" w:bidi="ar-SA"/>
        </w:rPr>
        <w:t>（六）预算绩效目标说明</w:t>
      </w:r>
    </w:p>
    <w:p w14:paraId="6FA6D38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本单位所有支出实行绩效目标管理。纳入2025年单位整体支出绩效目标的金额为2223.75万元，其中，基本支出146.25万元，项目支出2077.50万元，详见文尾附表中单位预算公开表格的表21-22。</w:t>
      </w:r>
    </w:p>
    <w:p w14:paraId="7671376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黑体_GBK" w:hAnsi="方正黑体_GBK" w:eastAsia="方正黑体_GBK" w:cs="方正黑体_GBK"/>
          <w:b/>
          <w:bCs/>
          <w:kern w:val="0"/>
          <w:sz w:val="32"/>
          <w:szCs w:val="32"/>
          <w:lang w:val="en-US" w:eastAsia="zh-CN"/>
        </w:rPr>
      </w:pPr>
      <w:r>
        <w:rPr>
          <w:rFonts w:hint="eastAsia" w:ascii="方正黑体_GBK" w:hAnsi="方正黑体_GBK" w:eastAsia="方正黑体_GBK" w:cs="方正黑体_GBK"/>
          <w:b/>
          <w:bCs/>
          <w:kern w:val="0"/>
          <w:sz w:val="32"/>
          <w:szCs w:val="32"/>
          <w:lang w:val="en-US" w:eastAsia="zh-CN"/>
        </w:rPr>
        <w:t>七、名词解释</w:t>
      </w:r>
    </w:p>
    <w:p w14:paraId="7B4351B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1、机关运行经费：是指各单位的公用经费，包括办公及印刷费、邮电费、差旅费、会议费、福利费、日常维修费、专用资料及一般设备购置费、办公用房水电费、办公用房取暖费、办公用房物业管理费</w:t>
      </w:r>
      <w:bookmarkStart w:id="0" w:name="_GoBack"/>
      <w:bookmarkEnd w:id="0"/>
      <w:r>
        <w:rPr>
          <w:rFonts w:hint="eastAsia" w:ascii="方正仿宋_GBK" w:hAnsi="方正仿宋_GBK" w:eastAsia="方正仿宋_GBK" w:cs="方正仿宋_GBK"/>
          <w:b/>
          <w:bCs/>
          <w:kern w:val="0"/>
          <w:sz w:val="32"/>
          <w:szCs w:val="32"/>
          <w:lang w:val="en-US" w:eastAsia="zh-CN" w:bidi="ar-SA"/>
        </w:rPr>
        <w:t>、公务用车运行维护费以及其他费用。</w:t>
      </w:r>
      <w:r>
        <w:rPr>
          <w:rFonts w:hint="eastAsia" w:ascii="方正仿宋_GBK" w:hAnsi="方正仿宋_GBK" w:eastAsia="方正仿宋_GBK" w:cs="方正仿宋_GBK"/>
          <w:b/>
          <w:bCs/>
          <w:kern w:val="0"/>
          <w:sz w:val="32"/>
          <w:szCs w:val="32"/>
          <w:lang w:val="en-US" w:eastAsia="zh-CN" w:bidi="ar-SA"/>
        </w:rPr>
        <w:tab/>
      </w:r>
    </w:p>
    <w:p w14:paraId="5FC9271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9404823">
      <w:pPr>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3" w:firstLineChars="200"/>
        <w:jc w:val="left"/>
        <w:textAlignment w:val="auto"/>
        <w:rPr>
          <w:rFonts w:hint="eastAsia" w:ascii="方正仿宋_GBK" w:hAnsi="方正仿宋_GBK" w:eastAsia="方正仿宋_GBK" w:cs="方正仿宋_GBK"/>
          <w:b/>
          <w:bCs/>
          <w:kern w:val="0"/>
          <w:sz w:val="32"/>
          <w:szCs w:val="32"/>
          <w:lang w:val="en-US" w:eastAsia="zh-CN" w:bidi="ar-SA"/>
        </w:rPr>
      </w:pPr>
    </w:p>
    <w:p w14:paraId="72D9BC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仿宋_GBK" w:hAnsi="方正仿宋_GBK" w:eastAsia="方正仿宋_GBK" w:cs="方正仿宋_GBK"/>
          <w:b/>
          <w:bCs/>
          <w:kern w:val="0"/>
          <w:sz w:val="32"/>
          <w:szCs w:val="32"/>
          <w:lang w:val="en-US" w:eastAsia="zh-CN" w:bidi="ar-SA"/>
        </w:rPr>
        <w:sectPr>
          <w:pgSz w:w="11906" w:h="16838"/>
          <w:pgMar w:top="1440" w:right="1800" w:bottom="1440" w:left="1800" w:header="851" w:footer="992" w:gutter="0"/>
          <w:cols w:space="425" w:num="1"/>
          <w:docGrid w:type="lines" w:linePitch="312" w:charSpace="0"/>
        </w:sectPr>
      </w:pPr>
    </w:p>
    <w:p w14:paraId="756161B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bCs/>
          <w:kern w:val="0"/>
          <w:sz w:val="32"/>
          <w:szCs w:val="32"/>
          <w:lang w:val="en-US" w:eastAsia="zh-CN"/>
        </w:rPr>
      </w:pPr>
    </w:p>
    <w:p w14:paraId="1226A7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第二部分  2025年单位预算公开表格</w:t>
      </w:r>
    </w:p>
    <w:p w14:paraId="23EEE3A3">
      <w:pPr>
        <w:pStyle w:val="2"/>
        <w:keepNext w:val="0"/>
        <w:keepLines w:val="0"/>
        <w:pageBreakBefore w:val="0"/>
        <w:widowControl w:val="0"/>
        <w:kinsoku/>
        <w:wordWrap/>
        <w:overflowPunct/>
        <w:topLinePunct w:val="0"/>
        <w:autoSpaceDE/>
        <w:autoSpaceDN/>
        <w:bidi w:val="0"/>
        <w:adjustRightInd/>
        <w:snapToGrid/>
        <w:spacing w:before="0" w:after="0" w:line="600" w:lineRule="exact"/>
        <w:ind w:left="0" w:firstLine="482" w:firstLineChars="200"/>
        <w:textAlignment w:val="auto"/>
        <w:rPr>
          <w:rFonts w:hint="eastAsia"/>
          <w:b/>
          <w:bCs/>
          <w:lang w:val="en-US" w:eastAsia="zh-CN"/>
        </w:rPr>
      </w:pPr>
    </w:p>
    <w:p w14:paraId="72B17E7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1、收支总表</w:t>
      </w:r>
    </w:p>
    <w:p w14:paraId="2801D7D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2、收入总表</w:t>
      </w:r>
    </w:p>
    <w:p w14:paraId="0A493C2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3、支出总表</w:t>
      </w:r>
    </w:p>
    <w:p w14:paraId="72E1C4D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4、支出预算分类汇总表（按政府预算经济分类）</w:t>
      </w:r>
    </w:p>
    <w:p w14:paraId="4864A7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5、支出预算分类汇总表（按部门预算经济分类）</w:t>
      </w:r>
    </w:p>
    <w:p w14:paraId="144C936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6、财政拨款收支总表</w:t>
      </w:r>
    </w:p>
    <w:p w14:paraId="1E0F6FC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7、一般公共预算支出表</w:t>
      </w:r>
    </w:p>
    <w:p w14:paraId="4C6EFD1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8、一般公共预算基本支出表-人员经费（工资福利支出）（按政府预算经济分类）</w:t>
      </w:r>
    </w:p>
    <w:p w14:paraId="5CD6BD7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9、一般公共预算基本支出表-人员经费（工资福利支出）（按部门预算经济分类）</w:t>
      </w:r>
    </w:p>
    <w:p w14:paraId="1052F2F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10、一般公共预算基本支出表-人员经费（对个人和家庭的补助）（按政府预算经济分类）</w:t>
      </w:r>
    </w:p>
    <w:p w14:paraId="23DC883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11、一般公共预算基本支出表-人员经费（对个人和家庭的补助）（按部门预算经济分类）</w:t>
      </w:r>
    </w:p>
    <w:p w14:paraId="6089C5C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12、一般公共预算基本支出表-公用经费（商品和服务支出）（按政府预算经济分类）</w:t>
      </w:r>
    </w:p>
    <w:p w14:paraId="6417A0C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13、一般公共预算基本支出表-公用经费（商品和服务支出）（按部门预算经济分类）</w:t>
      </w:r>
    </w:p>
    <w:p w14:paraId="2B15EC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14、一般公共预算“三公”经费支出表</w:t>
      </w:r>
    </w:p>
    <w:p w14:paraId="1249362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15、政府性基金预算支出表</w:t>
      </w:r>
    </w:p>
    <w:p w14:paraId="5FE0BF9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16、政府性基金预算支出分类汇总表（按政府预算经济分类）</w:t>
      </w:r>
    </w:p>
    <w:p w14:paraId="66D6310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17、政府性基金预算支出分类汇总表（按部门预算经济分类）</w:t>
      </w:r>
    </w:p>
    <w:p w14:paraId="2A07BB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18、国有资本经营预算支出表</w:t>
      </w:r>
    </w:p>
    <w:p w14:paraId="3ACFE1F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19、财政专户管理资金预算支出表</w:t>
      </w:r>
    </w:p>
    <w:p w14:paraId="1944BB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20、专项资金预算汇总表</w:t>
      </w:r>
    </w:p>
    <w:p w14:paraId="06F1039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21、项目支出绩效目标表</w:t>
      </w:r>
    </w:p>
    <w:p w14:paraId="63EA5E5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22、单位整体支出绩效目标表</w:t>
      </w:r>
    </w:p>
    <w:p w14:paraId="6C81395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23、一般公共预算基本支出表</w:t>
      </w:r>
    </w:p>
    <w:p w14:paraId="3D6C532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注：以上单位预算公开报表中，空表表示本单位无相关收支情况。</w:t>
      </w:r>
    </w:p>
    <w:p w14:paraId="40E301A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b/>
          <w:bCs/>
          <w:kern w:val="0"/>
          <w:sz w:val="32"/>
          <w:szCs w:val="32"/>
          <w:lang w:val="en-US" w:eastAsia="zh-CN" w:bidi="ar-SA"/>
        </w:rPr>
      </w:pPr>
    </w:p>
    <w:p w14:paraId="0C0F34EF">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p w14:paraId="3A8D9754">
      <w:pPr>
        <w:keepNext w:val="0"/>
        <w:keepLines w:val="0"/>
        <w:pageBreakBefore w:val="0"/>
        <w:widowControl w:val="0"/>
        <w:kinsoku/>
        <w:wordWrap/>
        <w:overflowPunct/>
        <w:topLinePunct w:val="0"/>
        <w:autoSpaceDE/>
        <w:autoSpaceDN/>
        <w:bidi w:val="0"/>
        <w:adjustRightInd/>
        <w:snapToGrid/>
        <w:spacing w:line="600" w:lineRule="exact"/>
        <w:textAlignment w:val="auto"/>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413AAD"/>
    <w:rsid w:val="05C07E92"/>
    <w:rsid w:val="05FF6D42"/>
    <w:rsid w:val="09DC787E"/>
    <w:rsid w:val="1178670A"/>
    <w:rsid w:val="1D6E79F7"/>
    <w:rsid w:val="1E4E1FC7"/>
    <w:rsid w:val="1F7152FF"/>
    <w:rsid w:val="2014078C"/>
    <w:rsid w:val="24546843"/>
    <w:rsid w:val="256E4291"/>
    <w:rsid w:val="2D1D4FE4"/>
    <w:rsid w:val="2ED7694A"/>
    <w:rsid w:val="38FC020D"/>
    <w:rsid w:val="3D5B49AB"/>
    <w:rsid w:val="3E825F9A"/>
    <w:rsid w:val="42A33E5A"/>
    <w:rsid w:val="4AB849A6"/>
    <w:rsid w:val="4BA430E9"/>
    <w:rsid w:val="4EFD6A39"/>
    <w:rsid w:val="51807A2D"/>
    <w:rsid w:val="537D17AE"/>
    <w:rsid w:val="5EC65FBA"/>
    <w:rsid w:val="5F064F2A"/>
    <w:rsid w:val="638566FF"/>
    <w:rsid w:val="69EF7CD8"/>
    <w:rsid w:val="6E054C0E"/>
    <w:rsid w:val="70A76982"/>
    <w:rsid w:val="75D43A11"/>
    <w:rsid w:val="76016C28"/>
    <w:rsid w:val="7979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2873</Words>
  <Characters>3189</Characters>
  <Lines>0</Lines>
  <Paragraphs>0</Paragraphs>
  <TotalTime>1</TotalTime>
  <ScaleCrop>false</ScaleCrop>
  <LinksUpToDate>false</LinksUpToDate>
  <CharactersWithSpaces>3204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2023-04-04T01:15:00Z</dcterms:created>
  <dc:creator>Administrator</dc:creator>
  <cp:lastModifiedBy>fumon</cp:lastModifiedBy>
  <dcterms:modified xsi:type="dcterms:W3CDTF">2025-04-16T07:21:37Z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26191FC82EF8429CA830217646346A07_13</vt:lpwstr>
  </property>
  <property fmtid="{D5CDD505-2E9C-101B-9397-08002B2CF9AE}" pid="4" name="KSOTemplateDocerSaveRecord">
    <vt:lpwstr>eyJoZGlkIjoiMzEwNTM5NzYwMDRjMzkwZTVkZjY2ODkwMGIxNGU0OTUiLCJ1c2VySWQiOiIxODk2NDYzNTQifQ==</vt:lpwstr>
  </property>
</Properties>
</file>