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680B60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岳阳市老干部活动服务中心202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</w:t>
      </w:r>
    </w:p>
    <w:p w14:paraId="4AA4A71C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单位预算</w:t>
      </w:r>
    </w:p>
    <w:p w14:paraId="1147CB8E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4167A928"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目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录</w:t>
      </w:r>
    </w:p>
    <w:p w14:paraId="0F9D5D6B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1B981E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第一部分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年单位预算说明</w:t>
      </w:r>
    </w:p>
    <w:p w14:paraId="2F65C8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第二部分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年单位预算公开表格</w:t>
      </w:r>
    </w:p>
    <w:p w14:paraId="715887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1、收支总表</w:t>
      </w:r>
    </w:p>
    <w:p w14:paraId="6FAEE8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2、收入总表</w:t>
      </w:r>
    </w:p>
    <w:p w14:paraId="655212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3、支出总表</w:t>
      </w:r>
    </w:p>
    <w:p w14:paraId="499AB5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4、支出预算分类汇总表（按政府预算经济分类）</w:t>
      </w:r>
    </w:p>
    <w:p w14:paraId="3F0EC7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5、支出预算分类汇总表（按部门预算经济分类）</w:t>
      </w:r>
    </w:p>
    <w:p w14:paraId="710D90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6、财政拨款收支总表</w:t>
      </w:r>
    </w:p>
    <w:p w14:paraId="588EF7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7、一般公共预算支出表</w:t>
      </w:r>
    </w:p>
    <w:p w14:paraId="648A00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8、一般公共预算基本支出表-人员经费（工资福利支出）（按政府预算经济分类）</w:t>
      </w:r>
    </w:p>
    <w:p w14:paraId="45D1F2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9、一般公共预算基本支出表-人员经费（工资福利支出）（按部门预算经济分类）</w:t>
      </w:r>
    </w:p>
    <w:p w14:paraId="5D1D25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10、一般公共预算基本支出表-人员经费（对个人和家庭的补助）（按政府预算经济分类）</w:t>
      </w:r>
    </w:p>
    <w:p w14:paraId="2DF5B0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11、一般公共预算基本支出表-人员经费（对个人和家庭的补助）（按部门预算经济分类）</w:t>
      </w:r>
    </w:p>
    <w:p w14:paraId="6FA748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12、一般公共预算基本支出表-公用经费（商品和服务支出）（按政府预算经济分类）</w:t>
      </w:r>
    </w:p>
    <w:p w14:paraId="5896F9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13、一般公共预算基本支出表-公用经费（商品和服务支出）（按部门预算经济分类）</w:t>
      </w:r>
    </w:p>
    <w:p w14:paraId="16EFA6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14、一般公共预算“三公”经费支出表</w:t>
      </w:r>
    </w:p>
    <w:p w14:paraId="6B06EA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15、政府性基金预算支出表</w:t>
      </w:r>
    </w:p>
    <w:p w14:paraId="4674DD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16、政府性基金预算支出分类汇总表（按政府预算经济分类）</w:t>
      </w:r>
    </w:p>
    <w:p w14:paraId="42E383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17、政府性基金预算支出分类汇总表（按部门预算经济分类）</w:t>
      </w:r>
    </w:p>
    <w:p w14:paraId="47E6C9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18、国有资本经营预算支出表</w:t>
      </w:r>
    </w:p>
    <w:p w14:paraId="36D5B4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19、财政专户管理资金预算支出表</w:t>
      </w:r>
    </w:p>
    <w:p w14:paraId="0CB660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20、专项资金预算汇总表</w:t>
      </w:r>
    </w:p>
    <w:p w14:paraId="07EF59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21、项目支出绩效目标表</w:t>
      </w:r>
    </w:p>
    <w:p w14:paraId="766583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22、单位整体支出绩效目标表</w:t>
      </w:r>
    </w:p>
    <w:p w14:paraId="18290A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23、一般公共预算基本支出表</w:t>
      </w:r>
    </w:p>
    <w:p w14:paraId="10D3B1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注：以上单位预算公开报表中，空表表示本单位无相关收支情况。</w:t>
      </w:r>
    </w:p>
    <w:p w14:paraId="3DF48B24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392E2A99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08D56BC7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23FD39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第一部分  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 w:cs="黑体"/>
          <w:sz w:val="44"/>
          <w:szCs w:val="44"/>
        </w:rPr>
        <w:t>年单位预算说明</w:t>
      </w:r>
    </w:p>
    <w:p w14:paraId="16A6CB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BC9E35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单位基本概况</w:t>
      </w:r>
    </w:p>
    <w:p w14:paraId="5B08956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职能职责</w:t>
      </w:r>
    </w:p>
    <w:p w14:paraId="33A01E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1、负责贯彻执行党和政府关于老干部工作的方针、政策，做好住所离退休干部及遗孀的管理、服务工作。(国发[1978]104号)</w:t>
      </w:r>
    </w:p>
    <w:p w14:paraId="61AC4F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2、负责加强住所离退休干部和在职工作人员思想政治工作，组织开展健康有益的活动。(国发[1980]253号)</w:t>
      </w:r>
    </w:p>
    <w:p w14:paraId="09251F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3、负责协调住所离休干部与原工作单位的关系，落实好住所离休干部的政治待遇和生活待遇，做好医疗保健工作。(国发[1978]104号)</w:t>
      </w:r>
    </w:p>
    <w:p w14:paraId="5E183E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4、负责本单位国有资产管理，改善离退休干部活动场所，提高社会化服务保障水平。(国发[1980]253号)</w:t>
      </w:r>
    </w:p>
    <w:p w14:paraId="40047B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5、服务管理老干部活动中心各场馆，组织全市老干部开展各类娱乐、健身活动等。</w:t>
      </w:r>
    </w:p>
    <w:p w14:paraId="79D798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（二）机构设置 </w:t>
      </w:r>
    </w:p>
    <w:p w14:paraId="021446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岳阳市老干部活动服务中心属于独立核算全额拨款的（参公）事业二级单位，单位内设机构包括：综合部、生活服务部、活动服务部。现有人员编制1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175C7A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二、单位预算单位构成</w:t>
      </w:r>
    </w:p>
    <w:p w14:paraId="42945A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本单位预算仅含本级预算。</w:t>
      </w:r>
    </w:p>
    <w:p w14:paraId="6F243C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三、单位收支总体情况</w:t>
      </w:r>
    </w:p>
    <w:p w14:paraId="04495D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没有政府性基金预算拨款、国有资本经营预算收入和纳入专户管理的非税收入拨款收入，也没有使用政府性基金预算拨款、国有资本经营预算收入和纳入专户管理的非税收入拨款安排的支出，所以公开的附件15、16、17、18、19表均为空。</w:t>
      </w:r>
    </w:p>
    <w:p w14:paraId="38CC4A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（一）收入预算</w:t>
      </w:r>
    </w:p>
    <w:p w14:paraId="74545A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包括一般公共预算、政府性基金、国有资本经营预算等财政拨款收入，以及经营收入、事业收入等单位资金。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年本单位收入预算375.27万元，其中，一般公共预算拨款375.27万元，政府性基金预算资金0.00万元(所以公开的附件17为空)，国有资本经营预算资金0.00万元(所以公开的附件18为空)，财政专户管理资金0.00万元(所以公开的附件19为空)，上级补助收入资金0.00万元，事业单位经营收入资金0.00万元，上年结转结余0.00万元。(数据来源见表2)本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年收入较去年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减少11.91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万元，主要是因为有人员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退休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6A7054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（二）支出预算</w:t>
      </w:r>
    </w:p>
    <w:p w14:paraId="6B83E2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年本单位支出预算3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75.27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万元，其中，201一般公共服务支出228.23万元，208社会保障和就业支出119.87万元，210卫生健康支出11.93万元，221住房保障支出15.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万元，支出较去年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减少了11.91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万元，主要是因为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</w:rPr>
        <w:t>了人员经费。</w:t>
      </w:r>
    </w:p>
    <w:p w14:paraId="54F151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四、一般公共预算拨款支出预算</w:t>
      </w:r>
    </w:p>
    <w:p w14:paraId="794618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2025年一般公共预算拨款支出预算375.27万元，其中，201一般公共服务支出228.23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万元，占60.82%；208社会保障和就业支出119.87万元，占31.94%；210卫生健康支出11.93万元，占3.18%；221住房保障支出15.23万元，占4.06%；具体安排情况如下：</w:t>
      </w:r>
    </w:p>
    <w:p w14:paraId="3C8453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（一）基本支出：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基本支出年初预算数为340.27万元（数据来源见表23），是指为保障单位机构正常运转、完成日常工作任务而发生的各项支出，包括用于基本工资、津贴补贴等人员经费以及办公费、印刷费、水电费、差旅费等日常公用经费。</w:t>
      </w:r>
    </w:p>
    <w:p w14:paraId="602B88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（二）项目支出：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年项目支出年初预算数为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sz w:val="32"/>
          <w:szCs w:val="32"/>
        </w:rPr>
        <w:t>.00万元（数据来源见表20），是指单位为完成特定行政工作任务或事业发展目标而发生的支出，包括有关业务工作经费、运行维护经费、其他事业发展资金等。其中：岳阳市老干部活动中心运行费专项支出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sz w:val="32"/>
          <w:szCs w:val="32"/>
        </w:rPr>
        <w:t>.00万元，主要用于老干部活动中心开展专项活动、运行维护等方面。</w:t>
      </w:r>
    </w:p>
    <w:p w14:paraId="32F529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五、政府性基金预算支出</w:t>
      </w:r>
    </w:p>
    <w:p w14:paraId="6EF2E2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年度本单位无政府性基金安排的支出，所以公开的附件15-17（政府性基金预算）为空。</w:t>
      </w:r>
    </w:p>
    <w:p w14:paraId="7C81FB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六、其他重要事项的情况说明</w:t>
      </w:r>
    </w:p>
    <w:p w14:paraId="473C1C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（一）机关运行经费</w:t>
      </w:r>
    </w:p>
    <w:p w14:paraId="2D69C8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年机关运行经费当年一般公共预算拨款47.42万元（数据来源见表12），比上一年增加0.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0.06</w:t>
      </w:r>
      <w:r>
        <w:rPr>
          <w:rFonts w:hint="eastAsia" w:ascii="仿宋_GB2312" w:hAnsi="仿宋_GB2312" w:eastAsia="仿宋_GB2312" w:cs="仿宋_GB2312"/>
          <w:sz w:val="32"/>
          <w:szCs w:val="32"/>
        </w:rPr>
        <w:t>%。主要原因是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经费基数调整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F504B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（二）“三公”经费预算</w:t>
      </w:r>
    </w:p>
    <w:p w14:paraId="00BD10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年“三公”经费预算数0.20万元（数据来源见表14），其中，公务接待费0.20万元，因公出国（境）费0.00万元，公务用车购置及运行费0.00万元（其中，公务用车购置费0.00万元，公务用车运行费0.00万元）。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年三公经费预算较上年增加0.00万元，主要原因是落实中央八项规定履行节约各项经费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三公经费并无变化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7A772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（三）一般性支出情况</w:t>
      </w:r>
    </w:p>
    <w:p w14:paraId="6A20FE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年会议费预算0.00万元（数据来源见表13会议费、培训费），拟召开0次会议，人数0人，内容为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</w:t>
      </w:r>
      <w:r>
        <w:rPr>
          <w:rFonts w:hint="eastAsia" w:ascii="仿宋_GB2312" w:hAnsi="仿宋_GB2312" w:eastAsia="仿宋_GB2312" w:cs="仿宋_GB2312"/>
          <w:sz w:val="32"/>
          <w:szCs w:val="32"/>
        </w:rPr>
        <w:t>；培训费预算0.00万元，拟开展0次培训，人数0人，内容为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</w:t>
      </w:r>
      <w:r>
        <w:rPr>
          <w:rFonts w:hint="eastAsia" w:ascii="仿宋_GB2312" w:hAnsi="仿宋_GB2312" w:eastAsia="仿宋_GB2312" w:cs="仿宋_GB2312"/>
          <w:sz w:val="32"/>
          <w:szCs w:val="32"/>
        </w:rPr>
        <w:t>；计划举办节庆、晚会、论坛、赛事活动0万元，内容为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年度本单位未计划安排会议、培训，未计划举办节庆、晚会、论坛、赛事活动。</w:t>
      </w:r>
    </w:p>
    <w:p w14:paraId="512769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（四）政府采购情况</w:t>
      </w:r>
    </w:p>
    <w:p w14:paraId="59091F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年政府采购预算总额0万元，其中工程类0万元，货物类0万元，服务类0万元。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年度本单位未安排政府采购预算。</w:t>
      </w:r>
    </w:p>
    <w:p w14:paraId="337701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（五）国有资产占有使用及新增资产配置情况</w:t>
      </w:r>
    </w:p>
    <w:p w14:paraId="32008A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截至上年底，本单位共有车辆0辆，其中领导干部用车0辆，一般公务用车0辆，其他用车0辆。单位价值50万元以上通用设备0台，单位价值100万元以上专用设备0台。 </w:t>
      </w:r>
    </w:p>
    <w:p w14:paraId="33226E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拟报废处置车辆0辆，其中：报废处置领导干部用车0辆，报废处置一般公务用车0辆，报废处置其他用车0辆，报废处置单位价值50万元以上通用设备0台，报废处置单位价值100万元以上通用设备0台。拟新增配置车辆0辆，其中领导干部用车0辆，一般公务用车0辆，其他用车0辆。</w:t>
      </w:r>
    </w:p>
    <w:p w14:paraId="77FE73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年拟新增配备领导干部用车0辆，一般公务用车0辆，其他用车0辆，新增配备单位价值50万元以上通用设备0台，单位价值100万元以上专用设备0台。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年度本单位未计划处置或新增车辆、设备等。</w:t>
      </w:r>
    </w:p>
    <w:p w14:paraId="1F0A3E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（六）预算绩效目标说明</w:t>
      </w:r>
    </w:p>
    <w:p w14:paraId="0E8D2C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本单位所有支出实行绩效目标管理。纳入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年单位整体支出绩效目标的金额为375.27万元，其中，基本支出340.27万元，项目支出35.00万元，详见文尾附表中单位预算公开表格的表21-22。</w:t>
      </w:r>
    </w:p>
    <w:p w14:paraId="04C2C1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七、名词解释</w:t>
      </w:r>
    </w:p>
    <w:p w14:paraId="1199F1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机关运行经费：是指各单位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 w14:paraId="22D5E2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、“三公”经费：纳入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</w:r>
    </w:p>
    <w:p w14:paraId="50D629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A3BE2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 xml:space="preserve">第二部分  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2025</w:t>
      </w:r>
      <w:r>
        <w:rPr>
          <w:rFonts w:hint="eastAsia" w:ascii="黑体" w:hAnsi="黑体" w:eastAsia="黑体" w:cs="黑体"/>
          <w:sz w:val="44"/>
          <w:szCs w:val="44"/>
        </w:rPr>
        <w:t>年单位预算公开表格</w:t>
      </w:r>
    </w:p>
    <w:p w14:paraId="7E1846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 w14:paraId="75E470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1、收支总表</w:t>
      </w:r>
    </w:p>
    <w:p w14:paraId="34DF91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2、收入总表</w:t>
      </w:r>
    </w:p>
    <w:p w14:paraId="1BEF0C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3、支出总表</w:t>
      </w:r>
    </w:p>
    <w:p w14:paraId="49469A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4、支出预算分类汇总表（按政府预算经济分类）</w:t>
      </w:r>
    </w:p>
    <w:p w14:paraId="4FA17F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5、支出预算分类汇总表（按部门预算经济分类）</w:t>
      </w:r>
    </w:p>
    <w:p w14:paraId="0C23F9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6、财政拨款收支总表</w:t>
      </w:r>
    </w:p>
    <w:p w14:paraId="7F1032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7、一般公共预算支出表</w:t>
      </w:r>
    </w:p>
    <w:p w14:paraId="4D0D3B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8、一般公共预算基本支出表-人员经费（工资福利支出）（按政府预算经济分类）</w:t>
      </w:r>
    </w:p>
    <w:p w14:paraId="4A12D5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9、一般公共预算基本支出表-人员经费（工资福利支出）（按部门预算经济分类）</w:t>
      </w:r>
    </w:p>
    <w:p w14:paraId="5153FE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10、一般公共预算基本支出表-人员经费（对个人和家庭的补助）（按政府预算经济分类）</w:t>
      </w:r>
    </w:p>
    <w:p w14:paraId="7E95D2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11、一般公共预算基本支出表-人员经费（对个人和家庭的补助）（按部门预算经济分类）</w:t>
      </w:r>
    </w:p>
    <w:p w14:paraId="3311BD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12、一般公共预算基本支出表-公用经费（商品和服务支出）（按政府预算经济分类）</w:t>
      </w:r>
    </w:p>
    <w:p w14:paraId="67EC3D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13、一般公共预算基本支出表-公用经费（商品和服务支出）（按部门预算经济分类）</w:t>
      </w:r>
    </w:p>
    <w:p w14:paraId="6EDEE7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14、一般公共预算“三公”经费支出表</w:t>
      </w:r>
    </w:p>
    <w:p w14:paraId="1CD48D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15、政府性基金预算支出表</w:t>
      </w:r>
    </w:p>
    <w:p w14:paraId="767669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16、政府性基金预算支出分类汇总表（按政府预算经济分类）</w:t>
      </w:r>
    </w:p>
    <w:p w14:paraId="67943D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17、政府性基金预算支出分类汇总表（按部门预算经济分类）</w:t>
      </w:r>
    </w:p>
    <w:p w14:paraId="792F43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18、国有资本经营预算支出表</w:t>
      </w:r>
    </w:p>
    <w:p w14:paraId="04A4A6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19、财政专户管理资金预算支出表</w:t>
      </w:r>
    </w:p>
    <w:p w14:paraId="09C484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20、专项资金预算汇总表</w:t>
      </w:r>
    </w:p>
    <w:p w14:paraId="7E74BA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21、项目支出绩效目标表</w:t>
      </w:r>
    </w:p>
    <w:p w14:paraId="068B6E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22、单位整体支出绩效目标表</w:t>
      </w:r>
    </w:p>
    <w:p w14:paraId="673582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23、一般公共预算基本支出表</w:t>
      </w:r>
    </w:p>
    <w:p w14:paraId="63F202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注：以上单位预算公开报表中，空表表示本单位无相关收支情况。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00EF7D"/>
    <w:multiLevelType w:val="singleLevel"/>
    <w:tmpl w:val="6600EF7D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6600EF8B"/>
    <w:multiLevelType w:val="singleLevel"/>
    <w:tmpl w:val="6600EF8B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yMGFmMTJjZDc5MTY3YTY1N2I2YTE3ZGU3YTY2NDUifQ=="/>
    <w:docVar w:name="KSO_WPS_MARK_KEY" w:val="fa6c37ab-9d7b-48f0-9447-e5a4c394997c"/>
  </w:docVars>
  <w:rsids>
    <w:rsidRoot w:val="67070762"/>
    <w:rsid w:val="04E539FC"/>
    <w:rsid w:val="04FB7FE9"/>
    <w:rsid w:val="13083212"/>
    <w:rsid w:val="15760FE0"/>
    <w:rsid w:val="2DCC2A71"/>
    <w:rsid w:val="472A6390"/>
    <w:rsid w:val="535105F2"/>
    <w:rsid w:val="57242DF2"/>
    <w:rsid w:val="60301373"/>
    <w:rsid w:val="67070762"/>
    <w:rsid w:val="76045CD7"/>
    <w:rsid w:val="7FE812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3408</Words>
  <Characters>3753</Characters>
  <Lines>0</Lines>
  <Paragraphs>0</Paragraphs>
  <TotalTime>0</TotalTime>
  <ScaleCrop>false</ScaleCrop>
  <LinksUpToDate>false</LinksUpToDate>
  <CharactersWithSpaces>3766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2024-03-25T03:23:00Z</dcterms:created>
  <dc:creator>Administrator</dc:creator>
  <cp:lastModifiedBy>谭许辰</cp:lastModifiedBy>
  <dcterms:modified xsi:type="dcterms:W3CDTF">2025-04-17T02:25:06Z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8FCF41CE7B934FF0A8391425C846DEE1_13</vt:lpwstr>
  </property>
  <property fmtid="{D5CDD505-2E9C-101B-9397-08002B2CF9AE}" pid="4" name="KSOTemplateDocerSaveRecord">
    <vt:lpwstr>eyJoZGlkIjoiMjI4YTgyYWNjNTJjODhkNzVjOTlhMzFlYTdlMDU0YjEiLCJ1c2VySWQiOiIyMDUxNTcyMzEifQ==</vt:lpwstr>
  </property>
</Properties>
</file>