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河道砂石工作保障执法监督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岳阳市长江洞庭湖水利事务中心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97.6%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97.6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97.6%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强化执法巡查，加强采砂监管，确保河道采砂监管巡查到位。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强化联合执法，与公安部门建立长效合作机制，确保打击非法采砂行刑对接。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3.对非法采砂露头就打，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落实扫黑除恶常态化工作，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打击“砂霸”及保护伞，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维护我市砂石市场健康秩序，营造良好营商环境。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结合“河长制”工作开展水政执法日常巡查与市级督查暗访，不少于90次。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严格办理各类涉水涉砂案件，对涉嫌犯罪相关违法行为移交公安打击处置。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进一步规范我市砂石市场，严格票据稽查、打击非法采砂及违法采砂，规范疏浚砂的处置利用。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完成河道砂石资源有偿使用收入市级分成征缴部分；办理一系列非法、违规采砂案件，征收罚没款30万元以上；开展日常巡查暗访90次以上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打击非法采砂，加强公安联合执法，规范各类河道采砂、疏浚砂综合利用行为。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严打非法采砂，规范各类采砂行为，办理一批涉砂案件。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2024年内征收罚没款30万元以上；牵头开展日常巡查暗访90次以上。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砂收入催缴、联合执法办案经费控制在100万内。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砂收入催缴、联合执法办案经费控制在100万内。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平抑砂石价格，保障重点民生工程用砂需求，打击非法违规采砂，保障合法采砂从业人员的就业及利益。加大水法律法规宣传力度。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群众满意度调查满意率95%以上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打击非法采砂，规范合法采砂与疏浚，长江、洞庭湖水质常年保持在三类以上。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长江、洞庭湖水质常年保证在3类以上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持续开展打击非法采砂扫黑除恶，铲除砂霸及保护伞，为社会发展，岳阳砂石市场营商环境的规范创造良好条件。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优化砂石营商环境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做好执法打击工作，及时回复办理各类上访、举报，力争全年执法工作0投诉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0投诉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余萍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2025-5-6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 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 xml:space="preserve">13975073918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025B2"/>
    <w:rsid w:val="1F380C9E"/>
    <w:rsid w:val="4EF35CD7"/>
    <w:rsid w:val="54C025B2"/>
    <w:rsid w:val="5C127C48"/>
    <w:rsid w:val="617C469E"/>
    <w:rsid w:val="7CC7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2025-04-14T09:16:00Z</dcterms:created>
  <dc:creator>Boxer</dc:creator>
  <cp:lastModifiedBy>Administrator</cp:lastModifiedBy>
  <dcterms:modified xsi:type="dcterms:W3CDTF">2025-06-23T02:18:31Z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657B5F92AE2849638FC8C6D41487B703_11</vt:lpwstr>
  </property>
</Properties>
</file>