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jc w:val="center"/>
        <w:rPr>
          <w:sz w:val="56"/>
          <w:szCs w:val="56"/>
        </w:rPr>
      </w:pPr>
    </w:p>
    <w:p>
      <w:pPr>
        <w:pStyle w:val="16"/>
        <w:jc w:val="center"/>
        <w:rPr>
          <w:sz w:val="56"/>
          <w:szCs w:val="56"/>
        </w:rPr>
      </w:pPr>
    </w:p>
    <w:p>
      <w:pPr>
        <w:pStyle w:val="16"/>
        <w:jc w:val="center"/>
        <w:rPr>
          <w:sz w:val="84"/>
          <w:szCs w:val="84"/>
        </w:rPr>
      </w:pPr>
    </w:p>
    <w:p>
      <w:pPr>
        <w:pStyle w:val="16"/>
        <w:jc w:val="center"/>
        <w:rPr>
          <w:sz w:val="84"/>
          <w:szCs w:val="84"/>
        </w:rPr>
      </w:pPr>
    </w:p>
    <w:p>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岳阳市农业农村局</w:t>
      </w:r>
      <w:r>
        <w:rPr>
          <w:rFonts w:hint="eastAsia" w:ascii="方正小标宋_GBK" w:hAnsi="方正小标宋_GBK" w:eastAsia="方正小标宋_GBK" w:cs="方正小标宋_GBK"/>
          <w:sz w:val="84"/>
          <w:szCs w:val="84"/>
        </w:rPr>
        <w:t>部门决算</w:t>
      </w:r>
    </w:p>
    <w:p>
      <w:pPr>
        <w:pStyle w:val="16"/>
        <w:jc w:val="center"/>
        <w:rPr>
          <w:rFonts w:hint="eastAsia" w:ascii="方正小标宋_GBK" w:hAnsi="方正小标宋_GBK" w:eastAsia="方正小标宋_GBK" w:cs="方正小标宋_GBK"/>
          <w:sz w:val="56"/>
          <w:szCs w:val="56"/>
        </w:rPr>
      </w:pPr>
    </w:p>
    <w:p>
      <w:pPr>
        <w:pStyle w:val="16"/>
        <w:jc w:val="center"/>
        <w:rPr>
          <w:sz w:val="56"/>
          <w:szCs w:val="56"/>
        </w:rPr>
      </w:pPr>
    </w:p>
    <w:p>
      <w:pPr>
        <w:pStyle w:val="16"/>
        <w:jc w:val="center"/>
        <w:rPr>
          <w:sz w:val="56"/>
          <w:szCs w:val="56"/>
        </w:rPr>
      </w:pPr>
    </w:p>
    <w:p>
      <w:pPr>
        <w:pStyle w:val="16"/>
        <w:jc w:val="center"/>
        <w:rPr>
          <w:sz w:val="56"/>
          <w:szCs w:val="56"/>
        </w:rPr>
      </w:pPr>
    </w:p>
    <w:p>
      <w:pPr>
        <w:pStyle w:val="16"/>
        <w:jc w:val="center"/>
        <w:rPr>
          <w:sz w:val="32"/>
          <w:szCs w:val="32"/>
        </w:rPr>
      </w:pPr>
    </w:p>
    <w:p>
      <w:pPr>
        <w:pStyle w:val="16"/>
        <w:jc w:val="center"/>
        <w:rPr>
          <w:sz w:val="32"/>
          <w:szCs w:val="32"/>
        </w:rPr>
      </w:pPr>
    </w:p>
    <w:p>
      <w:pPr>
        <w:pStyle w:val="16"/>
        <w:jc w:val="center"/>
        <w:rPr>
          <w:sz w:val="32"/>
          <w:szCs w:val="32"/>
        </w:rPr>
      </w:pPr>
    </w:p>
    <w:p>
      <w:pPr>
        <w:pStyle w:val="16"/>
        <w:jc w:val="center"/>
        <w:rPr>
          <w:sz w:val="32"/>
          <w:szCs w:val="32"/>
        </w:rPr>
      </w:pPr>
    </w:p>
    <w:p>
      <w:pPr>
        <w:pStyle w:val="16"/>
        <w:jc w:val="center"/>
        <w:rPr>
          <w:sz w:val="32"/>
          <w:szCs w:val="32"/>
        </w:rPr>
      </w:pPr>
    </w:p>
    <w:p>
      <w:pPr>
        <w:pStyle w:val="16"/>
        <w:spacing w:line="500" w:lineRule="exact"/>
        <w:jc w:val="both"/>
        <w:rPr>
          <w:b/>
          <w:sz w:val="36"/>
          <w:szCs w:val="28"/>
        </w:rPr>
      </w:pPr>
    </w:p>
    <w:p>
      <w:pPr>
        <w:pStyle w:val="16"/>
        <w:spacing w:line="500" w:lineRule="exact"/>
        <w:jc w:val="center"/>
        <w:rPr>
          <w:b/>
          <w:sz w:val="36"/>
          <w:szCs w:val="28"/>
        </w:rPr>
      </w:pPr>
      <w:r>
        <w:rPr>
          <w:rFonts w:hint="eastAsia"/>
          <w:b/>
          <w:sz w:val="36"/>
          <w:szCs w:val="28"/>
        </w:rPr>
        <w:t>目录</w:t>
      </w:r>
    </w:p>
    <w:p>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岳阳市农业农村局</w:t>
      </w:r>
      <w:r>
        <w:rPr>
          <w:rFonts w:hint="eastAsia" w:ascii="黑体" w:hAnsi="黑体" w:eastAsia="黑体" w:cs="黑体"/>
          <w:b w:val="0"/>
          <w:bCs/>
          <w:sz w:val="28"/>
          <w:szCs w:val="28"/>
        </w:rPr>
        <w:t>概况</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6"/>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6"/>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6"/>
        <w:jc w:val="center"/>
        <w:rPr>
          <w:rFonts w:hint="eastAsia" w:ascii="方正小标宋_GBK" w:hAnsi="方正小标宋_GBK" w:eastAsia="方正小标宋_GBK" w:cs="方正小标宋_GBK"/>
          <w:sz w:val="84"/>
          <w:szCs w:val="84"/>
        </w:rPr>
      </w:pPr>
    </w:p>
    <w:p>
      <w:pPr>
        <w:pStyle w:val="16"/>
        <w:jc w:val="center"/>
        <w:rPr>
          <w:rFonts w:hint="eastAsia" w:ascii="方正小标宋_GBK" w:hAnsi="方正小标宋_GBK" w:eastAsia="方正小标宋_GBK" w:cs="方正小标宋_GBK"/>
          <w:sz w:val="84"/>
          <w:szCs w:val="84"/>
        </w:rPr>
      </w:pPr>
    </w:p>
    <w:p>
      <w:pPr>
        <w:pStyle w:val="16"/>
        <w:jc w:val="center"/>
        <w:rPr>
          <w:rFonts w:hint="eastAsia" w:ascii="方正小标宋_GBK" w:hAnsi="方正小标宋_GBK" w:eastAsia="方正小标宋_GBK" w:cs="方正小标宋_GBK"/>
          <w:sz w:val="84"/>
          <w:szCs w:val="84"/>
        </w:rPr>
      </w:pPr>
    </w:p>
    <w:p>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岳阳市农业农村局</w:t>
      </w:r>
    </w:p>
    <w:p>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概况</w:t>
      </w:r>
    </w:p>
    <w:p>
      <w:pPr>
        <w:pStyle w:val="11"/>
        <w:rPr>
          <w:rFonts w:hint="eastAsia" w:ascii="方正小标宋_GBK" w:hAnsi="方正小标宋_GBK" w:eastAsia="方正小标宋_GBK" w:cs="方正小标宋_GBK"/>
          <w:sz w:val="84"/>
          <w:szCs w:val="84"/>
        </w:rPr>
      </w:pPr>
    </w:p>
    <w:p>
      <w:pPr>
        <w:pStyle w:val="7"/>
        <w:rPr>
          <w:rFonts w:hint="eastAsia" w:ascii="方正小标宋_GBK" w:hAnsi="方正小标宋_GBK" w:eastAsia="方正小标宋_GBK" w:cs="方正小标宋_GBK"/>
          <w:sz w:val="84"/>
          <w:szCs w:val="84"/>
        </w:rPr>
      </w:pPr>
    </w:p>
    <w:p>
      <w:pPr>
        <w:rPr>
          <w:rFonts w:hint="eastAsia" w:ascii="方正小标宋_GBK" w:hAnsi="方正小标宋_GBK" w:eastAsia="方正小标宋_GBK" w:cs="方正小标宋_GBK"/>
          <w:sz w:val="84"/>
          <w:szCs w:val="84"/>
        </w:rPr>
      </w:pPr>
    </w:p>
    <w:p>
      <w:pPr>
        <w:pStyle w:val="5"/>
        <w:ind w:left="0" w:leftChars="0" w:firstLine="0" w:firstLineChars="0"/>
        <w:rPr>
          <w:rFonts w:hint="eastAsia"/>
        </w:rPr>
      </w:pPr>
    </w:p>
    <w:p>
      <w:pPr>
        <w:rPr>
          <w:rFonts w:hint="eastAsia"/>
        </w:rPr>
      </w:pPr>
    </w:p>
    <w:p>
      <w:pPr>
        <w:pStyle w:val="2"/>
        <w:rPr>
          <w:rFonts w:hint="eastAsia"/>
        </w:rPr>
      </w:pPr>
    </w:p>
    <w:p>
      <w:pPr>
        <w:pStyle w:val="17"/>
        <w:numPr>
          <w:ilvl w:val="0"/>
          <w:numId w:val="1"/>
        </w:numPr>
        <w:ind w:left="1560" w:leftChars="0"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widowControl w:val="0"/>
        <w:spacing w:line="600" w:lineRule="exact"/>
        <w:ind w:firstLine="800" w:firstLineChars="250"/>
        <w:jc w:val="left"/>
        <w:rPr>
          <w:rFonts w:hint="eastAsia" w:ascii="仿宋_GB2312" w:hAnsi="仿宋_GB2312" w:eastAsia="仿宋_GB2312"/>
          <w:sz w:val="32"/>
          <w:lang w:val="en-US" w:eastAsia="zh-CN" w:bidi="ar-SA"/>
        </w:rPr>
      </w:pPr>
      <w:r>
        <w:rPr>
          <w:rFonts w:hint="eastAsia" w:ascii="仿宋_GB2312" w:hAnsi="仿宋_GB2312" w:eastAsia="仿宋_GB2312"/>
          <w:sz w:val="32"/>
          <w:lang w:val="en-US" w:eastAsia="zh-CN" w:bidi="ar-SA"/>
        </w:rPr>
        <w:t>根据岳办〔2019〕53号，我局主要职责如下：</w:t>
      </w:r>
    </w:p>
    <w:p>
      <w:pPr>
        <w:widowControl w:val="0"/>
        <w:spacing w:line="600" w:lineRule="exact"/>
        <w:ind w:firstLine="800" w:firstLineChars="250"/>
        <w:jc w:val="left"/>
        <w:rPr>
          <w:rFonts w:hint="eastAsia" w:ascii="仿宋_GB2312" w:hAnsi="仿宋_GB2312" w:eastAsia="仿宋_GB2312"/>
          <w:sz w:val="32"/>
          <w:lang w:val="en-US" w:eastAsia="zh-CN" w:bidi="ar-SA"/>
        </w:rPr>
      </w:pPr>
      <w:r>
        <w:rPr>
          <w:rFonts w:hint="eastAsia" w:ascii="仿宋_GB2312" w:hAnsi="仿宋_GB2312" w:eastAsia="仿宋_GB2312"/>
          <w:sz w:val="32"/>
          <w:lang w:val="en-US" w:eastAsia="zh-CN" w:bidi="ar-SA"/>
        </w:rPr>
        <w:t>（一）统筹研究和组织实施“三农”工作的发展中长期规划、重大政策，组织或参与起草农业农村环境保护、乡村建设与管理有关的地方性法规和市政府规章草案，指导和推进农业综合执法。参与涉农的价格、收储、金融保险、进出口等政策制定。</w:t>
      </w:r>
    </w:p>
    <w:p>
      <w:pPr>
        <w:widowControl w:val="0"/>
        <w:spacing w:line="600" w:lineRule="exact"/>
        <w:ind w:firstLine="800" w:firstLineChars="250"/>
        <w:jc w:val="left"/>
        <w:rPr>
          <w:rFonts w:hint="eastAsia" w:ascii="仿宋_GB2312" w:hAnsi="仿宋_GB2312" w:eastAsia="仿宋_GB2312"/>
          <w:sz w:val="32"/>
          <w:lang w:val="en-US" w:eastAsia="zh-CN" w:bidi="ar-SA"/>
        </w:rPr>
      </w:pPr>
      <w:r>
        <w:rPr>
          <w:rFonts w:hint="eastAsia" w:ascii="仿宋_GB2312" w:hAnsi="仿宋_GB2312" w:eastAsia="仿宋_GB2312"/>
          <w:sz w:val="32"/>
          <w:lang w:val="en-US" w:eastAsia="zh-CN" w:bidi="ar-SA"/>
        </w:rPr>
        <w:t>（二）统筹推动发展农村社会事业、农村公共服务、农村文化、农村基础设施和乡村治理。牵头组织改善农村人居环境。指导农村行业安全生产工作。</w:t>
      </w:r>
    </w:p>
    <w:p>
      <w:pPr>
        <w:widowControl w:val="0"/>
        <w:spacing w:line="600" w:lineRule="exact"/>
        <w:ind w:firstLine="800" w:firstLineChars="250"/>
        <w:jc w:val="left"/>
        <w:rPr>
          <w:rFonts w:hint="eastAsia" w:ascii="仿宋_GB2312" w:hAnsi="仿宋_GB2312" w:eastAsia="仿宋_GB2312"/>
          <w:sz w:val="32"/>
          <w:lang w:val="en-US" w:eastAsia="zh-CN" w:bidi="ar-SA"/>
        </w:rPr>
      </w:pPr>
      <w:r>
        <w:rPr>
          <w:rFonts w:hint="eastAsia" w:ascii="仿宋_GB2312" w:hAnsi="仿宋_GB2312" w:eastAsia="仿宋_GB2312"/>
          <w:sz w:val="32"/>
          <w:lang w:val="en-US" w:eastAsia="zh-CN" w:bidi="ar-SA"/>
        </w:rPr>
        <w:t>（三）贯彻落实国家、省关于深化农村经济体制改革和巩固完善农村基本经营制度的政策。负责农民承包地、农村宅基地改革和管理有关工作。负责农村集体产权制度改革，指导农村集体经济组织发展和集体资产管理工作。指导农民合作经济组织、农业社会化服务体系、新型农业经营主体建设与发展。</w:t>
      </w:r>
    </w:p>
    <w:p>
      <w:pPr>
        <w:widowControl w:val="0"/>
        <w:spacing w:line="600" w:lineRule="exact"/>
        <w:ind w:firstLine="800" w:firstLineChars="250"/>
        <w:jc w:val="left"/>
        <w:rPr>
          <w:rFonts w:hint="eastAsia" w:ascii="仿宋_GB2312" w:hAnsi="仿宋_GB2312" w:eastAsia="仿宋_GB2312"/>
          <w:sz w:val="32"/>
          <w:lang w:val="en-US" w:eastAsia="zh-CN" w:bidi="ar-SA"/>
        </w:rPr>
      </w:pPr>
      <w:r>
        <w:rPr>
          <w:rFonts w:hint="eastAsia" w:ascii="仿宋_GB2312" w:hAnsi="仿宋_GB2312" w:eastAsia="仿宋_GB2312"/>
          <w:sz w:val="32"/>
          <w:lang w:val="en-US" w:eastAsia="zh-CN" w:bidi="ar-SA"/>
        </w:rPr>
        <w:t>（四）指导乡村特色产业、农产品加工业、休闲农业和乡镇企业发展工作。提出促进大宗农产品流通的建议，培育、保护农业品牌。发布农业农村经济信息，检测分析农业农村经济运行。承担农业统计和农业农村信息化有关工作。</w:t>
      </w:r>
    </w:p>
    <w:p>
      <w:pPr>
        <w:widowControl w:val="0"/>
        <w:spacing w:line="600" w:lineRule="exact"/>
        <w:ind w:firstLine="800" w:firstLineChars="250"/>
        <w:jc w:val="left"/>
        <w:rPr>
          <w:rFonts w:hint="eastAsia" w:ascii="仿宋_GB2312" w:hAnsi="仿宋_GB2312" w:eastAsia="仿宋_GB2312"/>
          <w:sz w:val="32"/>
          <w:lang w:val="en-US" w:eastAsia="zh-CN" w:bidi="ar-SA"/>
        </w:rPr>
      </w:pPr>
      <w:r>
        <w:rPr>
          <w:rFonts w:hint="eastAsia" w:ascii="仿宋_GB2312" w:hAnsi="仿宋_GB2312" w:eastAsia="仿宋_GB2312"/>
          <w:sz w:val="32"/>
          <w:lang w:val="en-US" w:eastAsia="zh-CN" w:bidi="ar-SA"/>
        </w:rPr>
        <w:t>（五）负责种植业、畜牧业、渔业、农垦、农业机械化等农业各产业的监督管理。指导粮食等农产品生产。组织构建现代农业产业体系、生产体系、经营体系，指导农业标准化生产。负责渔政渔港监督管理。</w:t>
      </w:r>
    </w:p>
    <w:p>
      <w:pPr>
        <w:widowControl w:val="0"/>
        <w:spacing w:line="600" w:lineRule="exact"/>
        <w:ind w:firstLine="800" w:firstLineChars="250"/>
        <w:jc w:val="left"/>
        <w:rPr>
          <w:rFonts w:hint="eastAsia" w:ascii="仿宋_GB2312" w:hAnsi="仿宋_GB2312" w:eastAsia="仿宋_GB2312"/>
          <w:sz w:val="32"/>
          <w:lang w:val="en-US" w:eastAsia="zh-CN" w:bidi="ar-SA"/>
        </w:rPr>
      </w:pPr>
      <w:r>
        <w:rPr>
          <w:rFonts w:hint="eastAsia" w:ascii="仿宋_GB2312" w:hAnsi="仿宋_GB2312" w:eastAsia="仿宋_GB2312"/>
          <w:sz w:val="32"/>
          <w:lang w:val="en-US" w:eastAsia="zh-CN" w:bidi="ar-SA"/>
        </w:rPr>
        <w:t>（六）负责农产品质量安全监督管理。组织开展农产品质量安全监测、追溯、风险评估，发布农产品质量安全有关信息，贯彻执行农产品质量安全国家标准，参与制定农产品质量安全地方标准并会同有关部门组织实施。指导农业检验检测体系建设。</w:t>
      </w:r>
    </w:p>
    <w:p>
      <w:pPr>
        <w:widowControl w:val="0"/>
        <w:spacing w:line="600" w:lineRule="exact"/>
        <w:ind w:firstLine="800" w:firstLineChars="250"/>
        <w:jc w:val="left"/>
        <w:rPr>
          <w:rFonts w:hint="eastAsia" w:ascii="仿宋_GB2312" w:hAnsi="仿宋_GB2312" w:eastAsia="仿宋_GB2312"/>
          <w:sz w:val="32"/>
          <w:lang w:val="en-US" w:eastAsia="zh-CN" w:bidi="ar-SA"/>
        </w:rPr>
      </w:pPr>
      <w:r>
        <w:rPr>
          <w:rFonts w:hint="eastAsia" w:ascii="仿宋_GB2312" w:hAnsi="仿宋_GB2312" w:eastAsia="仿宋_GB2312"/>
          <w:sz w:val="32"/>
          <w:lang w:val="en-US" w:eastAsia="zh-CN" w:bidi="ar-SA"/>
        </w:rPr>
        <w:t>（七）组织农业资源区划工作。指导农用地、渔业水域以及农业生物物种资源的保护与管理，负责水生野生动植物保护、耕地及永久基本农田质量保护工作。指导农产品产地环境管理和农业清洁生产。指导设施农业、生态循环农业、节水农业发展以及农村可再生能源综合开发利用、农业生物质产业发展。牵头管理外来物种。</w:t>
      </w:r>
    </w:p>
    <w:p>
      <w:pPr>
        <w:widowControl w:val="0"/>
        <w:spacing w:line="600" w:lineRule="exact"/>
        <w:ind w:firstLine="800" w:firstLineChars="250"/>
        <w:jc w:val="left"/>
        <w:rPr>
          <w:rFonts w:hint="eastAsia" w:ascii="仿宋_GB2312" w:hAnsi="仿宋_GB2312" w:eastAsia="仿宋_GB2312"/>
          <w:sz w:val="32"/>
          <w:lang w:val="en-US" w:eastAsia="zh-CN" w:bidi="ar-SA"/>
        </w:rPr>
      </w:pPr>
      <w:r>
        <w:rPr>
          <w:rFonts w:hint="eastAsia" w:ascii="仿宋_GB2312" w:hAnsi="仿宋_GB2312" w:eastAsia="仿宋_GB2312"/>
          <w:sz w:val="32"/>
          <w:lang w:val="en-US" w:eastAsia="zh-CN" w:bidi="ar-SA"/>
        </w:rPr>
        <w:t>（八）负责有关农业生产资料和农业投入品的监督管理。组织农业生产资料市场体系建设。贯彻执行农业生产资料、兽药质量、兽药残留限量和残留检测方法国家标准并监督实施。组织兽医医政、兽药药政药检工作，负责执业兽医和畜禽屠宰行业管理。</w:t>
      </w:r>
    </w:p>
    <w:p>
      <w:pPr>
        <w:widowControl w:val="0"/>
        <w:spacing w:line="600" w:lineRule="exact"/>
        <w:ind w:firstLine="800" w:firstLineChars="250"/>
        <w:jc w:val="left"/>
        <w:rPr>
          <w:rFonts w:hint="eastAsia" w:ascii="仿宋_GB2312" w:hAnsi="仿宋_GB2312" w:eastAsia="仿宋_GB2312"/>
          <w:sz w:val="32"/>
          <w:lang w:val="en-US" w:eastAsia="zh-CN" w:bidi="ar-SA"/>
        </w:rPr>
      </w:pPr>
      <w:r>
        <w:rPr>
          <w:rFonts w:hint="eastAsia" w:ascii="仿宋_GB2312" w:hAnsi="仿宋_GB2312" w:eastAsia="仿宋_GB2312"/>
          <w:sz w:val="32"/>
          <w:lang w:val="en-US" w:eastAsia="zh-CN" w:bidi="ar-SA"/>
        </w:rPr>
        <w:t>（九）负责农业防灾减灾、农作物重大病虫害防治工作。指导动植物防疫检疫体系建设，组织、监督市内动植物防疫检疫工作，发布疫情并组织扑灭。配合有关部门制定血吸虫病防治工作计划并组织实施。</w:t>
      </w:r>
    </w:p>
    <w:p>
      <w:pPr>
        <w:widowControl w:val="0"/>
        <w:spacing w:line="600" w:lineRule="exact"/>
        <w:ind w:firstLine="800" w:firstLineChars="250"/>
        <w:jc w:val="left"/>
        <w:rPr>
          <w:rFonts w:hint="eastAsia" w:ascii="仿宋_GB2312" w:hAnsi="仿宋_GB2312" w:eastAsia="仿宋_GB2312"/>
          <w:sz w:val="32"/>
          <w:lang w:val="en-US" w:eastAsia="zh-CN" w:bidi="ar-SA"/>
        </w:rPr>
      </w:pPr>
      <w:r>
        <w:rPr>
          <w:rFonts w:hint="eastAsia" w:ascii="仿宋_GB2312" w:hAnsi="仿宋_GB2312" w:eastAsia="仿宋_GB2312"/>
          <w:sz w:val="32"/>
          <w:lang w:val="en-US" w:eastAsia="zh-CN" w:bidi="ar-SA"/>
        </w:rPr>
        <w:t>（十）负责农业投资管理。编制农业投资项目建设规划，提出农业投资规模和方向，扶持农业农村发展财政项目的建议，按规定权限审批农业投资项目，负责农业投资项目资金安排和监督管理。</w:t>
      </w:r>
    </w:p>
    <w:p>
      <w:pPr>
        <w:widowControl w:val="0"/>
        <w:spacing w:line="600" w:lineRule="exact"/>
        <w:ind w:firstLine="800" w:firstLineChars="250"/>
        <w:jc w:val="left"/>
        <w:rPr>
          <w:rFonts w:hint="eastAsia" w:ascii="仿宋_GB2312" w:hAnsi="仿宋_GB2312" w:eastAsia="仿宋_GB2312"/>
          <w:sz w:val="32"/>
          <w:lang w:val="en-US" w:eastAsia="zh-CN" w:bidi="ar-SA"/>
        </w:rPr>
      </w:pPr>
      <w:r>
        <w:rPr>
          <w:rFonts w:hint="eastAsia" w:ascii="仿宋_GB2312" w:hAnsi="仿宋_GB2312" w:eastAsia="仿宋_GB2312"/>
          <w:sz w:val="32"/>
          <w:lang w:val="en-US" w:eastAsia="zh-CN" w:bidi="ar-SA"/>
        </w:rPr>
        <w:t>（十一）推动农业科技体制改革和农业科技创新体系建设。指导农业产业技术体系和农技推广体系建设，组织开展农业领域的高新技术和应用技术研究、科技成果转化和技术推广。负责农业转基因生物安全监督管理和农业植物新品种保护。</w:t>
      </w:r>
    </w:p>
    <w:p>
      <w:pPr>
        <w:widowControl w:val="0"/>
        <w:spacing w:line="600" w:lineRule="exact"/>
        <w:ind w:firstLine="800" w:firstLineChars="250"/>
        <w:jc w:val="left"/>
        <w:rPr>
          <w:rFonts w:hint="eastAsia" w:ascii="仿宋_GB2312" w:hAnsi="仿宋_GB2312" w:eastAsia="仿宋_GB2312"/>
          <w:sz w:val="32"/>
          <w:lang w:val="en-US" w:eastAsia="zh-CN" w:bidi="ar-SA"/>
        </w:rPr>
      </w:pPr>
      <w:r>
        <w:rPr>
          <w:rFonts w:hint="eastAsia" w:ascii="仿宋_GB2312" w:hAnsi="仿宋_GB2312" w:eastAsia="仿宋_GB2312"/>
          <w:sz w:val="32"/>
          <w:lang w:val="en-US" w:eastAsia="zh-CN" w:bidi="ar-SA"/>
        </w:rPr>
        <w:t>（十二）指导农业农村人才工作。拟订农业农村人才队伍建设规划并组织实施，指导农业教育和农业职业技能开发，指导新型职业农民培育、农业科技人才培育和农村实用人才培训工作。</w:t>
      </w:r>
    </w:p>
    <w:p>
      <w:pPr>
        <w:widowControl w:val="0"/>
        <w:spacing w:line="600" w:lineRule="exact"/>
        <w:ind w:firstLine="800" w:firstLineChars="250"/>
        <w:jc w:val="left"/>
        <w:rPr>
          <w:rFonts w:hint="eastAsia" w:ascii="仿宋_GB2312" w:hAnsi="仿宋_GB2312" w:eastAsia="仿宋_GB2312"/>
          <w:sz w:val="32"/>
          <w:lang w:val="en-US" w:eastAsia="zh-CN" w:bidi="ar-SA"/>
        </w:rPr>
      </w:pPr>
      <w:r>
        <w:rPr>
          <w:rFonts w:hint="eastAsia" w:ascii="仿宋_GB2312" w:hAnsi="仿宋_GB2312" w:eastAsia="仿宋_GB2312"/>
          <w:sz w:val="32"/>
          <w:lang w:val="en-US" w:eastAsia="zh-CN" w:bidi="ar-SA"/>
        </w:rPr>
        <w:t>（十三）组织参与农业对外合作工作。承办相关农业涉外事务，组织开展农业贸易促进和有关对外交流合作，具体执行有关农业援外项目。</w:t>
      </w:r>
    </w:p>
    <w:p>
      <w:pPr>
        <w:widowControl w:val="0"/>
        <w:spacing w:line="600" w:lineRule="exact"/>
        <w:ind w:firstLine="800" w:firstLineChars="250"/>
        <w:jc w:val="left"/>
        <w:rPr>
          <w:rFonts w:hint="eastAsia" w:ascii="仿宋_GB2312" w:hAnsi="仿宋_GB2312" w:eastAsia="仿宋_GB2312"/>
          <w:sz w:val="32"/>
          <w:lang w:val="en-US" w:eastAsia="zh-CN" w:bidi="ar-SA"/>
        </w:rPr>
      </w:pPr>
      <w:r>
        <w:rPr>
          <w:rFonts w:hint="eastAsia" w:ascii="仿宋_GB2312" w:hAnsi="仿宋_GB2312" w:eastAsia="仿宋_GB2312"/>
          <w:sz w:val="32"/>
          <w:lang w:val="en-US" w:eastAsia="zh-CN" w:bidi="ar-SA"/>
        </w:rPr>
        <w:t>（十四）完成市委、市政府和市委农村工作领导小组交办的其他任务。</w:t>
      </w:r>
    </w:p>
    <w:p>
      <w:pPr>
        <w:widowControl/>
        <w:spacing w:line="600" w:lineRule="exact"/>
        <w:ind w:left="420" w:leftChars="0" w:firstLine="420" w:firstLineChars="0"/>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spacing w:line="600" w:lineRule="exact"/>
        <w:ind w:firstLine="640" w:firstLineChars="200"/>
        <w:rPr>
          <w:rFonts w:hint="eastAsia" w:ascii="仿宋_GB2312" w:hAnsi="仿宋_GB2312" w:eastAsia="仿宋_GB2312"/>
          <w:kern w:val="0"/>
          <w:sz w:val="32"/>
          <w:lang w:val="zh-CN" w:eastAsia="zh-CN" w:bidi="ar-SA"/>
        </w:rPr>
      </w:pPr>
      <w:r>
        <w:rPr>
          <w:rFonts w:hint="eastAsia" w:ascii="Times New Roman" w:hAnsi="Times New Roman" w:eastAsia="仿宋_GB2312" w:cs="仿宋_GB2312"/>
          <w:bCs/>
          <w:kern w:val="0"/>
          <w:sz w:val="32"/>
          <w:szCs w:val="32"/>
        </w:rPr>
        <w:t>（一）内设机构设置。</w:t>
      </w:r>
      <w:r>
        <w:rPr>
          <w:rFonts w:hint="eastAsia" w:ascii="仿宋_GB2312" w:hAnsi="仿宋_GB2312" w:eastAsia="仿宋_GB2312"/>
          <w:kern w:val="0"/>
          <w:sz w:val="32"/>
          <w:lang w:val="en-US" w:eastAsia="zh-CN" w:bidi="ar-SA"/>
        </w:rPr>
        <w:t>根据岳办〔2019〕53号核定，岳编办发〔2020〕32号重新明确，岳编办函〔2022〕107号、岳编办函〔2022〕160号调整，</w:t>
      </w:r>
      <w:r>
        <w:rPr>
          <w:rFonts w:hint="eastAsia" w:ascii="Times New Roman" w:hAnsi="Times New Roman" w:eastAsia="仿宋_GB2312" w:cs="仿宋_GB2312"/>
          <w:bCs/>
          <w:kern w:val="0"/>
          <w:sz w:val="32"/>
          <w:szCs w:val="32"/>
          <w:lang w:eastAsia="zh-CN"/>
        </w:rPr>
        <w:t>岳阳市农业农村局</w:t>
      </w:r>
      <w:r>
        <w:rPr>
          <w:rFonts w:hint="eastAsia" w:ascii="Times New Roman" w:hAnsi="Times New Roman" w:eastAsia="仿宋_GB2312" w:cs="仿宋_GB2312"/>
          <w:bCs/>
          <w:kern w:val="0"/>
          <w:sz w:val="32"/>
          <w:szCs w:val="32"/>
        </w:rPr>
        <w:t>内设机构包括：</w:t>
      </w:r>
      <w:r>
        <w:rPr>
          <w:rFonts w:hint="eastAsia" w:ascii="仿宋_GB2312" w:hAnsi="仿宋_GB2312" w:eastAsia="仿宋_GB2312"/>
          <w:kern w:val="0"/>
          <w:sz w:val="32"/>
          <w:lang w:val="en-US" w:eastAsia="zh-CN" w:bidi="ar-SA"/>
        </w:rPr>
        <w:t>1、办公室（行政审批办公室）；2、法规科；3、政策与改革科；4、发展规划科；5、计划财务科（内审科）；6、乡村振兴工作办公室；7、乡村产业发展科；8、农村社会事业促进科；9、农村合作经济指导科；10、市场信息与对外交流科；11、科技教育科（市农业转基因生物安全管理办公室）；12、农业资源保护与利用科；13、农产品质量安全监管科；14、种植业管理科（农药管理科）；15、畜牧兽医科；16、渔业渔政管理科；17、种业管理科；18、农业机械化管理科；19、农田建设与农垦科；20、人事科；21、机关党委；22、机关纪委；23、农业工会；24、离退休人员管理服务科；25、市委农村工作领导小组办公室设在市农业农村局，设置市委农办秘书科。</w:t>
      </w:r>
    </w:p>
    <w:p>
      <w:pPr>
        <w:ind w:firstLine="640" w:firstLineChars="200"/>
        <w:jc w:val="left"/>
        <w:rPr>
          <w:rFonts w:hint="eastAsia" w:ascii="仿宋_GB2312" w:hAnsi="仿宋_GB2312" w:eastAsia="仿宋_GB2312"/>
          <w:kern w:val="0"/>
          <w:sz w:val="32"/>
          <w:lang w:val="en-US" w:eastAsia="zh-CN" w:bidi="ar-SA"/>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eastAsia="zh-CN"/>
        </w:rPr>
        <w:t>岳阳市农业农</w:t>
      </w:r>
      <w:r>
        <w:rPr>
          <w:rFonts w:hint="eastAsia" w:ascii="仿宋_GB2312" w:hAnsi="仿宋_GB2312" w:eastAsia="仿宋_GB2312"/>
          <w:kern w:val="0"/>
          <w:sz w:val="32"/>
          <w:lang w:val="en-US" w:eastAsia="zh-CN" w:bidi="ar-SA"/>
        </w:rPr>
        <w:t>村局2023年部</w:t>
      </w:r>
      <w:r>
        <w:rPr>
          <w:rFonts w:hint="eastAsia" w:ascii="Times New Roman" w:hAnsi="Times New Roman" w:eastAsia="仿宋_GB2312" w:cs="仿宋_GB2312"/>
          <w:bCs/>
          <w:kern w:val="0"/>
          <w:sz w:val="32"/>
          <w:szCs w:val="32"/>
        </w:rPr>
        <w:t>门决算汇总公开单位构成包括：</w:t>
      </w:r>
      <w:r>
        <w:rPr>
          <w:rFonts w:hint="eastAsia" w:ascii="仿宋_GB2312" w:hAnsi="仿宋_GB2312" w:eastAsia="仿宋_GB2312"/>
          <w:kern w:val="0"/>
          <w:sz w:val="32"/>
          <w:lang w:eastAsia="zh-CN"/>
        </w:rPr>
        <w:t>岳阳市农业农村</w:t>
      </w:r>
      <w:r>
        <w:rPr>
          <w:rFonts w:hint="eastAsia" w:ascii="仿宋_GB2312" w:hAnsi="仿宋_GB2312" w:eastAsia="仿宋_GB2312"/>
          <w:kern w:val="0"/>
          <w:sz w:val="32"/>
          <w:lang w:val="en-US" w:eastAsia="zh-CN" w:bidi="ar-SA"/>
        </w:rPr>
        <w:t>局本级以及所属二级预算单位。具体构成如下：</w:t>
      </w:r>
    </w:p>
    <w:p>
      <w:pPr>
        <w:spacing w:line="600" w:lineRule="exact"/>
        <w:ind w:firstLine="640" w:firstLineChars="200"/>
        <w:rPr>
          <w:rFonts w:hint="eastAsia" w:ascii="仿宋_GB2312" w:hAnsi="仿宋_GB2312" w:eastAsia="仿宋_GB2312"/>
          <w:kern w:val="0"/>
          <w:sz w:val="32"/>
          <w:lang w:val="en-US" w:eastAsia="zh-CN" w:bidi="ar-SA"/>
        </w:rPr>
      </w:pPr>
      <w:r>
        <w:rPr>
          <w:rFonts w:hint="eastAsia" w:ascii="仿宋_GB2312" w:hAnsi="仿宋_GB2312" w:eastAsia="仿宋_GB2312"/>
          <w:kern w:val="0"/>
          <w:sz w:val="32"/>
          <w:lang w:val="en-US" w:eastAsia="zh-CN" w:bidi="ar-SA"/>
        </w:rPr>
        <w:t>1.岳阳市农业农村局本级</w:t>
      </w:r>
    </w:p>
    <w:p>
      <w:pPr>
        <w:spacing w:line="600" w:lineRule="exact"/>
        <w:ind w:firstLine="640" w:firstLineChars="200"/>
        <w:rPr>
          <w:rFonts w:hint="eastAsia" w:ascii="仿宋_GB2312" w:hAnsi="仿宋_GB2312" w:eastAsia="仿宋_GB2312"/>
          <w:kern w:val="0"/>
          <w:sz w:val="32"/>
          <w:lang w:val="en-US" w:eastAsia="zh-CN" w:bidi="ar-SA"/>
        </w:rPr>
      </w:pPr>
      <w:r>
        <w:rPr>
          <w:rFonts w:hint="eastAsia" w:ascii="仿宋_GB2312" w:hAnsi="仿宋_GB2312" w:eastAsia="仿宋_GB2312"/>
          <w:kern w:val="0"/>
          <w:sz w:val="32"/>
          <w:lang w:val="en-US" w:eastAsia="zh-CN" w:bidi="ar-SA"/>
        </w:rPr>
        <w:t>2.岳阳市农业科学研究院</w:t>
      </w:r>
    </w:p>
    <w:p>
      <w:pPr>
        <w:spacing w:line="600" w:lineRule="exact"/>
        <w:ind w:firstLine="640" w:firstLineChars="200"/>
        <w:rPr>
          <w:rFonts w:hint="eastAsia" w:ascii="仿宋_GB2312" w:hAnsi="仿宋_GB2312" w:eastAsia="仿宋_GB2312"/>
          <w:kern w:val="0"/>
          <w:sz w:val="32"/>
          <w:lang w:val="en-US" w:eastAsia="zh-CN" w:bidi="ar-SA"/>
        </w:rPr>
      </w:pPr>
      <w:r>
        <w:rPr>
          <w:rFonts w:hint="eastAsia" w:ascii="仿宋_GB2312" w:hAnsi="仿宋_GB2312" w:eastAsia="仿宋_GB2312"/>
          <w:kern w:val="0"/>
          <w:sz w:val="32"/>
          <w:lang w:val="en-US" w:eastAsia="zh-CN" w:bidi="ar-SA"/>
        </w:rPr>
        <w:t>3.岳阳市农业综合行政执法支队</w:t>
      </w:r>
    </w:p>
    <w:p>
      <w:pPr>
        <w:spacing w:line="600" w:lineRule="exact"/>
        <w:ind w:firstLine="640" w:firstLineChars="200"/>
        <w:rPr>
          <w:rFonts w:hint="eastAsia" w:ascii="仿宋_GB2312" w:hAnsi="仿宋_GB2312" w:eastAsia="仿宋_GB2312"/>
          <w:kern w:val="0"/>
          <w:sz w:val="32"/>
          <w:lang w:val="en-US" w:eastAsia="zh-CN" w:bidi="ar-SA"/>
        </w:rPr>
      </w:pPr>
      <w:r>
        <w:rPr>
          <w:rFonts w:hint="eastAsia" w:ascii="仿宋_GB2312" w:hAnsi="仿宋_GB2312" w:eastAsia="仿宋_GB2312"/>
          <w:kern w:val="0"/>
          <w:sz w:val="32"/>
          <w:lang w:val="en-US" w:eastAsia="zh-CN" w:bidi="ar-SA"/>
        </w:rPr>
        <w:t>4.岳阳市农业农村事务中心</w:t>
      </w:r>
    </w:p>
    <w:p>
      <w:pPr>
        <w:spacing w:line="600" w:lineRule="exact"/>
        <w:ind w:firstLine="640" w:firstLineChars="200"/>
        <w:rPr>
          <w:rFonts w:hint="eastAsia" w:ascii="仿宋_GB2312" w:hAnsi="仿宋_GB2312" w:eastAsia="仿宋_GB2312"/>
          <w:kern w:val="0"/>
          <w:sz w:val="32"/>
          <w:lang w:val="en-US" w:eastAsia="zh-CN" w:bidi="ar-SA"/>
        </w:rPr>
      </w:pPr>
      <w:r>
        <w:rPr>
          <w:rFonts w:hint="eastAsia" w:ascii="仿宋_GB2312" w:hAnsi="仿宋_GB2312" w:eastAsia="仿宋_GB2312"/>
          <w:kern w:val="0"/>
          <w:sz w:val="32"/>
          <w:lang w:val="en-US" w:eastAsia="zh-CN" w:bidi="ar-SA"/>
        </w:rPr>
        <w:t>5.岳阳市动物疫病预防控制中心</w:t>
      </w:r>
    </w:p>
    <w:p>
      <w:pPr>
        <w:spacing w:line="600" w:lineRule="exact"/>
        <w:ind w:firstLine="640" w:firstLineChars="200"/>
        <w:rPr>
          <w:rFonts w:hint="eastAsia" w:ascii="仿宋_GB2312" w:hAnsi="仿宋_GB2312" w:eastAsia="仿宋_GB2312"/>
          <w:kern w:val="0"/>
          <w:sz w:val="32"/>
          <w:lang w:val="en-US" w:eastAsia="zh-CN" w:bidi="ar-SA"/>
        </w:rPr>
      </w:pPr>
      <w:r>
        <w:rPr>
          <w:rFonts w:hint="eastAsia" w:ascii="仿宋_GB2312" w:hAnsi="仿宋_GB2312" w:eastAsia="仿宋_GB2312"/>
          <w:kern w:val="0"/>
          <w:sz w:val="32"/>
          <w:lang w:val="en-US" w:eastAsia="zh-CN" w:bidi="ar-SA"/>
        </w:rPr>
        <w:t>6.岳阳市洞庭湖江豚保护中心</w:t>
      </w:r>
    </w:p>
    <w:p/>
    <w:p>
      <w:pPr>
        <w:pStyle w:val="11"/>
      </w:pPr>
    </w:p>
    <w:p>
      <w:pPr>
        <w:pStyle w:val="7"/>
      </w:pPr>
    </w:p>
    <w:p/>
    <w:p>
      <w:pPr>
        <w:pStyle w:val="11"/>
      </w:pPr>
    </w:p>
    <w:p>
      <w:pPr>
        <w:pStyle w:val="7"/>
      </w:pPr>
    </w:p>
    <w:p>
      <w:pPr>
        <w:pStyle w:val="16"/>
        <w:jc w:val="both"/>
        <w:rPr>
          <w:rFonts w:hint="eastAsia" w:ascii="方正小标宋_GBK" w:hAnsi="方正小标宋_GBK" w:eastAsia="方正小标宋_GBK" w:cs="方正小标宋_GBK"/>
          <w:sz w:val="84"/>
          <w:szCs w:val="84"/>
        </w:rPr>
      </w:pPr>
    </w:p>
    <w:p>
      <w:pPr>
        <w:pStyle w:val="16"/>
        <w:jc w:val="both"/>
        <w:rPr>
          <w:rFonts w:hint="eastAsia" w:ascii="方正小标宋_GBK" w:hAnsi="方正小标宋_GBK" w:eastAsia="方正小标宋_GBK" w:cs="方正小标宋_GBK"/>
          <w:sz w:val="84"/>
          <w:szCs w:val="84"/>
        </w:rPr>
      </w:pPr>
    </w:p>
    <w:p>
      <w:pPr>
        <w:pStyle w:val="16"/>
        <w:jc w:val="both"/>
        <w:rPr>
          <w:rFonts w:hint="eastAsia" w:ascii="方正小标宋_GBK" w:hAnsi="方正小标宋_GBK" w:eastAsia="方正小标宋_GBK" w:cs="方正小标宋_GBK"/>
          <w:sz w:val="84"/>
          <w:szCs w:val="84"/>
        </w:rPr>
      </w:pPr>
    </w:p>
    <w:p>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pStyle w:val="16"/>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（见附件）</w:t>
      </w:r>
    </w:p>
    <w:p>
      <w:pPr>
        <w:pStyle w:val="16"/>
        <w:jc w:val="center"/>
        <w:rPr>
          <w:rFonts w:hint="eastAsia" w:ascii="方正小标宋_GBK" w:hAnsi="方正小标宋_GBK" w:eastAsia="方正小标宋_GBK" w:cs="方正小标宋_GBK"/>
          <w:sz w:val="84"/>
          <w:szCs w:val="84"/>
          <w:lang w:eastAsia="zh-CN"/>
        </w:rPr>
      </w:pPr>
    </w:p>
    <w:p>
      <w:pPr>
        <w:pStyle w:val="16"/>
        <w:jc w:val="center"/>
        <w:rPr>
          <w:rFonts w:hint="eastAsia" w:ascii="方正小标宋_GBK" w:hAnsi="方正小标宋_GBK" w:eastAsia="方正小标宋_GBK" w:cs="方正小标宋_GBK"/>
          <w:sz w:val="84"/>
          <w:szCs w:val="84"/>
          <w:lang w:eastAsia="zh-CN"/>
        </w:rPr>
      </w:pPr>
    </w:p>
    <w:p>
      <w:pPr>
        <w:pStyle w:val="16"/>
        <w:jc w:val="center"/>
        <w:rPr>
          <w:rFonts w:hint="eastAsia" w:ascii="方正小标宋_GBK" w:hAnsi="方正小标宋_GBK" w:eastAsia="方正小标宋_GBK" w:cs="方正小标宋_GBK"/>
          <w:sz w:val="84"/>
          <w:szCs w:val="84"/>
          <w:lang w:eastAsia="zh-CN"/>
        </w:rPr>
      </w:pPr>
    </w:p>
    <w:p>
      <w:pPr>
        <w:pStyle w:val="16"/>
        <w:jc w:val="center"/>
        <w:rPr>
          <w:rFonts w:hint="eastAsia" w:ascii="仿宋_GB2312" w:hAnsi="仿宋_GB2312" w:eastAsia="仿宋_GB2312" w:cs="仿宋_GB2312"/>
          <w:b w:val="0"/>
          <w:bCs w:val="0"/>
          <w:sz w:val="72"/>
          <w:szCs w:val="72"/>
          <w:lang w:eastAsia="zh-CN"/>
        </w:rPr>
      </w:pPr>
    </w:p>
    <w:p>
      <w:pPr>
        <w:pStyle w:val="16"/>
        <w:jc w:val="both"/>
        <w:rPr>
          <w:rFonts w:hint="eastAsia" w:ascii="方正小标宋_GBK" w:hAnsi="方正小标宋_GBK" w:eastAsia="方正小标宋_GBK" w:cs="方正小标宋_GBK"/>
          <w:sz w:val="72"/>
          <w:szCs w:val="72"/>
        </w:rPr>
      </w:pPr>
    </w:p>
    <w:p>
      <w:pPr>
        <w:pStyle w:val="16"/>
        <w:jc w:val="both"/>
        <w:rPr>
          <w:rFonts w:hint="eastAsia" w:ascii="方正小标宋_GBK" w:hAnsi="方正小标宋_GBK" w:eastAsia="方正小标宋_GBK" w:cs="方正小标宋_GBK"/>
          <w:sz w:val="72"/>
          <w:szCs w:val="72"/>
        </w:rPr>
      </w:pPr>
    </w:p>
    <w:p>
      <w:pPr>
        <w:pStyle w:val="16"/>
        <w:jc w:val="both"/>
        <w:rPr>
          <w:rFonts w:hint="eastAsia" w:ascii="方正小标宋_GBK" w:hAnsi="方正小标宋_GBK" w:eastAsia="方正小标宋_GBK" w:cs="方正小标宋_GBK"/>
          <w:sz w:val="72"/>
          <w:szCs w:val="72"/>
        </w:rPr>
      </w:pPr>
    </w:p>
    <w:p>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第三部分</w:t>
      </w:r>
    </w:p>
    <w:p>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年度部门决算情况说明</w:t>
      </w:r>
    </w:p>
    <w:p>
      <w:pPr>
        <w:pStyle w:val="16"/>
        <w:jc w:val="center"/>
        <w:rPr>
          <w:rFonts w:hint="eastAsia" w:ascii="方正小标宋_GBK" w:hAnsi="方正小标宋_GBK" w:eastAsia="方正小标宋_GBK" w:cs="方正小标宋_GBK"/>
          <w:sz w:val="70"/>
          <w:szCs w:val="70"/>
        </w:rPr>
      </w:pPr>
    </w:p>
    <w:p>
      <w:pPr>
        <w:pStyle w:val="16"/>
        <w:jc w:val="center"/>
        <w:rPr>
          <w:rFonts w:hint="eastAsia" w:ascii="方正小标宋_GBK" w:hAnsi="方正小标宋_GBK" w:eastAsia="方正小标宋_GBK" w:cs="方正小标宋_GBK"/>
          <w:sz w:val="70"/>
          <w:szCs w:val="70"/>
        </w:rPr>
      </w:pPr>
    </w:p>
    <w:p>
      <w:pPr>
        <w:pStyle w:val="16"/>
        <w:jc w:val="center"/>
        <w:rPr>
          <w:rFonts w:hint="eastAsia" w:ascii="方正小标宋_GBK" w:hAnsi="方正小标宋_GBK" w:eastAsia="方正小标宋_GBK" w:cs="方正小标宋_GBK"/>
          <w:sz w:val="70"/>
          <w:szCs w:val="70"/>
        </w:rPr>
      </w:pPr>
    </w:p>
    <w:p>
      <w:pPr>
        <w:pStyle w:val="16"/>
        <w:jc w:val="center"/>
        <w:rPr>
          <w:rFonts w:hint="eastAsia" w:ascii="方正小标宋_GBK" w:hAnsi="方正小标宋_GBK" w:eastAsia="方正小标宋_GBK" w:cs="方正小标宋_GBK"/>
          <w:sz w:val="70"/>
          <w:szCs w:val="70"/>
        </w:rPr>
      </w:pPr>
    </w:p>
    <w:p>
      <w:pPr>
        <w:pStyle w:val="16"/>
        <w:jc w:val="center"/>
        <w:rPr>
          <w:rFonts w:hint="eastAsia" w:ascii="方正小标宋_GBK" w:hAnsi="方正小标宋_GBK" w:eastAsia="方正小标宋_GBK" w:cs="方正小标宋_GBK"/>
          <w:sz w:val="70"/>
          <w:szCs w:val="70"/>
        </w:rPr>
      </w:pPr>
    </w:p>
    <w:p>
      <w:pPr>
        <w:pStyle w:val="16"/>
        <w:jc w:val="both"/>
        <w:rPr>
          <w:rFonts w:hint="eastAsia" w:ascii="方正小标宋_GBK" w:hAnsi="方正小标宋_GBK" w:eastAsia="方正小标宋_GBK" w:cs="方正小标宋_GBK"/>
          <w:sz w:val="70"/>
          <w:szCs w:val="70"/>
        </w:rPr>
      </w:pP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widowControl w:val="0"/>
        <w:spacing w:line="600" w:lineRule="exact"/>
        <w:ind w:firstLine="800" w:firstLineChars="250"/>
        <w:jc w:val="left"/>
        <w:rPr>
          <w:rFonts w:hint="eastAsia" w:ascii="仿宋_GB2312" w:hAnsi="仿宋_GB2312" w:eastAsia="仿宋_GB2312"/>
          <w:sz w:val="32"/>
          <w:szCs w:val="20"/>
          <w:lang w:val="zh-CN" w:eastAsia="zh-CN" w:bidi="ar-SA"/>
        </w:rPr>
      </w:pPr>
      <w:r>
        <w:rPr>
          <w:rFonts w:hint="eastAsia" w:ascii="仿宋_GB2312" w:hAnsi="仿宋_GB2312" w:eastAsia="仿宋_GB2312" w:cs="仿宋_GB2312"/>
          <w:color w:val="auto"/>
          <w:kern w:val="2"/>
          <w:sz w:val="32"/>
          <w:szCs w:val="32"/>
          <w:lang w:val="en-US" w:eastAsia="zh-CN" w:bidi="ar-SA"/>
        </w:rPr>
        <w:t>2023年度收、支总计12369.12万元。</w:t>
      </w:r>
      <w:r>
        <w:rPr>
          <w:rFonts w:hint="eastAsia" w:ascii="仿宋_GB2312" w:hAnsi="仿宋_GB2312" w:eastAsia="仿宋_GB2312" w:cs="仿宋_GB2312"/>
          <w:color w:val="auto"/>
          <w:kern w:val="2"/>
          <w:sz w:val="32"/>
          <w:szCs w:val="32"/>
          <w:lang w:val="zh-CN" w:eastAsia="zh-CN" w:bidi="ar-SA"/>
        </w:rPr>
        <w:t>与202</w:t>
      </w:r>
      <w:r>
        <w:rPr>
          <w:rFonts w:hint="eastAsia" w:ascii="仿宋_GB2312" w:hAnsi="仿宋_GB2312" w:eastAsia="仿宋_GB2312" w:cs="仿宋_GB2312"/>
          <w:color w:val="auto"/>
          <w:kern w:val="2"/>
          <w:sz w:val="32"/>
          <w:szCs w:val="32"/>
          <w:lang w:val="en-US" w:eastAsia="zh-CN" w:bidi="ar-SA"/>
        </w:rPr>
        <w:t>2</w:t>
      </w:r>
      <w:r>
        <w:rPr>
          <w:rFonts w:hint="eastAsia" w:ascii="仿宋_GB2312" w:hAnsi="仿宋_GB2312" w:eastAsia="仿宋_GB2312" w:cs="仿宋_GB2312"/>
          <w:color w:val="auto"/>
          <w:kern w:val="2"/>
          <w:sz w:val="32"/>
          <w:szCs w:val="32"/>
          <w:lang w:val="zh-CN" w:eastAsia="zh-CN" w:bidi="ar-SA"/>
        </w:rPr>
        <w:t>年13517.46万元相比，减少</w:t>
      </w:r>
      <w:r>
        <w:rPr>
          <w:rFonts w:hint="eastAsia" w:ascii="仿宋_GB2312" w:hAnsi="仿宋_GB2312" w:eastAsia="仿宋_GB2312" w:cs="仿宋_GB2312"/>
          <w:color w:val="auto"/>
          <w:kern w:val="2"/>
          <w:sz w:val="32"/>
          <w:szCs w:val="32"/>
          <w:lang w:val="en-US" w:eastAsia="zh-CN" w:bidi="ar-SA"/>
        </w:rPr>
        <w:t>1148.34</w:t>
      </w:r>
      <w:r>
        <w:rPr>
          <w:rFonts w:hint="eastAsia" w:ascii="仿宋_GB2312" w:hAnsi="仿宋_GB2312" w:eastAsia="仿宋_GB2312" w:cs="仿宋_GB2312"/>
          <w:color w:val="auto"/>
          <w:kern w:val="2"/>
          <w:sz w:val="32"/>
          <w:szCs w:val="32"/>
          <w:lang w:val="zh-CN" w:eastAsia="zh-CN" w:bidi="ar-SA"/>
        </w:rPr>
        <w:t>万元，减少</w:t>
      </w:r>
      <w:r>
        <w:rPr>
          <w:rFonts w:hint="eastAsia" w:ascii="仿宋_GB2312" w:hAnsi="仿宋_GB2312" w:eastAsia="仿宋_GB2312" w:cs="仿宋_GB2312"/>
          <w:color w:val="auto"/>
          <w:kern w:val="2"/>
          <w:sz w:val="32"/>
          <w:szCs w:val="32"/>
          <w:lang w:val="en-US" w:eastAsia="zh-CN" w:bidi="ar-SA"/>
        </w:rPr>
        <w:t>8.50</w:t>
      </w:r>
      <w:r>
        <w:rPr>
          <w:rFonts w:hint="eastAsia" w:ascii="仿宋_GB2312" w:hAnsi="仿宋_GB2312" w:eastAsia="仿宋_GB2312" w:cs="仿宋_GB2312"/>
          <w:color w:val="auto"/>
          <w:kern w:val="2"/>
          <w:sz w:val="32"/>
          <w:szCs w:val="32"/>
          <w:lang w:val="zh-CN" w:eastAsia="zh-CN" w:bidi="ar-SA"/>
        </w:rPr>
        <w:t>%</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sz w:val="32"/>
          <w:szCs w:val="20"/>
          <w:lang w:val="zh-CN" w:eastAsia="zh-CN" w:bidi="ar-SA"/>
        </w:rPr>
        <w:t>主要是因为中央、省级财政安排农业转移支付资金大幅减少，且本部门严格落实“过紧日子”要求，厉行节约。</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12355.16</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11310.08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91.54</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1045.08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8.46</w:t>
      </w:r>
      <w:r>
        <w:rPr>
          <w:rFonts w:hint="eastAsia" w:ascii="仿宋_GB2312" w:hAnsi="仿宋_GB2312" w:eastAsia="仿宋_GB2312" w:cs="仿宋_GB2312"/>
          <w:sz w:val="32"/>
          <w:szCs w:val="32"/>
        </w:rPr>
        <w:t>%。</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12368.54</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9314.39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75.31</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3054.15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24.69</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widowControl w:val="0"/>
        <w:spacing w:line="600" w:lineRule="exact"/>
        <w:ind w:firstLine="640" w:firstLineChars="200"/>
        <w:jc w:val="left"/>
        <w:rPr>
          <w:rFonts w:hint="eastAsia" w:ascii="仿宋_GB2312" w:hAnsi="仿宋_GB2312" w:eastAsia="仿宋_GB2312"/>
          <w:sz w:val="32"/>
          <w:lang w:val="zh-CN"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11315.28</w:t>
      </w:r>
      <w:r>
        <w:rPr>
          <w:rFonts w:hint="eastAsia" w:ascii="仿宋_GB2312" w:hAnsi="仿宋_GB2312" w:eastAsia="仿宋_GB2312" w:cs="仿宋_GB2312"/>
          <w:sz w:val="32"/>
          <w:szCs w:val="32"/>
        </w:rPr>
        <w:t>万元，</w:t>
      </w:r>
      <w:r>
        <w:rPr>
          <w:rFonts w:hint="eastAsia" w:ascii="仿宋_GB2312" w:hAnsi="仿宋_GB2312" w:eastAsia="仿宋_GB2312"/>
          <w:sz w:val="32"/>
          <w:lang w:val="zh-CN" w:eastAsia="zh-CN" w:bidi="ar-SA"/>
        </w:rPr>
        <w:t>与202</w:t>
      </w:r>
      <w:r>
        <w:rPr>
          <w:rFonts w:hint="eastAsia" w:ascii="仿宋_GB2312" w:hAnsi="仿宋_GB2312" w:eastAsia="仿宋_GB2312"/>
          <w:sz w:val="32"/>
          <w:lang w:val="en-US" w:eastAsia="zh-CN" w:bidi="ar-SA"/>
        </w:rPr>
        <w:t>2</w:t>
      </w:r>
      <w:r>
        <w:rPr>
          <w:rFonts w:hint="eastAsia" w:ascii="仿宋_GB2312" w:hAnsi="仿宋_GB2312" w:eastAsia="仿宋_GB2312"/>
          <w:sz w:val="32"/>
          <w:lang w:val="zh-CN" w:eastAsia="zh-CN" w:bidi="ar-SA"/>
        </w:rPr>
        <w:t>年</w:t>
      </w:r>
      <w:r>
        <w:rPr>
          <w:rFonts w:hint="eastAsia" w:ascii="仿宋_GB2312" w:hAnsi="仿宋_GB2312" w:eastAsia="仿宋_GB2312"/>
          <w:sz w:val="32"/>
          <w:lang w:val="en-US" w:eastAsia="zh-CN" w:bidi="ar-SA"/>
        </w:rPr>
        <w:t>12120.08</w:t>
      </w:r>
      <w:r>
        <w:rPr>
          <w:rFonts w:hint="eastAsia" w:ascii="仿宋_GB2312" w:hAnsi="仿宋_GB2312" w:eastAsia="仿宋_GB2312"/>
          <w:sz w:val="32"/>
          <w:lang w:val="zh-CN" w:eastAsia="zh-CN" w:bidi="ar-SA"/>
        </w:rPr>
        <w:t>万元相比，</w:t>
      </w:r>
      <w:r>
        <w:rPr>
          <w:rFonts w:hint="eastAsia" w:ascii="仿宋_GB2312" w:hAnsi="仿宋_GB2312" w:eastAsia="仿宋_GB2312"/>
          <w:sz w:val="32"/>
          <w:lang w:val="en-US" w:eastAsia="zh-CN" w:bidi="ar-SA"/>
        </w:rPr>
        <w:t>减少804.80万元，减少6.64%。</w:t>
      </w:r>
      <w:r>
        <w:rPr>
          <w:rFonts w:hint="eastAsia" w:ascii="仿宋_GB2312" w:hAnsi="仿宋_GB2312" w:eastAsia="仿宋_GB2312"/>
          <w:sz w:val="32"/>
          <w:szCs w:val="20"/>
          <w:lang w:val="zh-CN" w:eastAsia="zh-CN" w:bidi="ar-SA"/>
        </w:rPr>
        <w:t>主要是因为中央、省级财政安排农业转移支付资金大幅减少，且本部门严格落实“过紧日子”要求，厉行节约。</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pPr>
        <w:widowControl w:val="0"/>
        <w:spacing w:line="600" w:lineRule="exact"/>
        <w:ind w:firstLine="640" w:firstLineChars="200"/>
        <w:jc w:val="left"/>
        <w:rPr>
          <w:rFonts w:hint="eastAsia" w:ascii="仿宋_GB2312" w:hAnsi="仿宋_GB2312" w:eastAsia="仿宋_GB2312"/>
          <w:sz w:val="32"/>
          <w:lang w:val="zh-CN"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财政拨款支出</w:t>
      </w:r>
      <w:r>
        <w:rPr>
          <w:rFonts w:hint="eastAsia" w:ascii="仿宋_GB2312" w:hAnsi="仿宋_GB2312" w:eastAsia="仿宋_GB2312" w:cs="仿宋_GB2312"/>
          <w:sz w:val="32"/>
          <w:szCs w:val="32"/>
          <w:lang w:val="en-US" w:eastAsia="zh-CN"/>
        </w:rPr>
        <w:t>11315.08</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91.48</w:t>
      </w:r>
      <w:r>
        <w:rPr>
          <w:rFonts w:hint="eastAsia" w:ascii="仿宋_GB2312" w:hAnsi="仿宋_GB2312" w:eastAsia="仿宋_GB2312" w:cs="仿宋_GB2312"/>
          <w:sz w:val="32"/>
          <w:szCs w:val="32"/>
        </w:rPr>
        <w:t>%，</w:t>
      </w:r>
      <w:r>
        <w:rPr>
          <w:rFonts w:hint="eastAsia" w:ascii="仿宋_GB2312" w:hAnsi="仿宋_GB2312" w:eastAsia="仿宋_GB2312"/>
          <w:sz w:val="32"/>
          <w:lang w:val="en-US" w:eastAsia="zh-CN" w:bidi="ar-SA"/>
        </w:rPr>
        <w:t>与2022年度12114.88万元相比，一般公共预算财政拨款支出减少799.80万元，减少6.60%,</w:t>
      </w:r>
      <w:r>
        <w:rPr>
          <w:rFonts w:hint="eastAsia" w:ascii="仿宋_GB2312" w:hAnsi="仿宋_GB2312" w:eastAsia="仿宋_GB2312"/>
          <w:sz w:val="32"/>
          <w:szCs w:val="20"/>
          <w:lang w:val="zh-CN" w:eastAsia="zh-CN" w:bidi="ar-SA"/>
        </w:rPr>
        <w:t>主要是因为中央、省级财政安排农业转移支付资金大幅减少，且本部门严格落实“过紧日子”要求，厉行节约。</w:t>
      </w:r>
    </w:p>
    <w:p>
      <w:pPr>
        <w:widowControl w:val="0"/>
        <w:spacing w:line="600" w:lineRule="exact"/>
        <w:ind w:firstLine="640" w:firstLineChars="200"/>
        <w:jc w:val="lef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财政拨款支出</w:t>
      </w:r>
      <w:r>
        <w:rPr>
          <w:rFonts w:hint="eastAsia" w:ascii="仿宋_GB2312" w:hAnsi="仿宋_GB2312" w:eastAsia="仿宋_GB2312" w:cs="仿宋_GB2312"/>
          <w:sz w:val="32"/>
          <w:szCs w:val="32"/>
          <w:lang w:val="en-US" w:eastAsia="zh-CN"/>
        </w:rPr>
        <w:t>11315.08</w:t>
      </w:r>
      <w:r>
        <w:rPr>
          <w:rFonts w:hint="eastAsia" w:ascii="仿宋_GB2312" w:hAnsi="仿宋_GB2312" w:eastAsia="仿宋_GB2312" w:cs="仿宋_GB2312"/>
          <w:sz w:val="32"/>
          <w:szCs w:val="32"/>
        </w:rPr>
        <w:t>万元，主要用于以下方面：</w:t>
      </w:r>
      <w:r>
        <w:rPr>
          <w:rFonts w:hint="eastAsia" w:ascii="仿宋_GB2312" w:hAnsi="仿宋_GB2312" w:eastAsia="仿宋_GB2312" w:cs="仿宋_GB2312"/>
          <w:sz w:val="32"/>
          <w:szCs w:val="32"/>
          <w:lang w:eastAsia="zh-CN"/>
        </w:rPr>
        <w:t>科学技术（类）支出</w:t>
      </w:r>
      <w:r>
        <w:rPr>
          <w:rFonts w:hint="eastAsia" w:ascii="仿宋_GB2312" w:hAnsi="仿宋_GB2312" w:eastAsia="仿宋_GB2312" w:cs="仿宋_GB2312"/>
          <w:sz w:val="32"/>
          <w:szCs w:val="32"/>
          <w:lang w:val="en-US" w:eastAsia="zh-CN"/>
        </w:rPr>
        <w:t>9.26万元，占0.08%；</w:t>
      </w:r>
      <w:r>
        <w:rPr>
          <w:rFonts w:hint="eastAsia" w:ascii="仿宋_GB2312" w:hAnsi="仿宋_GB2312" w:eastAsia="仿宋_GB2312"/>
          <w:sz w:val="32"/>
          <w:lang w:val="en-US" w:eastAsia="zh-CN" w:bidi="ar-SA"/>
        </w:rPr>
        <w:t>社会保障和就业（类）支出773.56万元，占6.84%；卫生健康（类）支出328.08万元，占2.90%；节能环保（类）支出14.16万元，占0.12%；农林水（类）支出9573.47万元，占84.61%；</w:t>
      </w:r>
      <w:r>
        <w:rPr>
          <w:rFonts w:hint="eastAsia" w:ascii="仿宋_GB2312" w:hAnsi="仿宋_GB2312" w:eastAsia="仿宋_GB2312" w:cs="仿宋_GB2312"/>
          <w:sz w:val="32"/>
          <w:szCs w:val="32"/>
          <w:lang w:val="en-US" w:eastAsia="zh-CN"/>
        </w:rPr>
        <w:t>资源勘探工业信息等（类）支出2.50万元，占0.02%；自然资源海洋气象等（类）支出182.12万元，占1.61%；住房保障（类）支出431.93万元，占3.82% 。</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202</w:t>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zh-CN" w:eastAsia="zh-CN" w:bidi="ar-SA"/>
        </w:rPr>
        <w:t>年度一般公共预算财政拨款支出年初预算数为</w:t>
      </w:r>
      <w:r>
        <w:rPr>
          <w:rFonts w:hint="eastAsia" w:ascii="仿宋_GB2312" w:hAnsi="仿宋_GB2312" w:eastAsia="仿宋_GB2312" w:cs="仿宋_GB2312"/>
          <w:color w:val="auto"/>
          <w:kern w:val="2"/>
          <w:sz w:val="32"/>
          <w:szCs w:val="32"/>
          <w:lang w:val="en-US" w:eastAsia="zh-CN" w:bidi="ar-SA"/>
        </w:rPr>
        <w:t>7270.30</w:t>
      </w:r>
      <w:r>
        <w:rPr>
          <w:rFonts w:hint="eastAsia" w:ascii="仿宋_GB2312" w:hAnsi="仿宋_GB2312" w:eastAsia="仿宋_GB2312" w:cs="仿宋_GB2312"/>
          <w:color w:val="auto"/>
          <w:kern w:val="2"/>
          <w:sz w:val="32"/>
          <w:szCs w:val="32"/>
          <w:lang w:val="zh-CN" w:eastAsia="zh-CN" w:bidi="ar-SA"/>
        </w:rPr>
        <w:t>万元，支出决算数为</w:t>
      </w:r>
      <w:r>
        <w:rPr>
          <w:rFonts w:hint="eastAsia" w:ascii="仿宋_GB2312" w:hAnsi="仿宋_GB2312" w:eastAsia="仿宋_GB2312" w:cs="仿宋_GB2312"/>
          <w:color w:val="auto"/>
          <w:kern w:val="2"/>
          <w:sz w:val="32"/>
          <w:szCs w:val="32"/>
          <w:lang w:val="en-US" w:eastAsia="zh-CN" w:bidi="ar-SA"/>
        </w:rPr>
        <w:t>11315.08</w:t>
      </w:r>
      <w:r>
        <w:rPr>
          <w:rFonts w:hint="eastAsia" w:ascii="仿宋_GB2312" w:hAnsi="仿宋_GB2312" w:eastAsia="仿宋_GB2312" w:cs="仿宋_GB2312"/>
          <w:color w:val="auto"/>
          <w:kern w:val="2"/>
          <w:sz w:val="32"/>
          <w:szCs w:val="32"/>
          <w:lang w:val="zh-CN" w:eastAsia="zh-CN" w:bidi="ar-SA"/>
        </w:rPr>
        <w:t>万元，完成年初预算的</w:t>
      </w:r>
      <w:r>
        <w:rPr>
          <w:rFonts w:hint="eastAsia" w:ascii="仿宋_GB2312" w:hAnsi="仿宋_GB2312" w:eastAsia="仿宋_GB2312" w:cs="仿宋_GB2312"/>
          <w:color w:val="auto"/>
          <w:kern w:val="2"/>
          <w:sz w:val="32"/>
          <w:szCs w:val="32"/>
          <w:lang w:val="en-US" w:eastAsia="zh-CN" w:bidi="ar-SA"/>
        </w:rPr>
        <w:t>155.63</w:t>
      </w:r>
      <w:r>
        <w:rPr>
          <w:rFonts w:hint="eastAsia" w:ascii="仿宋_GB2312" w:hAnsi="仿宋_GB2312" w:eastAsia="仿宋_GB2312" w:cs="仿宋_GB2312"/>
          <w:color w:val="auto"/>
          <w:kern w:val="2"/>
          <w:sz w:val="32"/>
          <w:szCs w:val="32"/>
          <w:lang w:val="zh-CN" w:eastAsia="zh-CN" w:bidi="ar-SA"/>
        </w:rPr>
        <w:t>%，其中：</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sz w:val="32"/>
          <w:lang w:val="en-US" w:eastAsia="zh-CN" w:bidi="ar-SA"/>
        </w:rPr>
      </w:pPr>
      <w:r>
        <w:rPr>
          <w:rFonts w:hint="eastAsia" w:ascii="仿宋_GB2312" w:hAnsi="仿宋_GB2312" w:eastAsia="仿宋_GB2312"/>
          <w:sz w:val="32"/>
          <w:lang w:val="en-US" w:eastAsia="zh-CN" w:bidi="ar-SA"/>
        </w:rPr>
        <w:t>1、科学技术支出（类）基础研究（款）自然科学基金（项）。</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sz w:val="32"/>
          <w:lang w:val="en-US" w:eastAsia="zh-CN" w:bidi="ar-SA"/>
        </w:rPr>
      </w:pPr>
      <w:r>
        <w:rPr>
          <w:rFonts w:hint="eastAsia" w:ascii="仿宋_GB2312" w:hAnsi="仿宋_GB2312" w:eastAsia="仿宋_GB2312"/>
          <w:sz w:val="32"/>
          <w:lang w:val="en-US" w:eastAsia="zh-CN" w:bidi="ar-SA"/>
        </w:rPr>
        <w:t>年初预算为0万元，支出决算为1.13万元，由于年初预算数为0万元，无法计算百分比，决算数大于年初预算数的主要原因是：该支出使用的是年中追加预算资金和上级转移支付资金。</w:t>
      </w:r>
    </w:p>
    <w:p>
      <w:pPr>
        <w:pStyle w:val="16"/>
        <w:keepNext w:val="0"/>
        <w:keepLines w:val="0"/>
        <w:pageBreakBefore w:val="0"/>
        <w:widowControl w:val="0"/>
        <w:numPr>
          <w:ilvl w:val="0"/>
          <w:numId w:val="2"/>
        </w:numPr>
        <w:kinsoku/>
        <w:wordWrap/>
        <w:overflowPunct/>
        <w:topLinePunct w:val="0"/>
        <w:bidi w:val="0"/>
        <w:snapToGrid/>
        <w:spacing w:line="600" w:lineRule="exact"/>
        <w:ind w:firstLine="640" w:firstLineChars="200"/>
        <w:textAlignment w:val="auto"/>
        <w:rPr>
          <w:rFonts w:hint="eastAsia" w:ascii="仿宋_GB2312" w:hAnsi="仿宋_GB2312" w:eastAsia="仿宋_GB2312"/>
          <w:sz w:val="32"/>
          <w:lang w:val="en-US" w:eastAsia="zh-CN" w:bidi="ar-SA"/>
        </w:rPr>
      </w:pPr>
      <w:r>
        <w:rPr>
          <w:rFonts w:hint="eastAsia" w:ascii="仿宋_GB2312" w:hAnsi="仿宋_GB2312" w:eastAsia="仿宋_GB2312"/>
          <w:sz w:val="32"/>
          <w:lang w:val="en-US" w:eastAsia="zh-CN" w:bidi="ar-SA"/>
        </w:rPr>
        <w:t>科学技术支出（类）科学技术普及（款）学术交流活动（项）。</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sz w:val="32"/>
          <w:lang w:val="en-US" w:eastAsia="zh-CN" w:bidi="ar-SA"/>
        </w:rPr>
      </w:pPr>
      <w:r>
        <w:rPr>
          <w:rFonts w:hint="eastAsia" w:ascii="仿宋_GB2312" w:hAnsi="仿宋_GB2312" w:eastAsia="仿宋_GB2312"/>
          <w:sz w:val="32"/>
          <w:lang w:val="en-US" w:eastAsia="zh-CN" w:bidi="ar-SA"/>
        </w:rPr>
        <w:t>年初预算为0万元，支出决算为8.13万元，由于年初预算数为0万元，无法计算百分比，决算数大于年初预算数的主要原因是：该支出使用的是年中追加预算资金和上级转移支付资金。</w:t>
      </w:r>
    </w:p>
    <w:p>
      <w:pPr>
        <w:pStyle w:val="16"/>
        <w:keepNext w:val="0"/>
        <w:keepLines w:val="0"/>
        <w:pageBreakBefore w:val="0"/>
        <w:widowControl w:val="0"/>
        <w:numPr>
          <w:ilvl w:val="0"/>
          <w:numId w:val="2"/>
        </w:numPr>
        <w:kinsoku/>
        <w:wordWrap/>
        <w:overflowPunct/>
        <w:topLinePunct w:val="0"/>
        <w:bidi w:val="0"/>
        <w:snapToGrid/>
        <w:spacing w:line="600" w:lineRule="exact"/>
        <w:ind w:left="0" w:leftChars="0" w:firstLine="640" w:firstLineChars="200"/>
        <w:textAlignment w:val="auto"/>
        <w:rPr>
          <w:rFonts w:hint="eastAsia" w:ascii="仿宋_GB2312" w:hAnsi="仿宋_GB2312" w:eastAsia="仿宋_GB2312"/>
          <w:sz w:val="32"/>
          <w:lang w:val="en-US" w:eastAsia="zh-CN" w:bidi="ar-SA"/>
        </w:rPr>
      </w:pPr>
      <w:r>
        <w:rPr>
          <w:rFonts w:hint="eastAsia" w:ascii="仿宋_GB2312" w:hAnsi="仿宋_GB2312" w:eastAsia="仿宋_GB2312"/>
          <w:sz w:val="32"/>
          <w:lang w:val="en-US" w:eastAsia="zh-CN" w:bidi="ar-SA"/>
        </w:rPr>
        <w:t>社会保障和就业支出（类）行政事业单位养老支出（款）行政单位离退休（项）。</w:t>
      </w:r>
    </w:p>
    <w:p>
      <w:pPr>
        <w:widowControl w:val="0"/>
        <w:numPr>
          <w:ilvl w:val="0"/>
          <w:numId w:val="0"/>
        </w:numPr>
        <w:spacing w:line="600" w:lineRule="exact"/>
        <w:ind w:firstLine="640" w:firstLineChars="200"/>
        <w:jc w:val="left"/>
        <w:rPr>
          <w:rFonts w:hint="eastAsia" w:ascii="仿宋_GB2312" w:hAnsi="仿宋_GB2312" w:eastAsia="仿宋_GB2312"/>
          <w:sz w:val="32"/>
          <w:lang w:val="en-US" w:eastAsia="zh-CN" w:bidi="ar-SA"/>
        </w:rPr>
      </w:pPr>
      <w:r>
        <w:rPr>
          <w:rFonts w:hint="eastAsia" w:ascii="仿宋_GB2312" w:hAnsi="仿宋_GB2312" w:eastAsia="仿宋_GB2312"/>
          <w:sz w:val="32"/>
          <w:lang w:val="en-US" w:eastAsia="zh-CN" w:bidi="ar-SA"/>
        </w:rPr>
        <w:t>年初预算为14.35万元，支出决算为14.35万元，</w:t>
      </w:r>
      <w:r>
        <w:rPr>
          <w:rFonts w:hint="eastAsia" w:ascii="仿宋_GB2312" w:hAnsi="仿宋_GB2312" w:eastAsia="仿宋_GB2312" w:cs="仿宋_GB2312"/>
          <w:sz w:val="32"/>
          <w:szCs w:val="32"/>
          <w:lang w:val="en-US" w:eastAsia="zh-CN" w:bidi="ar-SA"/>
        </w:rPr>
        <w:t>完成年初预算的100%，</w:t>
      </w:r>
      <w:r>
        <w:rPr>
          <w:rFonts w:hint="eastAsia" w:ascii="仿宋_GB2312" w:hAnsi="仿宋_GB2312" w:eastAsia="仿宋_GB2312"/>
          <w:sz w:val="32"/>
          <w:lang w:val="en-US" w:eastAsia="zh-CN" w:bidi="ar-SA"/>
        </w:rPr>
        <w:t>决算数等于年初预算数的主要原因是：</w:t>
      </w:r>
      <w:r>
        <w:rPr>
          <w:rFonts w:hint="eastAsia" w:ascii="仿宋_GB2312" w:hAnsi="仿宋_GB2312" w:eastAsia="仿宋_GB2312" w:cs="Times New Roman"/>
          <w:color w:val="auto"/>
          <w:kern w:val="2"/>
          <w:sz w:val="32"/>
          <w:szCs w:val="20"/>
          <w:lang w:val="en-US" w:eastAsia="zh-CN" w:bidi="ar-SA"/>
        </w:rPr>
        <w:t>严格按预算执行行政单位养老支出</w:t>
      </w:r>
      <w:r>
        <w:rPr>
          <w:rFonts w:hint="eastAsia" w:ascii="仿宋_GB2312" w:hAnsi="仿宋_GB2312" w:eastAsia="仿宋_GB2312"/>
          <w:sz w:val="32"/>
          <w:lang w:val="en-US" w:eastAsia="zh-CN" w:bidi="ar-SA"/>
        </w:rPr>
        <w:t>。</w:t>
      </w:r>
    </w:p>
    <w:p>
      <w:pPr>
        <w:widowControl w:val="0"/>
        <w:numPr>
          <w:ilvl w:val="0"/>
          <w:numId w:val="2"/>
        </w:numPr>
        <w:spacing w:line="600" w:lineRule="exact"/>
        <w:ind w:left="0" w:leftChars="0" w:firstLine="640" w:firstLineChars="200"/>
        <w:jc w:val="left"/>
        <w:rPr>
          <w:rFonts w:hint="eastAsia" w:ascii="仿宋_GB2312" w:hAnsi="仿宋_GB2312" w:eastAsia="仿宋_GB2312"/>
          <w:sz w:val="32"/>
          <w:lang w:val="en-US" w:eastAsia="zh-CN" w:bidi="ar-SA"/>
        </w:rPr>
      </w:pPr>
      <w:r>
        <w:rPr>
          <w:rFonts w:hint="eastAsia" w:ascii="仿宋_GB2312" w:hAnsi="仿宋_GB2312" w:eastAsia="仿宋_GB2312"/>
          <w:sz w:val="32"/>
          <w:lang w:val="en-US" w:eastAsia="zh-CN" w:bidi="ar-SA"/>
        </w:rPr>
        <w:t>社会保障和就业支出（类）行政事业单位养老支出（款）事业单位离退休（项）。</w:t>
      </w:r>
    </w:p>
    <w:p>
      <w:pPr>
        <w:widowControl w:val="0"/>
        <w:numPr>
          <w:ilvl w:val="0"/>
          <w:numId w:val="0"/>
        </w:numPr>
        <w:spacing w:line="600" w:lineRule="exact"/>
        <w:ind w:firstLine="640" w:firstLineChars="200"/>
        <w:jc w:val="left"/>
        <w:rPr>
          <w:rFonts w:hint="eastAsia" w:ascii="仿宋_GB2312" w:hAnsi="仿宋_GB2312" w:eastAsia="仿宋_GB2312"/>
          <w:sz w:val="32"/>
          <w:lang w:val="en-US" w:eastAsia="zh-CN" w:bidi="ar-SA"/>
        </w:rPr>
      </w:pPr>
      <w:r>
        <w:rPr>
          <w:rFonts w:hint="eastAsia" w:ascii="仿宋_GB2312" w:hAnsi="仿宋_GB2312" w:eastAsia="仿宋_GB2312"/>
          <w:sz w:val="32"/>
          <w:lang w:val="en-US" w:eastAsia="zh-CN" w:bidi="ar-SA"/>
        </w:rPr>
        <w:t>年初预算为120.36万元，支出决算为111.43万元，</w:t>
      </w:r>
      <w:r>
        <w:rPr>
          <w:rFonts w:hint="eastAsia" w:ascii="仿宋_GB2312" w:hAnsi="仿宋_GB2312" w:eastAsia="仿宋_GB2312" w:cs="仿宋_GB2312"/>
          <w:sz w:val="32"/>
          <w:szCs w:val="32"/>
          <w:lang w:val="en-US" w:eastAsia="zh-CN" w:bidi="ar-SA"/>
        </w:rPr>
        <w:t>完成年初预算的</w:t>
      </w:r>
      <w:r>
        <w:rPr>
          <w:rFonts w:hint="eastAsia" w:ascii="仿宋_GB2312" w:hAnsi="仿宋_GB2312" w:eastAsia="仿宋_GB2312"/>
          <w:sz w:val="32"/>
          <w:lang w:val="en-US" w:eastAsia="zh-CN" w:bidi="ar-SA"/>
        </w:rPr>
        <w:t xml:space="preserve">92.58%，决算数小于年初预算数的主要原因是：下属事业单位退休人员死亡，养老支出减少。  </w:t>
      </w:r>
    </w:p>
    <w:p>
      <w:pPr>
        <w:widowControl w:val="0"/>
        <w:numPr>
          <w:ilvl w:val="0"/>
          <w:numId w:val="2"/>
        </w:numPr>
        <w:spacing w:line="600" w:lineRule="exact"/>
        <w:ind w:left="0" w:leftChars="0" w:firstLine="640" w:firstLineChars="200"/>
        <w:jc w:val="left"/>
        <w:rPr>
          <w:rFonts w:hint="default" w:ascii="仿宋_GB2312" w:hAnsi="仿宋_GB2312" w:eastAsia="仿宋_GB2312"/>
          <w:sz w:val="32"/>
          <w:lang w:val="en-US" w:eastAsia="zh-CN" w:bidi="ar-SA"/>
        </w:rPr>
      </w:pPr>
      <w:r>
        <w:rPr>
          <w:rFonts w:hint="eastAsia" w:ascii="仿宋_GB2312" w:hAnsi="仿宋_GB2312" w:eastAsia="仿宋_GB2312"/>
          <w:sz w:val="32"/>
          <w:lang w:val="en-US" w:eastAsia="zh-CN" w:bidi="ar-SA"/>
        </w:rPr>
        <w:t>社会保障和就业支出（类）行政事业单位养老支出（款）机关事业单位基本养老保险缴费支出（项）。</w:t>
      </w:r>
    </w:p>
    <w:p>
      <w:pPr>
        <w:widowControl w:val="0"/>
        <w:numPr>
          <w:ilvl w:val="0"/>
          <w:numId w:val="0"/>
        </w:numPr>
        <w:spacing w:line="600" w:lineRule="exact"/>
        <w:ind w:firstLine="640" w:firstLineChars="200"/>
        <w:jc w:val="left"/>
        <w:rPr>
          <w:rFonts w:hint="eastAsia" w:ascii="仿宋_GB2312" w:hAnsi="仿宋_GB2312" w:eastAsia="仿宋_GB2312"/>
          <w:sz w:val="32"/>
          <w:lang w:val="en-US" w:eastAsia="zh-CN" w:bidi="ar-SA"/>
        </w:rPr>
      </w:pPr>
      <w:r>
        <w:rPr>
          <w:rFonts w:hint="eastAsia" w:ascii="仿宋_GB2312" w:hAnsi="仿宋_GB2312" w:eastAsia="仿宋_GB2312"/>
          <w:sz w:val="32"/>
          <w:lang w:val="en-US" w:eastAsia="zh-CN" w:bidi="ar-SA"/>
        </w:rPr>
        <w:t xml:space="preserve">年初预算为450.02万元，支出决算为450.37万元，完成年初预算的100.08%，决算数大于年初预算数的主要原因是：人员异动，养老保险缴费支出略微增加。  </w:t>
      </w:r>
    </w:p>
    <w:p>
      <w:pPr>
        <w:widowControl w:val="0"/>
        <w:numPr>
          <w:ilvl w:val="0"/>
          <w:numId w:val="2"/>
        </w:numPr>
        <w:spacing w:line="600" w:lineRule="exact"/>
        <w:ind w:left="0" w:leftChars="0" w:firstLine="640" w:firstLineChars="200"/>
        <w:jc w:val="left"/>
        <w:rPr>
          <w:rFonts w:hint="default" w:ascii="仿宋_GB2312" w:hAnsi="仿宋_GB2312" w:eastAsia="仿宋_GB2312"/>
          <w:sz w:val="32"/>
          <w:lang w:val="en-US" w:eastAsia="zh-CN" w:bidi="ar-SA"/>
        </w:rPr>
      </w:pPr>
      <w:r>
        <w:rPr>
          <w:rFonts w:hint="eastAsia" w:ascii="仿宋_GB2312" w:hAnsi="仿宋_GB2312" w:eastAsia="仿宋_GB2312"/>
          <w:sz w:val="32"/>
          <w:lang w:val="en-US" w:eastAsia="zh-CN" w:bidi="ar-SA"/>
        </w:rPr>
        <w:t>社会保障和就业支出（类）抚恤（款）其他优抚支出（项）。</w:t>
      </w:r>
    </w:p>
    <w:p>
      <w:pPr>
        <w:widowControl w:val="0"/>
        <w:numPr>
          <w:ilvl w:val="0"/>
          <w:numId w:val="0"/>
        </w:numPr>
        <w:spacing w:line="600" w:lineRule="exact"/>
        <w:ind w:firstLine="640" w:firstLineChars="200"/>
        <w:jc w:val="left"/>
        <w:rPr>
          <w:rFonts w:hint="eastAsia" w:ascii="仿宋_GB2312" w:hAnsi="仿宋_GB2312" w:eastAsia="仿宋_GB2312"/>
          <w:sz w:val="32"/>
          <w:lang w:val="en-US" w:eastAsia="zh-CN" w:bidi="ar-SA"/>
        </w:rPr>
      </w:pPr>
      <w:r>
        <w:rPr>
          <w:rFonts w:hint="eastAsia" w:ascii="仿宋_GB2312" w:hAnsi="仿宋_GB2312" w:eastAsia="仿宋_GB2312"/>
          <w:sz w:val="32"/>
          <w:lang w:val="en-US" w:eastAsia="zh-CN" w:bidi="ar-SA"/>
        </w:rPr>
        <w:t>年初预算为0万元，支出决算为162.57万元，由于年初预算数为0万元，无法计算百分比，决算数大于年初预算数的主要原因是：年中追加了一次性死亡抚恤金和遗属费等预算资金。</w:t>
      </w:r>
    </w:p>
    <w:p>
      <w:pPr>
        <w:widowControl w:val="0"/>
        <w:numPr>
          <w:ilvl w:val="0"/>
          <w:numId w:val="0"/>
        </w:numPr>
        <w:spacing w:line="600" w:lineRule="exact"/>
        <w:ind w:firstLine="640" w:firstLineChars="200"/>
        <w:jc w:val="left"/>
        <w:rPr>
          <w:rFonts w:hint="eastAsia" w:ascii="仿宋_GB2312" w:hAnsi="仿宋_GB2312" w:eastAsia="仿宋_GB2312"/>
          <w:sz w:val="32"/>
          <w:lang w:val="en-US" w:eastAsia="zh-CN" w:bidi="ar-SA"/>
        </w:rPr>
      </w:pPr>
      <w:r>
        <w:rPr>
          <w:rFonts w:hint="eastAsia" w:ascii="仿宋_GB2312" w:hAnsi="仿宋_GB2312" w:eastAsia="仿宋_GB2312"/>
          <w:sz w:val="32"/>
          <w:lang w:val="en-US" w:eastAsia="zh-CN" w:bidi="ar-SA"/>
        </w:rPr>
        <w:t>7、社会保障和就业支出（类）其他社会保障和就业支出（款）其他社会保障和就业支出（项）。</w:t>
      </w:r>
    </w:p>
    <w:p>
      <w:pPr>
        <w:widowControl w:val="0"/>
        <w:numPr>
          <w:ilvl w:val="0"/>
          <w:numId w:val="0"/>
        </w:numPr>
        <w:spacing w:line="600" w:lineRule="exact"/>
        <w:ind w:firstLine="640" w:firstLineChars="200"/>
        <w:jc w:val="left"/>
        <w:rPr>
          <w:rFonts w:hint="eastAsia" w:ascii="仿宋_GB2312" w:hAnsi="仿宋_GB2312" w:eastAsia="仿宋_GB2312"/>
          <w:sz w:val="32"/>
          <w:lang w:val="en-US" w:eastAsia="zh-CN" w:bidi="ar-SA"/>
        </w:rPr>
      </w:pPr>
      <w:r>
        <w:rPr>
          <w:rFonts w:hint="eastAsia" w:ascii="仿宋_GB2312" w:hAnsi="仿宋_GB2312" w:eastAsia="仿宋_GB2312"/>
          <w:sz w:val="32"/>
          <w:lang w:val="en-US" w:eastAsia="zh-CN" w:bidi="ar-SA"/>
        </w:rPr>
        <w:t>年初预算为32.42万元，支出决算为34.84万元，完成年初预算的107.46%，决算数大于年初预算数的主要原因是：年中追加了建国初期参加工作退休干部补贴等预算资金。</w:t>
      </w:r>
    </w:p>
    <w:p>
      <w:pPr>
        <w:widowControl w:val="0"/>
        <w:numPr>
          <w:ilvl w:val="0"/>
          <w:numId w:val="0"/>
        </w:numPr>
        <w:spacing w:line="600" w:lineRule="exact"/>
        <w:ind w:firstLine="640" w:firstLineChars="200"/>
        <w:jc w:val="left"/>
        <w:rPr>
          <w:rFonts w:hint="default" w:ascii="仿宋_GB2312" w:hAnsi="仿宋_GB2312" w:eastAsia="仿宋_GB2312" w:cs="黑体"/>
          <w:color w:val="000000"/>
          <w:kern w:val="0"/>
          <w:sz w:val="32"/>
          <w:szCs w:val="24"/>
          <w:lang w:val="en-US" w:eastAsia="zh-CN" w:bidi="ar-SA"/>
        </w:rPr>
      </w:pPr>
      <w:r>
        <w:rPr>
          <w:rFonts w:hint="eastAsia" w:ascii="仿宋_GB2312" w:hAnsi="仿宋_GB2312" w:eastAsia="仿宋_GB2312"/>
          <w:sz w:val="32"/>
          <w:lang w:val="en-US" w:eastAsia="zh-CN" w:bidi="ar-SA"/>
        </w:rPr>
        <w:t>8、卫生健康支出（类）行政事业单位医疗（款）行政单位医疗（项）。</w:t>
      </w:r>
    </w:p>
    <w:p>
      <w:pPr>
        <w:widowControl w:val="0"/>
        <w:numPr>
          <w:ilvl w:val="0"/>
          <w:numId w:val="0"/>
        </w:numPr>
        <w:spacing w:line="600" w:lineRule="exact"/>
        <w:ind w:firstLine="640" w:firstLineChars="200"/>
        <w:jc w:val="left"/>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年初预算为71.41万元，支出决算为71.41万元，完成年初预算的100%，决算数等于年初预算数的主要原因是：严格按预算执行行政单位医疗支出。</w:t>
      </w:r>
    </w:p>
    <w:p>
      <w:pPr>
        <w:widowControl w:val="0"/>
        <w:numPr>
          <w:ilvl w:val="0"/>
          <w:numId w:val="0"/>
        </w:numPr>
        <w:spacing w:line="600" w:lineRule="exact"/>
        <w:ind w:firstLine="640" w:firstLineChars="200"/>
        <w:jc w:val="left"/>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9、卫生健康支出（类）行政事业单位医疗（款）事业单位医疗（项）。</w:t>
      </w:r>
    </w:p>
    <w:p>
      <w:pPr>
        <w:widowControl w:val="0"/>
        <w:numPr>
          <w:ilvl w:val="0"/>
          <w:numId w:val="0"/>
        </w:numPr>
        <w:spacing w:line="600" w:lineRule="exact"/>
        <w:ind w:firstLine="640" w:firstLineChars="200"/>
        <w:jc w:val="left"/>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年初预算为257.03万元，支出决算为256.67万元，完成年初预算的99.86%，决算数小于年初预算数的主要原因是：下属事业单位退休人员死亡，医疗支出减少。</w:t>
      </w:r>
    </w:p>
    <w:p>
      <w:pPr>
        <w:widowControl w:val="0"/>
        <w:numPr>
          <w:ilvl w:val="0"/>
          <w:numId w:val="0"/>
        </w:numPr>
        <w:spacing w:line="600" w:lineRule="exact"/>
        <w:ind w:firstLine="640" w:firstLineChars="200"/>
        <w:jc w:val="left"/>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10、节能环保支出（类） 其他节能环保支出（款） 其他节能环保支出（项）。</w:t>
      </w:r>
    </w:p>
    <w:p>
      <w:pPr>
        <w:widowControl w:val="0"/>
        <w:numPr>
          <w:ilvl w:val="0"/>
          <w:numId w:val="0"/>
        </w:numPr>
        <w:spacing w:line="600" w:lineRule="exact"/>
        <w:ind w:firstLine="640" w:firstLineChars="200"/>
        <w:jc w:val="left"/>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年初预算为0万元，支出决算为14.16万元，由于年初预算数为0万元，无法计算百分比，决算数大于年初预算数的主要原因是：该支出使用的是年中追加预算资金和上级转移支付资金。</w:t>
      </w:r>
    </w:p>
    <w:p>
      <w:pPr>
        <w:widowControl w:val="0"/>
        <w:numPr>
          <w:ilvl w:val="0"/>
          <w:numId w:val="0"/>
        </w:numPr>
        <w:spacing w:line="600" w:lineRule="exact"/>
        <w:ind w:firstLine="640" w:firstLineChars="200"/>
        <w:jc w:val="left"/>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11、农林水支出（类）农业农村（款）行政运行（项）。</w:t>
      </w:r>
    </w:p>
    <w:p>
      <w:pPr>
        <w:widowControl w:val="0"/>
        <w:numPr>
          <w:ilvl w:val="0"/>
          <w:numId w:val="0"/>
        </w:numPr>
        <w:spacing w:line="600" w:lineRule="exact"/>
        <w:ind w:firstLine="640" w:firstLineChars="200"/>
        <w:jc w:val="left"/>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年初预算为2281.40万元，支出决算为2249.21万元，完成年初预算的98.59%，决算数小于年初预算数的主要原因是：本单位厉行节约。</w:t>
      </w:r>
    </w:p>
    <w:p>
      <w:pPr>
        <w:widowControl w:val="0"/>
        <w:numPr>
          <w:ilvl w:val="0"/>
          <w:numId w:val="0"/>
        </w:numPr>
        <w:spacing w:line="600" w:lineRule="exact"/>
        <w:ind w:firstLine="640" w:firstLineChars="200"/>
        <w:jc w:val="left"/>
        <w:rPr>
          <w:rFonts w:hint="default"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12、农林水支出（类）农业农村（款）一般行政管理事务（项）。</w:t>
      </w:r>
    </w:p>
    <w:p>
      <w:pPr>
        <w:widowControl w:val="0"/>
        <w:numPr>
          <w:ilvl w:val="0"/>
          <w:numId w:val="0"/>
        </w:numPr>
        <w:spacing w:line="600" w:lineRule="exact"/>
        <w:ind w:firstLine="640" w:firstLineChars="200"/>
        <w:jc w:val="left"/>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年初预算为66.40万元，支出决算为66.40万元，完成年初预算的100%，决算数等于年初预算数的主要原因是：严格按预算执行决算。</w:t>
      </w:r>
    </w:p>
    <w:p>
      <w:pPr>
        <w:widowControl w:val="0"/>
        <w:numPr>
          <w:ilvl w:val="0"/>
          <w:numId w:val="0"/>
        </w:numPr>
        <w:spacing w:line="600" w:lineRule="exact"/>
        <w:ind w:firstLine="640" w:firstLineChars="200"/>
        <w:jc w:val="left"/>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13、农林水支出（类）农业农村（款）事业运行（项）。</w:t>
      </w:r>
    </w:p>
    <w:p>
      <w:pPr>
        <w:widowControl w:val="0"/>
        <w:numPr>
          <w:ilvl w:val="0"/>
          <w:numId w:val="0"/>
        </w:numPr>
        <w:spacing w:line="600" w:lineRule="exact"/>
        <w:ind w:firstLine="640" w:firstLineChars="200"/>
        <w:jc w:val="left"/>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年初预算为3519.86万元，支出决算为3466.20万元，完成年初预算的98.48%，决算数小于年初预算数的主要原因是：本单位厉行节约。</w:t>
      </w:r>
    </w:p>
    <w:p>
      <w:pPr>
        <w:widowControl w:val="0"/>
        <w:numPr>
          <w:ilvl w:val="0"/>
          <w:numId w:val="0"/>
        </w:numPr>
        <w:spacing w:line="600" w:lineRule="exact"/>
        <w:ind w:firstLine="640" w:firstLineChars="200"/>
        <w:jc w:val="left"/>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14、农林水支出（类）农业农村（款）科技转化与推广服务（项）。</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年初预算为0万元，支出决算为66.12万元，由于年初预算数为0万元，无法计算百分比，决算数大于年初预算数的主要原因是：该支出使用的是年中追加预算资金和上级转移支付资金。</w:t>
      </w:r>
    </w:p>
    <w:p>
      <w:pPr>
        <w:widowControl w:val="0"/>
        <w:numPr>
          <w:ilvl w:val="0"/>
          <w:numId w:val="3"/>
        </w:numPr>
        <w:spacing w:line="600" w:lineRule="exact"/>
        <w:ind w:firstLine="640" w:firstLineChars="200"/>
        <w:jc w:val="left"/>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农林水支出（类）农业农村（款）病虫害控制（项）。</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年初预算为0万元，支出决算为138.09万元，由于年初预算数为0万元，无法计算百分比，决算数大于年初预算数的主要原因是：该支出使用的是年中追加预算资金和上级转移支付资金。</w:t>
      </w:r>
    </w:p>
    <w:p>
      <w:pPr>
        <w:pStyle w:val="16"/>
        <w:keepNext w:val="0"/>
        <w:keepLines w:val="0"/>
        <w:pageBreakBefore w:val="0"/>
        <w:widowControl w:val="0"/>
        <w:numPr>
          <w:ilvl w:val="0"/>
          <w:numId w:val="3"/>
        </w:numPr>
        <w:kinsoku/>
        <w:wordWrap/>
        <w:overflowPunct/>
        <w:topLinePunct w:val="0"/>
        <w:bidi w:val="0"/>
        <w:snapToGrid/>
        <w:spacing w:line="600" w:lineRule="exact"/>
        <w:ind w:left="0" w:leftChars="0" w:firstLine="640" w:firstLineChars="200"/>
        <w:textAlignment w:val="auto"/>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农林水支出（类）农业农村（款）农产品质量安全（项）。</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年初预算为24.30万元，支出决算为261.56万元，完成年初预算的1076.38%，决算数大于年初预算数的主要原因是：该支出还使用了年中追加预算资金和上级转移支付资金。</w:t>
      </w:r>
    </w:p>
    <w:p>
      <w:pPr>
        <w:pStyle w:val="16"/>
        <w:keepNext w:val="0"/>
        <w:keepLines w:val="0"/>
        <w:pageBreakBefore w:val="0"/>
        <w:widowControl w:val="0"/>
        <w:numPr>
          <w:ilvl w:val="0"/>
          <w:numId w:val="3"/>
        </w:numPr>
        <w:kinsoku/>
        <w:wordWrap/>
        <w:overflowPunct/>
        <w:topLinePunct w:val="0"/>
        <w:bidi w:val="0"/>
        <w:snapToGrid/>
        <w:spacing w:line="600" w:lineRule="exact"/>
        <w:ind w:left="0" w:leftChars="0" w:firstLine="640" w:firstLineChars="200"/>
        <w:textAlignment w:val="auto"/>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农林水支出（类）农业农村（款）统计监测与信息服务（项）。</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年初预算为0万元，支出决算为14.00万元，由于年初预算数为0万元，无法计算百分比，决算数大于年初预算数的主要原因是：该支出使用的是年中追加预算资金和上级转移支付资金。</w:t>
      </w:r>
    </w:p>
    <w:p>
      <w:pPr>
        <w:pStyle w:val="16"/>
        <w:keepNext w:val="0"/>
        <w:keepLines w:val="0"/>
        <w:pageBreakBefore w:val="0"/>
        <w:widowControl w:val="0"/>
        <w:numPr>
          <w:ilvl w:val="0"/>
          <w:numId w:val="0"/>
        </w:numPr>
        <w:kinsoku/>
        <w:wordWrap/>
        <w:overflowPunct/>
        <w:topLinePunct w:val="0"/>
        <w:bidi w:val="0"/>
        <w:snapToGrid/>
        <w:spacing w:line="600" w:lineRule="exact"/>
        <w:ind w:leftChars="200"/>
        <w:textAlignment w:val="auto"/>
        <w:rPr>
          <w:rFonts w:hint="default"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18、农林水支出（类）农业农村（款）农业生产发展（项）。</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年初预算为0万元，支出决算为230.89万元，由于年初预算数为0万元，无法计算百分比，决算数大于年初预算数的主要原因是：该支出使用的是年中追加预算资金和上级转移支付资金。</w:t>
      </w:r>
    </w:p>
    <w:p>
      <w:pPr>
        <w:pStyle w:val="16"/>
        <w:keepNext w:val="0"/>
        <w:keepLines w:val="0"/>
        <w:pageBreakBefore w:val="0"/>
        <w:widowControl w:val="0"/>
        <w:numPr>
          <w:ilvl w:val="0"/>
          <w:numId w:val="3"/>
        </w:numPr>
        <w:kinsoku/>
        <w:wordWrap/>
        <w:overflowPunct/>
        <w:topLinePunct w:val="0"/>
        <w:bidi w:val="0"/>
        <w:snapToGrid/>
        <w:spacing w:line="600" w:lineRule="exact"/>
        <w:ind w:left="0" w:leftChars="0" w:firstLine="640" w:firstLineChars="200"/>
        <w:textAlignment w:val="auto"/>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农林水支出（类）农业农村（款）农村合作经济（项）。</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年初预算为0万元，支出决算为12.43万元，由于年初预算数为0万元，无法计算百分比，决算数大于年初预算数的主要原因是：该支出使用的是年中追加预算资金和上级转移支付资金。</w:t>
      </w:r>
    </w:p>
    <w:p>
      <w:pPr>
        <w:pStyle w:val="16"/>
        <w:keepNext w:val="0"/>
        <w:keepLines w:val="0"/>
        <w:pageBreakBefore w:val="0"/>
        <w:widowControl w:val="0"/>
        <w:numPr>
          <w:ilvl w:val="0"/>
          <w:numId w:val="3"/>
        </w:numPr>
        <w:kinsoku/>
        <w:wordWrap/>
        <w:overflowPunct/>
        <w:topLinePunct w:val="0"/>
        <w:bidi w:val="0"/>
        <w:snapToGrid/>
        <w:spacing w:line="600" w:lineRule="exact"/>
        <w:ind w:left="0" w:leftChars="0" w:firstLine="640" w:firstLineChars="200"/>
        <w:textAlignment w:val="auto"/>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农林水支出（类）农业农村（款）农产品加工与促销（项）。</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年初预算为0万元，支出决算为68.88万元，由于年初预算数为0万元，无法计算百分比，决算数大于年初预算数的主要原因是：该支出使用的是年中追加预算资金和上级转移支付资金。</w:t>
      </w:r>
    </w:p>
    <w:p>
      <w:pPr>
        <w:pStyle w:val="16"/>
        <w:keepNext w:val="0"/>
        <w:keepLines w:val="0"/>
        <w:pageBreakBefore w:val="0"/>
        <w:widowControl w:val="0"/>
        <w:numPr>
          <w:ilvl w:val="0"/>
          <w:numId w:val="3"/>
        </w:numPr>
        <w:kinsoku/>
        <w:wordWrap/>
        <w:overflowPunct/>
        <w:topLinePunct w:val="0"/>
        <w:bidi w:val="0"/>
        <w:snapToGrid/>
        <w:spacing w:line="600" w:lineRule="exact"/>
        <w:ind w:left="0" w:leftChars="0" w:firstLine="640" w:firstLineChars="200"/>
        <w:textAlignment w:val="auto"/>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农林水支出（类）农业农村（款）农业资源保护修复与利用（项）。</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年初预算为0万元，支出决算为152.66万元，由于年初预算数为0万元，无法计算百分比，决算数大于年初预算数的主要原因是：该支出使用的是年中追加预算资金和上级转移支付资金。</w:t>
      </w:r>
    </w:p>
    <w:p>
      <w:pPr>
        <w:pStyle w:val="16"/>
        <w:keepNext w:val="0"/>
        <w:keepLines w:val="0"/>
        <w:pageBreakBefore w:val="0"/>
        <w:widowControl w:val="0"/>
        <w:numPr>
          <w:ilvl w:val="0"/>
          <w:numId w:val="3"/>
        </w:numPr>
        <w:kinsoku/>
        <w:wordWrap/>
        <w:overflowPunct/>
        <w:topLinePunct w:val="0"/>
        <w:bidi w:val="0"/>
        <w:snapToGrid/>
        <w:spacing w:line="600" w:lineRule="exact"/>
        <w:ind w:left="0" w:leftChars="0" w:firstLine="640" w:firstLineChars="200"/>
        <w:textAlignment w:val="auto"/>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农林水支出（类）农业农村（款）渔业发展（项）。</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年初预算为0万元，支出决算为309.79万元，由于年初预算数为0万元，无法计算百分比，决算数大于年初预算数的主要原因是：该支出使用的是年中追加预算资金和上级转移支付资金。</w:t>
      </w:r>
    </w:p>
    <w:p>
      <w:pPr>
        <w:pStyle w:val="16"/>
        <w:keepNext w:val="0"/>
        <w:keepLines w:val="0"/>
        <w:pageBreakBefore w:val="0"/>
        <w:widowControl w:val="0"/>
        <w:numPr>
          <w:ilvl w:val="0"/>
          <w:numId w:val="3"/>
        </w:numPr>
        <w:kinsoku/>
        <w:wordWrap/>
        <w:overflowPunct/>
        <w:topLinePunct w:val="0"/>
        <w:bidi w:val="0"/>
        <w:snapToGrid/>
        <w:spacing w:line="600" w:lineRule="exact"/>
        <w:ind w:left="0" w:leftChars="0" w:firstLine="640" w:firstLineChars="200"/>
        <w:textAlignment w:val="auto"/>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农林水支出（类）农业农村（款）农田建设（项）。</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年初预算为0万元，支出决算为50.00万元，由于年初预算数为0万元，无法计算百分比，决算数大于年初预算数的主要原因是：该支出使用的是年中追加预算资金和上级转移支付资金。</w:t>
      </w:r>
    </w:p>
    <w:p>
      <w:pPr>
        <w:pStyle w:val="16"/>
        <w:keepNext w:val="0"/>
        <w:keepLines w:val="0"/>
        <w:pageBreakBefore w:val="0"/>
        <w:widowControl w:val="0"/>
        <w:numPr>
          <w:ilvl w:val="0"/>
          <w:numId w:val="3"/>
        </w:numPr>
        <w:kinsoku/>
        <w:wordWrap/>
        <w:overflowPunct/>
        <w:topLinePunct w:val="0"/>
        <w:bidi w:val="0"/>
        <w:snapToGrid/>
        <w:spacing w:line="600" w:lineRule="exact"/>
        <w:ind w:left="0" w:leftChars="0" w:firstLine="640" w:firstLineChars="200"/>
        <w:textAlignment w:val="auto"/>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农林水支出（类）农业农村（款）其他农业农村支出（项）。</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年初预算为0.50万元，支出决算为2071.76万元，完成年初预算的414352.00%，决算数大于年初预算数的主要原因是：该支出使用的是年中追加预算资金和上级转移支付资金。</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24、农林水支出（类）林业和草原（款）其他林业和草原支出（项）。</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年初预算为0万元，支出决算为415.48万元，由于年初预算数为0万元，无法计算百分比，决算数大于年初预算数的主要原因是：该支出使用的是年中追加预算资金和上级转移支付资金。</w:t>
      </w:r>
    </w:p>
    <w:p>
      <w:pPr>
        <w:pStyle w:val="16"/>
        <w:keepNext w:val="0"/>
        <w:keepLines w:val="0"/>
        <w:pageBreakBefore w:val="0"/>
        <w:widowControl w:val="0"/>
        <w:numPr>
          <w:ilvl w:val="0"/>
          <w:numId w:val="3"/>
        </w:numPr>
        <w:kinsoku/>
        <w:wordWrap/>
        <w:overflowPunct/>
        <w:topLinePunct w:val="0"/>
        <w:bidi w:val="0"/>
        <w:snapToGrid/>
        <w:spacing w:line="600" w:lineRule="exact"/>
        <w:ind w:left="0" w:leftChars="0" w:firstLine="640" w:firstLineChars="200"/>
        <w:textAlignment w:val="auto"/>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资源勘探工业信息等支出（类）国有资产监管（款） 其他国有资产监管支出（项）。</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年初预算为0万元，支出决算为2.50万元，由于年初预算数为0万元，无法计算百分比，决算数大于年初预算数的主要原因是：该支出使用的是年中追加预算资金。</w:t>
      </w:r>
    </w:p>
    <w:p>
      <w:pPr>
        <w:pStyle w:val="16"/>
        <w:keepNext w:val="0"/>
        <w:keepLines w:val="0"/>
        <w:pageBreakBefore w:val="0"/>
        <w:widowControl w:val="0"/>
        <w:numPr>
          <w:ilvl w:val="0"/>
          <w:numId w:val="3"/>
        </w:numPr>
        <w:kinsoku/>
        <w:wordWrap/>
        <w:overflowPunct/>
        <w:topLinePunct w:val="0"/>
        <w:bidi w:val="0"/>
        <w:snapToGrid/>
        <w:spacing w:line="600" w:lineRule="exact"/>
        <w:ind w:left="0" w:leftChars="0" w:firstLine="640" w:firstLineChars="200"/>
        <w:textAlignment w:val="auto"/>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自然资源海洋气象等支出（类）自然资源事务（款） 其他自然资源事务支出（项）。</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年初预算为0万元，支出决算为182.12万元，由于年初预算数为0万元，无法计算百分比，决算数大于年初预算数的主要原因是：该支出使用的是年中追加预算资金和上级转移支付资金。</w:t>
      </w:r>
    </w:p>
    <w:p>
      <w:pPr>
        <w:pStyle w:val="16"/>
        <w:keepNext w:val="0"/>
        <w:keepLines w:val="0"/>
        <w:pageBreakBefore w:val="0"/>
        <w:widowControl w:val="0"/>
        <w:numPr>
          <w:ilvl w:val="0"/>
          <w:numId w:val="3"/>
        </w:numPr>
        <w:kinsoku/>
        <w:wordWrap/>
        <w:overflowPunct/>
        <w:topLinePunct w:val="0"/>
        <w:bidi w:val="0"/>
        <w:snapToGrid/>
        <w:spacing w:line="600" w:lineRule="exact"/>
        <w:ind w:left="0" w:leftChars="0" w:firstLine="640" w:firstLineChars="200"/>
        <w:textAlignment w:val="auto"/>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住房保障支出（类）住房改革支出（款） 住房公积金（项）。</w:t>
      </w:r>
    </w:p>
    <w:p>
      <w:pPr>
        <w:widowControl w:val="0"/>
        <w:numPr>
          <w:ilvl w:val="0"/>
          <w:numId w:val="0"/>
        </w:numPr>
        <w:spacing w:line="600" w:lineRule="exact"/>
        <w:ind w:firstLine="640" w:firstLineChars="200"/>
        <w:jc w:val="left"/>
        <w:rPr>
          <w:rFonts w:hint="default" w:ascii="仿宋_GB2312" w:hAnsi="仿宋_GB2312" w:eastAsia="仿宋_GB2312" w:cs="黑体"/>
          <w:color w:val="000000"/>
          <w:kern w:val="0"/>
          <w:sz w:val="32"/>
          <w:szCs w:val="24"/>
          <w:lang w:val="en-US" w:eastAsia="zh-CN" w:bidi="ar-SA"/>
        </w:rPr>
      </w:pPr>
      <w:r>
        <w:rPr>
          <w:rFonts w:hint="eastAsia" w:ascii="仿宋_GB2312" w:hAnsi="仿宋_GB2312" w:eastAsia="仿宋_GB2312" w:cs="黑体"/>
          <w:color w:val="000000"/>
          <w:kern w:val="0"/>
          <w:sz w:val="32"/>
          <w:szCs w:val="24"/>
          <w:lang w:val="en-US" w:eastAsia="zh-CN" w:bidi="ar-SA"/>
        </w:rPr>
        <w:t>年初预算为432.25万元，支出决算为431.93万元，完成年初预算的99.93%，决算数小于年初预算数的主要原因是：人员在职转退休，住房公积金单位缴费部分略减。</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w:t>
      </w:r>
      <w:r>
        <w:rPr>
          <w:rFonts w:hint="eastAsia" w:ascii="仿宋_GB2312" w:hAnsi="仿宋_GB2312" w:eastAsia="仿宋_GB2312" w:cs="仿宋_GB2312"/>
          <w:sz w:val="32"/>
          <w:szCs w:val="32"/>
          <w:lang w:val="en-US" w:eastAsia="zh-CN"/>
        </w:rPr>
        <w:t>8328.85</w:t>
      </w:r>
      <w:r>
        <w:rPr>
          <w:rFonts w:hint="eastAsia" w:ascii="仿宋_GB2312" w:hAnsi="仿宋_GB2312" w:eastAsia="仿宋_GB2312" w:cs="仿宋_GB2312"/>
          <w:sz w:val="32"/>
          <w:szCs w:val="32"/>
        </w:rPr>
        <w:t>万元，其中：</w:t>
      </w:r>
    </w:p>
    <w:p>
      <w:pPr>
        <w:widowControl w:val="0"/>
        <w:spacing w:line="600" w:lineRule="exact"/>
        <w:ind w:firstLine="640" w:firstLineChars="200"/>
        <w:jc w:val="left"/>
        <w:rPr>
          <w:rFonts w:hint="eastAsia" w:ascii="仿宋_GB2312" w:hAnsi="仿宋_GB2312" w:eastAsia="仿宋_GB2312" w:cs="Times New Roman"/>
          <w:sz w:val="32"/>
          <w:szCs w:val="20"/>
          <w:lang w:val="zh-CN" w:eastAsia="zh-CN" w:bidi="ar-SA"/>
        </w:rPr>
      </w:pPr>
      <w:r>
        <w:rPr>
          <w:rFonts w:hint="eastAsia" w:ascii="仿宋_GB2312" w:hAnsi="仿宋_GB2312" w:eastAsia="仿宋_GB2312" w:cs="黑体"/>
          <w:b/>
          <w:bCs/>
          <w:color w:val="000000"/>
          <w:kern w:val="0"/>
          <w:sz w:val="32"/>
          <w:szCs w:val="24"/>
          <w:lang w:val="en-US" w:eastAsia="zh-CN" w:bidi="ar-SA"/>
        </w:rPr>
        <w:t>人员经费</w:t>
      </w:r>
      <w:r>
        <w:rPr>
          <w:rFonts w:hint="eastAsia" w:ascii="仿宋_GB2312" w:hAnsi="仿宋_GB2312" w:eastAsia="仿宋_GB2312" w:cs="黑体"/>
          <w:color w:val="000000"/>
          <w:kern w:val="0"/>
          <w:sz w:val="32"/>
          <w:szCs w:val="24"/>
          <w:lang w:val="en-US" w:eastAsia="zh-CN" w:bidi="ar-SA"/>
        </w:rPr>
        <w:t>7585.64万元，</w:t>
      </w:r>
      <w:r>
        <w:rPr>
          <w:rFonts w:hint="eastAsia" w:ascii="仿宋_GB2312" w:hAnsi="仿宋_GB2312" w:eastAsia="仿宋_GB2312" w:cs="仿宋_GB2312"/>
          <w:sz w:val="32"/>
          <w:szCs w:val="32"/>
        </w:rPr>
        <w:t>占基本支出的</w:t>
      </w:r>
      <w:r>
        <w:rPr>
          <w:rFonts w:hint="eastAsia" w:ascii="仿宋_GB2312" w:hAnsi="仿宋_GB2312" w:eastAsia="仿宋_GB2312" w:cs="仿宋_GB2312"/>
          <w:sz w:val="32"/>
          <w:szCs w:val="32"/>
          <w:lang w:val="en-US" w:eastAsia="zh-CN"/>
        </w:rPr>
        <w:t>91.08</w:t>
      </w:r>
      <w:r>
        <w:rPr>
          <w:rFonts w:hint="eastAsia" w:ascii="仿宋_GB2312" w:hAnsi="仿宋_GB2312" w:eastAsia="仿宋_GB2312" w:cs="仿宋_GB2312"/>
          <w:sz w:val="32"/>
          <w:szCs w:val="32"/>
        </w:rPr>
        <w:t>%,</w:t>
      </w:r>
      <w:r>
        <w:rPr>
          <w:rFonts w:hint="eastAsia" w:ascii="仿宋_GB2312" w:hAnsi="仿宋_GB2312" w:eastAsia="仿宋_GB2312" w:cs="Times New Roman"/>
          <w:sz w:val="32"/>
          <w:szCs w:val="20"/>
          <w:lang w:val="en-US" w:eastAsia="zh-CN" w:bidi="ar-SA"/>
        </w:rPr>
        <w:t>主要包括基本工资、津贴补贴、</w:t>
      </w:r>
      <w:r>
        <w:rPr>
          <w:rFonts w:hint="eastAsia" w:ascii="仿宋_GB2312" w:hAnsi="仿宋_GB2312" w:eastAsia="仿宋_GB2312" w:cs="Times New Roman"/>
          <w:sz w:val="32"/>
          <w:szCs w:val="20"/>
          <w:lang w:val="zh-CN" w:eastAsia="zh-CN" w:bidi="ar-SA"/>
        </w:rPr>
        <w:t>奖金、伙食补助费、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widowControl w:val="0"/>
        <w:spacing w:line="600" w:lineRule="exact"/>
        <w:ind w:firstLine="640" w:firstLineChars="200"/>
        <w:jc w:val="left"/>
        <w:rPr>
          <w:rFonts w:hint="eastAsia" w:ascii="仿宋_GB2312" w:hAnsi="仿宋_GB2312" w:eastAsia="仿宋_GB2312" w:cs="仿宋_GB2312"/>
          <w:b w:val="0"/>
          <w:bCs/>
          <w:sz w:val="32"/>
          <w:szCs w:val="32"/>
        </w:rPr>
      </w:pPr>
      <w:r>
        <w:rPr>
          <w:rFonts w:hint="eastAsia" w:ascii="仿宋_GB2312" w:hAnsi="仿宋_GB2312" w:eastAsia="仿宋_GB2312" w:cs="黑体"/>
          <w:b/>
          <w:bCs/>
          <w:color w:val="000000"/>
          <w:kern w:val="0"/>
          <w:sz w:val="32"/>
          <w:szCs w:val="24"/>
          <w:lang w:val="en-US" w:eastAsia="zh-CN" w:bidi="ar-SA"/>
        </w:rPr>
        <w:t>公用经费</w:t>
      </w:r>
      <w:r>
        <w:rPr>
          <w:rFonts w:hint="eastAsia" w:ascii="仿宋_GB2312" w:hAnsi="仿宋_GB2312" w:eastAsia="仿宋_GB2312" w:cs="黑体"/>
          <w:color w:val="000000"/>
          <w:kern w:val="0"/>
          <w:sz w:val="32"/>
          <w:szCs w:val="24"/>
          <w:lang w:val="en-US" w:eastAsia="zh-CN" w:bidi="ar-SA"/>
        </w:rPr>
        <w:t>743.21万元，占基本支出的8.92%，主要包括</w:t>
      </w:r>
      <w:r>
        <w:rPr>
          <w:rFonts w:hint="eastAsia" w:ascii="仿宋_GB2312" w:hAnsi="仿宋_GB2312" w:eastAsia="仿宋_GB2312" w:cs="Times New Roman"/>
          <w:sz w:val="32"/>
          <w:szCs w:val="20"/>
          <w:lang w:val="en-US" w:eastAsia="zh-CN" w:bidi="ar-SA"/>
        </w:rPr>
        <w:t>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黑体" w:hAnsi="黑体" w:eastAsia="黑体"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sz w:val="32"/>
          <w:szCs w:val="32"/>
        </w:rPr>
      </w:pPr>
      <w:r>
        <w:rPr>
          <w:rFonts w:hint="eastAsia" w:ascii="仿宋_GB2312" w:hAnsi="仿宋_GB2312" w:eastAsia="仿宋_GB2312" w:cs="仿宋_GB2312"/>
          <w:color w:val="000000"/>
          <w:kern w:val="0"/>
          <w:sz w:val="32"/>
          <w:szCs w:val="32"/>
          <w:lang w:val="en-US" w:eastAsia="zh-CN" w:bidi="ar-SA"/>
        </w:rPr>
        <w:t>2023年度国有资本经营预算财政拨款收入0万元；年初结转和结余0万；支出0万元；年末结转和结余0万元。</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w:t>
      </w:r>
      <w:r>
        <w:rPr>
          <w:rFonts w:hint="eastAsia" w:ascii="仿宋_GB2312" w:hAnsi="仿宋_GB2312" w:eastAsia="仿宋_GB2312" w:cs="仿宋_GB2312"/>
          <w:sz w:val="32"/>
          <w:szCs w:val="32"/>
          <w:lang w:val="en-US" w:eastAsia="zh-CN"/>
        </w:rPr>
        <w:t>187.06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94.46</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50.50</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sz w:val="32"/>
          <w:szCs w:val="20"/>
          <w:lang w:val="zh-CN" w:eastAsia="zh-CN" w:bidi="ar-SA"/>
        </w:rPr>
        <w:t>本部门严格落实“过紧日子”要求，厉行节约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w:t>
      </w:r>
      <w:r>
        <w:rPr>
          <w:rFonts w:hint="eastAsia" w:ascii="仿宋_GB2312" w:hAnsi="仿宋_GB2312" w:eastAsia="仿宋_GB2312" w:cs="仿宋_GB2312"/>
          <w:sz w:val="32"/>
          <w:szCs w:val="32"/>
          <w:lang w:val="en-US" w:eastAsia="zh-CN"/>
        </w:rPr>
        <w:t>104.01万元</w:t>
      </w:r>
      <w:r>
        <w:rPr>
          <w:rFonts w:hint="eastAsia" w:ascii="仿宋_GB2312" w:hAnsi="仿宋_GB2312" w:eastAsia="仿宋_GB2312" w:cs="仿宋_GB2312"/>
          <w:sz w:val="32"/>
          <w:szCs w:val="32"/>
        </w:rPr>
        <w:t>相比减少</w:t>
      </w:r>
      <w:r>
        <w:rPr>
          <w:rFonts w:hint="eastAsia" w:ascii="仿宋_GB2312" w:hAnsi="仿宋_GB2312" w:eastAsia="仿宋_GB2312" w:cs="仿宋_GB2312"/>
          <w:sz w:val="32"/>
          <w:szCs w:val="32"/>
          <w:lang w:val="en-US" w:eastAsia="zh-CN"/>
        </w:rPr>
        <w:t>9.55</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9.18</w:t>
      </w:r>
      <w:r>
        <w:rPr>
          <w:rFonts w:hint="eastAsia" w:ascii="仿宋_GB2312" w:hAnsi="仿宋_GB2312" w:eastAsia="仿宋_GB2312" w:cs="仿宋_GB2312"/>
          <w:sz w:val="32"/>
          <w:szCs w:val="32"/>
        </w:rPr>
        <w:t>%,减少的主要原因是</w:t>
      </w:r>
      <w:r>
        <w:rPr>
          <w:rFonts w:hint="eastAsia" w:ascii="仿宋_GB2312" w:hAnsi="仿宋_GB2312" w:eastAsia="仿宋_GB2312"/>
          <w:sz w:val="32"/>
          <w:szCs w:val="20"/>
          <w:lang w:val="zh-CN" w:eastAsia="zh-CN" w:bidi="ar-SA"/>
        </w:rPr>
        <w:t>本部门严格落实“过紧日子”要求，厉行节约</w:t>
      </w:r>
      <w:r>
        <w:rPr>
          <w:rFonts w:hint="eastAsia" w:ascii="仿宋_GB2312" w:hAnsi="仿宋_GB2312" w:eastAsia="仿宋_GB2312" w:cs="仿宋_GB2312"/>
          <w:sz w:val="32"/>
          <w:szCs w:val="32"/>
        </w:rPr>
        <w:t>。其中：</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因公出国（境）费支出预算为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黑体"/>
          <w:color w:val="000000"/>
          <w:kern w:val="0"/>
          <w:sz w:val="32"/>
          <w:szCs w:val="24"/>
          <w:lang w:val="en-US" w:eastAsia="zh-CN" w:bidi="ar-SA"/>
        </w:rPr>
        <w:t>由于年初预算</w:t>
      </w:r>
      <w:r>
        <w:rPr>
          <w:rFonts w:hint="eastAsia" w:ascii="仿宋_GB2312" w:hAnsi="仿宋_GB2312" w:eastAsia="仿宋_GB2312" w:cs="仿宋_GB2312"/>
          <w:color w:val="000000"/>
          <w:kern w:val="0"/>
          <w:sz w:val="32"/>
          <w:szCs w:val="32"/>
          <w:lang w:val="en-US" w:eastAsia="zh-CN" w:bidi="ar-SA"/>
        </w:rPr>
        <w:t>数为0万元，无法计算百分比，决算数等于预算数的主要原因是本部门严格按预算执行决算；与上年一致，无增减变动，主要原因是未安排因公出国（境）活动。</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95.10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11.30</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11.88</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sz w:val="32"/>
          <w:szCs w:val="20"/>
          <w:lang w:val="zh-CN" w:eastAsia="zh-CN" w:bidi="ar-SA"/>
        </w:rPr>
        <w:t>本部门严格落实“过紧日子”要求，厉行节约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w:t>
      </w:r>
      <w:r>
        <w:rPr>
          <w:rFonts w:hint="eastAsia" w:ascii="仿宋_GB2312" w:hAnsi="仿宋_GB2312" w:eastAsia="仿宋_GB2312" w:cs="仿宋_GB2312"/>
          <w:sz w:val="32"/>
          <w:szCs w:val="32"/>
          <w:lang w:val="en-US" w:eastAsia="zh-CN"/>
        </w:rPr>
        <w:t>17.59万元</w:t>
      </w:r>
      <w:r>
        <w:rPr>
          <w:rFonts w:hint="eastAsia" w:ascii="仿宋_GB2312" w:hAnsi="仿宋_GB2312" w:eastAsia="仿宋_GB2312" w:cs="仿宋_GB2312"/>
          <w:sz w:val="32"/>
          <w:szCs w:val="32"/>
        </w:rPr>
        <w:t>相比减少</w:t>
      </w:r>
      <w:r>
        <w:rPr>
          <w:rFonts w:hint="eastAsia" w:ascii="仿宋_GB2312" w:hAnsi="仿宋_GB2312" w:eastAsia="仿宋_GB2312" w:cs="仿宋_GB2312"/>
          <w:sz w:val="32"/>
          <w:szCs w:val="32"/>
          <w:lang w:val="en-US" w:eastAsia="zh-CN"/>
        </w:rPr>
        <w:t>6.29</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35.76</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val="en-US" w:eastAsia="zh-CN"/>
        </w:rPr>
        <w:t>严格执行中央八项规定厉行节约，严控公务接待支出</w:t>
      </w:r>
      <w:r>
        <w:rPr>
          <w:rFonts w:hint="eastAsia" w:ascii="仿宋_GB2312" w:hAnsi="仿宋_GB2312" w:eastAsia="仿宋_GB2312" w:cs="仿宋_GB2312"/>
          <w:sz w:val="32"/>
          <w:szCs w:val="32"/>
        </w:rPr>
        <w:t>。</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公务用车购置费支出预算为</w:t>
      </w:r>
      <w:r>
        <w:rPr>
          <w:rFonts w:hint="eastAsia" w:ascii="仿宋_GB2312" w:hAnsi="仿宋_GB2312" w:eastAsia="仿宋_GB2312" w:cs="仿宋_GB2312"/>
          <w:sz w:val="32"/>
          <w:szCs w:val="32"/>
          <w:lang w:val="en-US" w:eastAsia="zh-CN"/>
        </w:rPr>
        <w:t>35.96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35.96</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w:t>
      </w:r>
      <w:r>
        <w:rPr>
          <w:rFonts w:hint="eastAsia" w:ascii="仿宋_GB2312" w:hAnsi="仿宋_GB2312" w:eastAsia="仿宋_GB2312" w:cs="黑体"/>
          <w:color w:val="000000"/>
          <w:kern w:val="0"/>
          <w:sz w:val="32"/>
          <w:szCs w:val="24"/>
          <w:lang w:val="en-US" w:eastAsia="zh-CN" w:bidi="ar-SA"/>
        </w:rPr>
        <w:t>严格按预算执行决算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w:t>
      </w:r>
      <w:r>
        <w:rPr>
          <w:rFonts w:hint="eastAsia" w:ascii="仿宋_GB2312" w:hAnsi="仿宋_GB2312" w:eastAsia="仿宋_GB2312" w:cs="仿宋_GB2312"/>
          <w:sz w:val="32"/>
          <w:szCs w:val="32"/>
          <w:lang w:val="en-US" w:eastAsia="zh-CN"/>
        </w:rPr>
        <w:t>0万元</w:t>
      </w:r>
      <w:r>
        <w:rPr>
          <w:rFonts w:hint="eastAsia" w:ascii="仿宋_GB2312" w:hAnsi="仿宋_GB2312" w:eastAsia="仿宋_GB2312" w:cs="仿宋_GB2312"/>
          <w:sz w:val="32"/>
          <w:szCs w:val="32"/>
        </w:rPr>
        <w:t>相比增加</w:t>
      </w:r>
      <w:r>
        <w:rPr>
          <w:rFonts w:hint="eastAsia" w:ascii="仿宋_GB2312" w:hAnsi="仿宋_GB2312" w:eastAsia="仿宋_GB2312" w:cs="仿宋_GB2312"/>
          <w:sz w:val="32"/>
          <w:szCs w:val="32"/>
          <w:lang w:val="en-US" w:eastAsia="zh-CN"/>
        </w:rPr>
        <w:t>35.96</w:t>
      </w:r>
      <w:r>
        <w:rPr>
          <w:rFonts w:hint="eastAsia" w:ascii="仿宋_GB2312" w:hAnsi="仿宋_GB2312" w:eastAsia="仿宋_GB2312" w:cs="仿宋_GB2312"/>
          <w:sz w:val="32"/>
          <w:szCs w:val="32"/>
        </w:rPr>
        <w:t>万元，</w:t>
      </w:r>
      <w:r>
        <w:rPr>
          <w:rFonts w:hint="eastAsia" w:ascii="仿宋_GB2312" w:hAnsi="仿宋_GB2312" w:eastAsia="仿宋_GB2312" w:cs="黑体"/>
          <w:color w:val="000000"/>
          <w:kern w:val="0"/>
          <w:sz w:val="32"/>
          <w:szCs w:val="24"/>
          <w:lang w:val="en-US" w:eastAsia="zh-CN" w:bidi="ar-SA"/>
        </w:rPr>
        <w:t>由于上年为0万元，无法计算百分比</w:t>
      </w:r>
      <w:r>
        <w:rPr>
          <w:rFonts w:hint="eastAsia" w:ascii="仿宋_GB2312" w:hAnsi="仿宋_GB2312" w:eastAsia="仿宋_GB2312" w:cs="仿宋_GB2312"/>
          <w:sz w:val="32"/>
          <w:szCs w:val="32"/>
        </w:rPr>
        <w:t>,增长的主要原因是</w:t>
      </w:r>
      <w:r>
        <w:rPr>
          <w:rFonts w:hint="eastAsia" w:ascii="仿宋_GB2312" w:hAnsi="仿宋_GB2312" w:eastAsia="仿宋_GB2312" w:cs="仿宋_GB2312"/>
          <w:sz w:val="32"/>
          <w:szCs w:val="32"/>
          <w:lang w:eastAsia="zh-CN"/>
        </w:rPr>
        <w:t>本系统</w:t>
      </w:r>
      <w:r>
        <w:rPr>
          <w:rFonts w:hint="eastAsia" w:ascii="仿宋_GB2312" w:hAnsi="仿宋_GB2312" w:eastAsia="仿宋_GB2312" w:cs="仿宋_GB2312"/>
          <w:sz w:val="32"/>
          <w:szCs w:val="32"/>
          <w:lang w:val="en-US" w:eastAsia="zh-CN"/>
        </w:rPr>
        <w:t>2台公务车已达报废年限，无法继续使用，经市机关事务管理局批准，拍卖旧车后重新购置新的公务用车</w:t>
      </w:r>
      <w:r>
        <w:rPr>
          <w:rFonts w:hint="eastAsia" w:ascii="仿宋_GB2312" w:hAnsi="仿宋_GB2312" w:eastAsia="仿宋_GB2312" w:cs="仿宋_GB2312"/>
          <w:sz w:val="32"/>
          <w:szCs w:val="32"/>
        </w:rPr>
        <w:t>。</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56.00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47.20</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84.29</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sz w:val="32"/>
          <w:szCs w:val="32"/>
          <w:lang w:eastAsia="zh-CN"/>
        </w:rPr>
        <w:t>本单位厉行节约；</w:t>
      </w:r>
      <w:r>
        <w:rPr>
          <w:rFonts w:hint="eastAsia" w:ascii="仿宋_GB2312" w:hAnsi="仿宋_GB2312" w:eastAsia="仿宋_GB2312" w:cs="仿宋_GB2312"/>
          <w:sz w:val="32"/>
          <w:szCs w:val="32"/>
        </w:rPr>
        <w:t>与上年</w:t>
      </w:r>
      <w:r>
        <w:rPr>
          <w:rFonts w:hint="eastAsia" w:ascii="仿宋_GB2312" w:hAnsi="仿宋_GB2312" w:eastAsia="仿宋_GB2312" w:cs="仿宋_GB2312"/>
          <w:sz w:val="32"/>
          <w:szCs w:val="32"/>
          <w:lang w:val="en-US" w:eastAsia="zh-CN"/>
        </w:rPr>
        <w:t>48.87万元</w:t>
      </w:r>
      <w:r>
        <w:rPr>
          <w:rFonts w:hint="eastAsia" w:ascii="仿宋_GB2312" w:hAnsi="仿宋_GB2312" w:eastAsia="仿宋_GB2312" w:cs="仿宋_GB2312"/>
          <w:sz w:val="32"/>
          <w:szCs w:val="32"/>
        </w:rPr>
        <w:t>相比减少</w:t>
      </w:r>
      <w:r>
        <w:rPr>
          <w:rFonts w:hint="eastAsia" w:ascii="仿宋_GB2312" w:hAnsi="仿宋_GB2312" w:eastAsia="仿宋_GB2312" w:cs="仿宋_GB2312"/>
          <w:sz w:val="32"/>
          <w:szCs w:val="32"/>
          <w:lang w:val="en-US" w:eastAsia="zh-CN"/>
        </w:rPr>
        <w:t>1.67</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3.42</w:t>
      </w:r>
      <w:r>
        <w:rPr>
          <w:rFonts w:hint="eastAsia" w:ascii="仿宋_GB2312" w:hAnsi="仿宋_GB2312" w:eastAsia="仿宋_GB2312" w:cs="仿宋_GB2312"/>
          <w:sz w:val="32"/>
          <w:szCs w:val="32"/>
        </w:rPr>
        <w:t>%,减少的主要原因是</w:t>
      </w:r>
      <w:r>
        <w:rPr>
          <w:rFonts w:hint="eastAsia" w:ascii="仿宋_GB2312" w:hAnsi="仿宋_GB2312" w:eastAsia="仿宋_GB2312"/>
          <w:sz w:val="32"/>
          <w:szCs w:val="20"/>
          <w:lang w:val="zh-CN" w:eastAsia="zh-CN" w:bidi="ar-SA"/>
        </w:rPr>
        <w:t>本部门严格落实“过紧日子”要求厉行节约</w:t>
      </w:r>
      <w:r>
        <w:rPr>
          <w:rFonts w:hint="eastAsia" w:ascii="仿宋_GB2312" w:hAnsi="仿宋_GB2312" w:eastAsia="仿宋_GB2312" w:cs="仿宋_GB2312"/>
          <w:sz w:val="32"/>
          <w:szCs w:val="32"/>
          <w:lang w:eastAsia="zh-CN"/>
        </w:rPr>
        <w:t>，严控公务用车支出</w:t>
      </w:r>
      <w:r>
        <w:rPr>
          <w:rFonts w:hint="eastAsia" w:ascii="仿宋_GB2312" w:hAnsi="仿宋_GB2312" w:eastAsia="仿宋_GB2312" w:cs="仿宋_GB2312"/>
          <w:sz w:val="32"/>
          <w:szCs w:val="32"/>
        </w:rPr>
        <w:t>。</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11.30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11.96</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83.16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88.04</w:t>
      </w:r>
      <w:r>
        <w:rPr>
          <w:rFonts w:hint="eastAsia" w:ascii="仿宋_GB2312" w:hAnsi="仿宋_GB2312" w:eastAsia="仿宋_GB2312" w:cs="仿宋_GB2312"/>
          <w:sz w:val="32"/>
          <w:szCs w:val="32"/>
        </w:rPr>
        <w:t>%。其中：</w:t>
      </w:r>
    </w:p>
    <w:p>
      <w:pPr>
        <w:pStyle w:val="16"/>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万元，全年安排因公出国（境）团组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w:t>
      </w:r>
      <w:r>
        <w:rPr>
          <w:rFonts w:hint="eastAsia" w:ascii="仿宋_GB2312" w:hAnsi="仿宋_GB2312" w:eastAsia="仿宋_GB2312" w:cs="仿宋_GB2312"/>
          <w:b/>
          <w:bCs/>
          <w:i/>
          <w:color w:val="auto"/>
          <w:sz w:val="32"/>
          <w:szCs w:val="32"/>
        </w:rPr>
        <w:t>,</w:t>
      </w:r>
      <w:r>
        <w:rPr>
          <w:rFonts w:hint="eastAsia" w:ascii="仿宋_GB2312" w:hAnsi="仿宋_GB2312" w:eastAsia="仿宋_GB2312" w:cs="Times New Roman"/>
          <w:color w:val="auto"/>
          <w:kern w:val="2"/>
          <w:sz w:val="32"/>
          <w:szCs w:val="20"/>
          <w:lang w:val="en-US" w:eastAsia="zh-CN" w:bidi="ar-SA"/>
        </w:rPr>
        <w:t>我单位2023年度无因公出国（境）费支出。</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11.30</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160余</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808余</w:t>
      </w:r>
      <w:r>
        <w:rPr>
          <w:rFonts w:hint="eastAsia" w:ascii="仿宋_GB2312" w:hAnsi="仿宋_GB2312" w:eastAsia="仿宋_GB2312" w:cs="仿宋_GB2312"/>
          <w:sz w:val="32"/>
          <w:szCs w:val="32"/>
        </w:rPr>
        <w:t>人次，主要是</w:t>
      </w:r>
      <w:r>
        <w:rPr>
          <w:rFonts w:hint="eastAsia" w:ascii="仿宋_GB2312" w:hAnsi="仿宋_GB2312" w:eastAsia="仿宋_GB2312" w:cs="仿宋_GB2312"/>
          <w:kern w:val="2"/>
          <w:sz w:val="32"/>
          <w:szCs w:val="32"/>
          <w:lang w:val="en-US" w:eastAsia="zh-CN" w:bidi="ar-SA"/>
        </w:rPr>
        <w:t>与有关单位交流工作情况及接受相关部门检查指导工作发生的接待支出</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83.16</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35.96</w:t>
      </w:r>
      <w:r>
        <w:rPr>
          <w:rFonts w:hint="eastAsia" w:ascii="仿宋_GB2312" w:hAnsi="仿宋_GB2312" w:eastAsia="仿宋_GB2312" w:cs="仿宋_GB2312"/>
          <w:sz w:val="32"/>
          <w:szCs w:val="32"/>
        </w:rPr>
        <w:t>万元，</w:t>
      </w:r>
      <w:r>
        <w:rPr>
          <w:rFonts w:hint="eastAsia" w:ascii="仿宋_GB2312" w:hAnsi="仿宋_GB2312" w:eastAsia="仿宋_GB2312" w:cs="Times New Roman"/>
          <w:color w:val="auto"/>
          <w:kern w:val="2"/>
          <w:sz w:val="32"/>
          <w:szCs w:val="20"/>
          <w:lang w:val="en-US" w:eastAsia="zh-CN" w:bidi="ar-SA"/>
        </w:rPr>
        <w:t>局机关和局属二级机构岳阳市农业综合行政执法支队更新公务用车2辆</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47.20</w:t>
      </w:r>
      <w:r>
        <w:rPr>
          <w:rFonts w:hint="eastAsia" w:ascii="仿宋_GB2312" w:hAnsi="仿宋_GB2312" w:eastAsia="仿宋_GB2312" w:cs="仿宋_GB2312"/>
          <w:sz w:val="32"/>
          <w:szCs w:val="32"/>
        </w:rPr>
        <w:t>万元，</w:t>
      </w:r>
      <w:r>
        <w:rPr>
          <w:rFonts w:hint="eastAsia" w:ascii="仿宋_GB2312" w:hAnsi="仿宋_GB2312" w:eastAsia="仿宋_GB2312" w:cs="仿宋_GB2312"/>
          <w:kern w:val="2"/>
          <w:sz w:val="32"/>
          <w:szCs w:val="32"/>
          <w:lang w:val="en-US" w:eastAsia="zh-CN" w:bidi="ar-SA"/>
        </w:rPr>
        <w:t>主要是按规定保留的公务用车的燃料费、维修费、过桥过路费、保险费、安全奖励费用等支出。</w:t>
      </w:r>
      <w:r>
        <w:rPr>
          <w:rFonts w:hint="eastAsia" w:ascii="仿宋_GB2312" w:hAnsi="仿宋_GB2312" w:eastAsia="仿宋_GB2312" w:cs="仿宋_GB2312"/>
          <w:sz w:val="32"/>
          <w:szCs w:val="32"/>
        </w:rPr>
        <w:t>截止202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年12月31日，</w:t>
      </w:r>
      <w:r>
        <w:rPr>
          <w:rFonts w:hint="eastAsia" w:ascii="仿宋_GB2312" w:hAnsi="仿宋_GB2312" w:eastAsia="仿宋_GB2312" w:cs="仿宋_GB2312"/>
          <w:sz w:val="32"/>
          <w:szCs w:val="32"/>
          <w:lang w:eastAsia="zh-CN"/>
        </w:rPr>
        <w:t>本部门</w:t>
      </w:r>
      <w:r>
        <w:rPr>
          <w:rFonts w:hint="eastAsia" w:ascii="仿宋_GB2312" w:hAnsi="仿宋_GB2312" w:eastAsia="仿宋_GB2312" w:cs="仿宋_GB2312"/>
          <w:sz w:val="32"/>
          <w:szCs w:val="32"/>
        </w:rPr>
        <w:t>开支财政拨款的公务用车保有量为</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辆。</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rPr>
        <w:t>本部门</w:t>
      </w:r>
      <w:r>
        <w:rPr>
          <w:rFonts w:hint="eastAsia" w:ascii="仿宋_GB2312" w:hAnsi="仿宋_GB2312" w:eastAsia="仿宋_GB2312" w:cs="仿宋_GB2312"/>
          <w:sz w:val="32"/>
          <w:szCs w:val="32"/>
          <w:lang w:eastAsia="zh-CN"/>
        </w:rPr>
        <w:t>仅本级为行政单位，所属二级机构均为事业单位，按照机关运行经费的口径，</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w:t>
      </w:r>
      <w:r>
        <w:rPr>
          <w:rFonts w:hint="eastAsia" w:ascii="仿宋_GB2312" w:hAnsi="仿宋_GB2312" w:eastAsia="仿宋_GB2312" w:cs="仿宋_GB2312"/>
          <w:sz w:val="32"/>
          <w:szCs w:val="32"/>
          <w:lang w:val="en-US" w:eastAsia="zh-CN"/>
        </w:rPr>
        <w:t>312.42</w:t>
      </w:r>
      <w:r>
        <w:rPr>
          <w:rFonts w:hint="eastAsia" w:ascii="仿宋_GB2312" w:hAnsi="仿宋_GB2312" w:eastAsia="仿宋_GB2312" w:cs="仿宋_GB2312"/>
          <w:sz w:val="32"/>
          <w:szCs w:val="32"/>
        </w:rPr>
        <w:t>万元，</w:t>
      </w:r>
      <w:r>
        <w:rPr>
          <w:rFonts w:hint="eastAsia" w:ascii="仿宋_GB2312" w:hAnsi="仿宋_GB2312" w:eastAsia="仿宋_GB2312" w:cs="Times New Roman"/>
          <w:color w:val="auto"/>
          <w:kern w:val="2"/>
          <w:sz w:val="32"/>
          <w:szCs w:val="20"/>
          <w:lang w:val="en-US" w:eastAsia="zh-CN" w:bidi="ar-SA"/>
        </w:rPr>
        <w:t>比年初预算数300.95万元增加了11.47万元，增加3.81%，主要原因是</w:t>
      </w:r>
      <w:r>
        <w:rPr>
          <w:rFonts w:hint="eastAsia" w:ascii="仿宋_GB2312" w:hAnsi="仿宋_GB2312" w:eastAsia="仿宋_GB2312" w:cs="仿宋_GB2312"/>
          <w:kern w:val="2"/>
          <w:sz w:val="32"/>
          <w:szCs w:val="32"/>
          <w:lang w:val="en-US" w:eastAsia="zh-CN" w:bidi="ar-SA"/>
        </w:rPr>
        <w:t>市本级1.35万元/人公用经费预算标准与兄弟市州相比略微偏低，比2022年决算数401.67万元减少了89.25万元，减少22.22%，主要原因是</w:t>
      </w:r>
      <w:r>
        <w:rPr>
          <w:rFonts w:hint="eastAsia" w:ascii="仿宋_GB2312" w:hAnsi="仿宋_GB2312" w:eastAsia="仿宋_GB2312"/>
          <w:sz w:val="32"/>
          <w:szCs w:val="20"/>
          <w:lang w:val="zh-CN" w:eastAsia="zh-CN" w:bidi="ar-SA"/>
        </w:rPr>
        <w:t>本部门严格落实“过紧日子”要求，厉行节约</w:t>
      </w:r>
      <w:r>
        <w:rPr>
          <w:rFonts w:hint="eastAsia" w:ascii="仿宋_GB2312" w:hAnsi="仿宋_GB2312" w:eastAsia="仿宋_GB2312" w:cs="仿宋_GB2312"/>
          <w:kern w:val="2"/>
          <w:sz w:val="32"/>
          <w:szCs w:val="32"/>
          <w:lang w:val="en-US" w:eastAsia="zh-CN" w:bidi="ar-SA"/>
        </w:rPr>
        <w:t>，严控机关运行经费支出。</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Times New Roman"/>
          <w:color w:val="auto"/>
          <w:kern w:val="2"/>
          <w:sz w:val="32"/>
          <w:szCs w:val="20"/>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w:t>
      </w:r>
      <w:r>
        <w:rPr>
          <w:rFonts w:hint="eastAsia" w:ascii="仿宋_GB2312" w:hAnsi="仿宋_GB2312" w:eastAsia="仿宋_GB2312" w:cs="Times New Roman"/>
          <w:color w:val="auto"/>
          <w:kern w:val="2"/>
          <w:sz w:val="32"/>
          <w:szCs w:val="20"/>
          <w:lang w:val="en-US" w:eastAsia="zh-CN" w:bidi="ar-SA"/>
        </w:rPr>
        <w:t>议费年初预算48万元（其中：一般公共预算基本支出会议费预算6万元、项目支出会议费预算42万元），</w:t>
      </w:r>
      <w:r>
        <w:rPr>
          <w:rFonts w:hint="eastAsia" w:ascii="仿宋_GB2312" w:hAnsi="仿宋_GB2312" w:eastAsia="仿宋_GB2312" w:cs="仿宋_GB2312"/>
          <w:sz w:val="32"/>
          <w:szCs w:val="32"/>
          <w:lang w:val="en-US" w:eastAsia="zh-CN"/>
        </w:rPr>
        <w:t>支出决算为34.88万元，完成年初预算的72.67%。用于召开</w:t>
      </w:r>
      <w:r>
        <w:rPr>
          <w:rFonts w:hint="eastAsia" w:ascii="仿宋_GB2312" w:hAnsi="仿宋_GB2312" w:eastAsia="仿宋_GB2312" w:cs="Times New Roman"/>
          <w:color w:val="auto"/>
          <w:kern w:val="2"/>
          <w:sz w:val="32"/>
          <w:szCs w:val="20"/>
          <w:lang w:val="en-US" w:eastAsia="zh-CN" w:bidi="ar-SA"/>
        </w:rPr>
        <w:t>“三农”工作相关会议，人数约795人，内容围绕高标准农田建设、长江经济带绿色发展、农业产业化特色小镇建设、农产品质量安全监管等“三农”工作职责。</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Times New Roman"/>
          <w:color w:val="auto"/>
          <w:kern w:val="2"/>
          <w:sz w:val="32"/>
          <w:szCs w:val="20"/>
          <w:lang w:val="en-US" w:eastAsia="zh-CN" w:bidi="ar-SA"/>
        </w:rPr>
      </w:pPr>
      <w:r>
        <w:rPr>
          <w:rFonts w:hint="eastAsia" w:ascii="仿宋_GB2312" w:hAnsi="仿宋_GB2312" w:eastAsia="仿宋_GB2312" w:cs="Times New Roman"/>
          <w:color w:val="auto"/>
          <w:kern w:val="2"/>
          <w:sz w:val="32"/>
          <w:szCs w:val="20"/>
          <w:lang w:val="en-US" w:eastAsia="zh-CN" w:bidi="ar-SA"/>
        </w:rPr>
        <w:t>培训费年初预算75万元（其中：一般公共预算基本支出培训费预算7万元、项目支出培训费预算68万元）</w:t>
      </w:r>
      <w:r>
        <w:rPr>
          <w:rFonts w:hint="eastAsia" w:ascii="仿宋_GB2312" w:hAnsi="仿宋_GB2312" w:eastAsia="仿宋_GB2312" w:cs="仿宋_GB2312"/>
          <w:color w:val="000000"/>
          <w:kern w:val="0"/>
          <w:sz w:val="32"/>
          <w:szCs w:val="32"/>
          <w:lang w:val="en-US" w:eastAsia="zh-CN" w:bidi="ar-SA"/>
        </w:rPr>
        <w:t>，支出决算为73.26万元，完成年初预算的97.68%。</w:t>
      </w:r>
      <w:r>
        <w:rPr>
          <w:rFonts w:hint="eastAsia" w:ascii="仿宋_GB2312" w:hAnsi="仿宋_GB2312" w:eastAsia="仿宋_GB2312" w:cs="Times New Roman"/>
          <w:color w:val="auto"/>
          <w:kern w:val="2"/>
          <w:sz w:val="32"/>
          <w:szCs w:val="20"/>
          <w:lang w:val="en-US" w:eastAsia="zh-CN" w:bidi="ar-SA"/>
        </w:rPr>
        <w:t>用于开展“三农”工作相关业务培训，人数约1670人，围绕种植技术、黄茶加工技术、生猪复养复产技术、农机安全监理法规知识等“三农”相关业务。</w:t>
      </w:r>
    </w:p>
    <w:p>
      <w:pPr>
        <w:pStyle w:val="16"/>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eastAsia="zh-CN"/>
        </w:rPr>
        <w:t>举办节庆、晚会、论坛、赛事活动</w:t>
      </w:r>
      <w:r>
        <w:rPr>
          <w:rFonts w:hint="eastAsia" w:ascii="仿宋_GB2312" w:hAnsi="仿宋_GB2312" w:eastAsia="仿宋_GB2312" w:cs="仿宋_GB2312"/>
          <w:b w:val="0"/>
          <w:bCs/>
          <w:color w:val="auto"/>
          <w:sz w:val="32"/>
          <w:szCs w:val="32"/>
          <w:lang w:val="en-US" w:eastAsia="zh-CN"/>
        </w:rPr>
        <w:t>年初预算0万元，支出决算为0万元，决算数等于年初预算数，主要原因是本单位无举办节庆、晚会、论坛、赛事等活动的预算和支出决算数。</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本部门</w:t>
      </w:r>
      <w:r>
        <w:rPr>
          <w:rFonts w:hint="eastAsia" w:ascii="仿宋_GB2312" w:hAnsi="仿宋_GB2312" w:eastAsia="仿宋_GB2312" w:cs="仿宋_GB2312"/>
          <w:sz w:val="32"/>
          <w:szCs w:val="32"/>
          <w:lang w:val="en-US"/>
        </w:rPr>
        <w:t>2023年度政府采购支出总额1613.54万元，其中：政府采购货物支出519.56万元；政府采购工程支出219.48万元；政府采购服务支出874.5</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val="en-US"/>
        </w:rPr>
        <w:t>万元；授予中小企业合同金额</w:t>
      </w:r>
      <w:r>
        <w:rPr>
          <w:rFonts w:hint="eastAsia" w:ascii="仿宋_GB2312" w:hAnsi="仿宋_GB2312" w:eastAsia="仿宋_GB2312" w:cs="仿宋_GB2312"/>
          <w:sz w:val="32"/>
          <w:szCs w:val="32"/>
          <w:lang w:val="en-US" w:eastAsia="zh-CN"/>
        </w:rPr>
        <w:t>1613.54</w:t>
      </w:r>
      <w:r>
        <w:rPr>
          <w:rFonts w:hint="eastAsia" w:ascii="仿宋_GB2312" w:hAnsi="仿宋_GB2312" w:eastAsia="仿宋_GB2312" w:cs="仿宋_GB2312"/>
          <w:sz w:val="32"/>
          <w:szCs w:val="32"/>
          <w:lang w:val="en-US"/>
        </w:rPr>
        <w:t>万元，占政府采购支出总额的</w:t>
      </w:r>
      <w:bookmarkStart w:id="0" w:name="_GoBack"/>
      <w:bookmarkEnd w:id="0"/>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val="en-US"/>
        </w:rPr>
        <w:t>%，</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其中：授予小微企业合同金额1448.54万元，占授予中小企业合同金额的</w:t>
      </w:r>
      <w:r>
        <w:rPr>
          <w:rFonts w:hint="eastAsia" w:ascii="仿宋_GB2312" w:hAnsi="仿宋_GB2312" w:eastAsia="仿宋_GB2312" w:cs="仿宋_GB2312"/>
          <w:sz w:val="32"/>
          <w:szCs w:val="32"/>
          <w:lang w:val="en-US" w:eastAsia="zh-CN"/>
        </w:rPr>
        <w:t>89.77</w:t>
      </w:r>
      <w:r>
        <w:rPr>
          <w:rFonts w:hint="eastAsia" w:ascii="仿宋_GB2312" w:hAnsi="仿宋_GB2312" w:eastAsia="仿宋_GB2312" w:cs="仿宋_GB2312"/>
          <w:sz w:val="32"/>
          <w:szCs w:val="32"/>
          <w:lang w:val="en-US"/>
        </w:rPr>
        <w:t>%。货物采购授予中小企业合同金额占货物支出金额的100%。工程采购授予中小企业合同金额占工程支出金额的100%。服务采购授予中小企业合同金额占服务支出金额的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val="en-US"/>
        </w:rPr>
        <w:t>%。</w:t>
      </w:r>
    </w:p>
    <w:p>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本部门</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13</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val="en-US"/>
        </w:rPr>
        <w:t>其他用车主要是用于机要通信和应急保障之外公务用途的车辆</w:t>
      </w:r>
      <w:r>
        <w:rPr>
          <w:rFonts w:hint="eastAsia" w:ascii="仿宋_GB2312" w:hAnsi="仿宋_GB2312" w:eastAsia="仿宋_GB2312" w:cs="仿宋_GB2312"/>
          <w:color w:val="auto"/>
          <w:sz w:val="32"/>
          <w:szCs w:val="32"/>
        </w:rPr>
        <w:t>；单位价值100万元以上设备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w:t>
      </w:r>
      <w:r>
        <w:rPr>
          <w:rFonts w:hint="eastAsia" w:ascii="仿宋_GB2312" w:hAnsi="仿宋_GB2312" w:eastAsia="仿宋_GB2312" w:cs="仿宋_GB2312"/>
          <w:sz w:val="32"/>
          <w:szCs w:val="32"/>
          <w:lang w:val="en-US" w:eastAsia="zh-CN"/>
        </w:rPr>
        <w:t>11315.08</w:t>
      </w:r>
      <w:r>
        <w:rPr>
          <w:rFonts w:hint="eastAsia" w:ascii="仿宋_GB2312" w:hAnsi="仿宋_GB2312" w:eastAsia="仿宋_GB2312" w:cs="仿宋_GB2312"/>
          <w:b w:val="0"/>
          <w:bCs w:val="0"/>
          <w:color w:val="000000"/>
          <w:kern w:val="0"/>
          <w:sz w:val="32"/>
          <w:szCs w:val="32"/>
          <w:lang w:val="en-US" w:eastAsia="zh-CN" w:bidi="ar-SA"/>
        </w:rPr>
        <w:t>万元，政府性基金预算支出0万元，国有资本经营预算支出0万元。从评价情况来看，整体支出绩效评价中，2023年整体支出</w:t>
      </w:r>
      <w:r>
        <w:rPr>
          <w:rFonts w:hint="eastAsia" w:ascii="仿宋_GB2312" w:hAnsi="仿宋_GB2312" w:eastAsia="仿宋_GB2312" w:cs="仿宋_GB2312"/>
          <w:sz w:val="32"/>
          <w:szCs w:val="32"/>
          <w:lang w:val="en-US" w:eastAsia="zh-CN"/>
        </w:rPr>
        <w:t>11315.08</w:t>
      </w:r>
      <w:r>
        <w:rPr>
          <w:rFonts w:hint="eastAsia" w:ascii="仿宋_GB2312" w:hAnsi="仿宋_GB2312" w:eastAsia="仿宋_GB2312" w:cs="仿宋_GB2312"/>
          <w:b w:val="0"/>
          <w:bCs w:val="0"/>
          <w:color w:val="000000"/>
          <w:kern w:val="0"/>
          <w:sz w:val="32"/>
          <w:szCs w:val="32"/>
          <w:lang w:val="en-US" w:eastAsia="zh-CN" w:bidi="ar-SA"/>
        </w:rPr>
        <w:t>万元，其中：基本支出8328.85万元，项目支出2986.23万元，本单位整体支出绩效自评综合评分9.61分，评价结果等次为优。</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18个，共涉及资金2986.23万元，占一般公共预算项目支出总额的100%。组织对政府性基金预算项目支出开展绩效自评，项目0个，共涉及资金0万元，故无法计算占政府性基金预算项目支出总额的百分比。组织对国有资本经营预算项目支出开展绩效自评，项目0个，共涉及资金0万元，故无法计算占国有资本经营预算项目支出总额的百分比。从评价情况来看，项目绩效自评得分10分，评价结果等次为优。</w:t>
      </w:r>
    </w:p>
    <w:p>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部门整体支出绩效情况</w:t>
      </w:r>
    </w:p>
    <w:p>
      <w:pPr>
        <w:keepNext w:val="0"/>
        <w:keepLines w:val="0"/>
        <w:pageBreakBefore w:val="0"/>
        <w:widowControl w:val="0"/>
        <w:numPr>
          <w:ilvl w:val="0"/>
          <w:numId w:val="0"/>
        </w:numPr>
        <w:kinsoku/>
        <w:wordWrap/>
        <w:overflowPunct/>
        <w:topLinePunct w:val="0"/>
        <w:autoSpaceDE/>
        <w:autoSpaceDN/>
        <w:bidi w:val="0"/>
        <w:spacing w:line="620" w:lineRule="exact"/>
        <w:ind w:firstLine="640" w:firstLineChars="200"/>
        <w:jc w:val="both"/>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根据年初设定的绩效目标，绩效自评得分为9.61分。全年预算数为7303.63万元，执行数为11315.08万元，完成预算的154.92%。绩效目标完成情况：</w:t>
      </w:r>
      <w:r>
        <w:rPr>
          <w:rFonts w:hint="eastAsia" w:ascii="仿宋_GB2312" w:eastAsia="仿宋_GB2312" w:cs="Times New Roman"/>
          <w:sz w:val="32"/>
          <w:szCs w:val="32"/>
          <w:lang w:val="en-US" w:eastAsia="zh-CN"/>
        </w:rPr>
        <w:t>2023年，岳阳市农业农村</w:t>
      </w:r>
      <w:r>
        <w:rPr>
          <w:rFonts w:hint="default" w:ascii="仿宋_GB2312" w:eastAsia="仿宋_GB2312" w:cs="Times New Roman"/>
          <w:sz w:val="32"/>
          <w:szCs w:val="32"/>
          <w:lang w:eastAsia="zh-CN"/>
        </w:rPr>
        <w:t>局</w:t>
      </w:r>
      <w:r>
        <w:rPr>
          <w:rFonts w:hint="eastAsia" w:ascii="仿宋_GB2312" w:eastAsia="仿宋_GB2312" w:cs="Times New Roman"/>
          <w:sz w:val="32"/>
          <w:szCs w:val="32"/>
          <w:lang w:val="en-US" w:eastAsia="zh-CN"/>
        </w:rPr>
        <w:t>系统坚决</w:t>
      </w:r>
      <w:r>
        <w:rPr>
          <w:rFonts w:hint="default" w:ascii="仿宋_GB2312" w:eastAsia="仿宋_GB2312" w:cs="Times New Roman"/>
          <w:sz w:val="32"/>
          <w:szCs w:val="32"/>
          <w:lang w:eastAsia="zh-CN"/>
        </w:rPr>
        <w:t>贯彻落实中央、省、市关</w:t>
      </w:r>
      <w:r>
        <w:rPr>
          <w:rFonts w:hint="eastAsia" w:ascii="仿宋_GB2312" w:hAnsi="仿宋_GB2312" w:eastAsia="仿宋_GB2312" w:cs="仿宋_GB2312"/>
          <w:sz w:val="32"/>
          <w:szCs w:val="32"/>
          <w:lang w:eastAsia="zh-CN"/>
        </w:rPr>
        <w:t>于“三农”决策部署</w:t>
      </w:r>
      <w:r>
        <w:rPr>
          <w:rFonts w:hint="default" w:ascii="仿宋_GB2312" w:eastAsia="仿宋_GB2312" w:cs="Times New Roman"/>
          <w:sz w:val="32"/>
          <w:szCs w:val="32"/>
          <w:lang w:eastAsia="zh-CN"/>
        </w:rPr>
        <w:t>，</w:t>
      </w:r>
      <w:r>
        <w:rPr>
          <w:rFonts w:hint="eastAsia" w:ascii="仿宋_GB2312" w:hAnsi="仿宋_GB2312" w:eastAsia="仿宋_GB2312" w:cs="仿宋_GB2312"/>
          <w:b w:val="0"/>
          <w:bCs w:val="0"/>
          <w:color w:val="000000"/>
          <w:kern w:val="0"/>
          <w:sz w:val="32"/>
          <w:szCs w:val="32"/>
          <w:lang w:val="en-US" w:eastAsia="zh-CN" w:bidi="ar-SA"/>
        </w:rPr>
        <w:t>坚持以党的二十大精神为指引，锚定“三高四新”战略定位和建设名副其实的省域副中心城市使命任务，认真谋划安排新时代新征程“三农”工作，加快建设农业强市，</w:t>
      </w:r>
      <w:r>
        <w:rPr>
          <w:rFonts w:hint="default" w:ascii="仿宋_GB2312" w:eastAsia="仿宋_GB2312" w:cs="Times New Roman"/>
          <w:sz w:val="32"/>
          <w:szCs w:val="32"/>
          <w:lang w:eastAsia="zh-CN"/>
        </w:rPr>
        <w:t>扎实推进乡村振兴各项工作，取得了突破性成效。</w:t>
      </w:r>
      <w:r>
        <w:rPr>
          <w:rFonts w:hint="eastAsia" w:ascii="仿宋_GB2312" w:hAnsi="仿宋_GB2312" w:eastAsia="仿宋_GB2312" w:cs="仿宋_GB2312"/>
          <w:b w:val="0"/>
          <w:bCs w:val="0"/>
          <w:color w:val="000000"/>
          <w:kern w:val="0"/>
          <w:sz w:val="32"/>
          <w:szCs w:val="32"/>
          <w:lang w:val="en-US" w:eastAsia="zh-CN" w:bidi="ar-SA"/>
        </w:rPr>
        <w:t>一是夯实农业生产，突出“稳”字统筹全局；二是狠抓强农富农，突出“优”字振兴产业；三是抓好经济带动，突出“富”字带动三农；四</w:t>
      </w:r>
      <w:r>
        <w:rPr>
          <w:rFonts w:hint="eastAsia" w:ascii="仿宋_GB2312" w:hAnsi="仿宋_GB2312" w:eastAsia="仿宋_GB2312" w:cs="仿宋_GB2312"/>
          <w:sz w:val="32"/>
          <w:szCs w:val="32"/>
          <w:lang w:val="en-US" w:eastAsia="zh-CN"/>
        </w:rPr>
        <w:t>是坚持绿色发展，突出“美”字改善民生；五是注重科技赋能，突出“活”字引领创新；六是深化农村改革，突出“强”字筑牢基础；七是抓好中心工作，突出“实”字提升服务；</w:t>
      </w:r>
      <w:r>
        <w:rPr>
          <w:rFonts w:hint="eastAsia" w:ascii="仿宋_GB2312" w:hAnsi="仿宋_GB2312" w:eastAsia="仿宋_GB2312" w:cs="仿宋_GB2312"/>
          <w:b w:val="0"/>
          <w:bCs w:val="0"/>
          <w:color w:val="000000"/>
          <w:kern w:val="0"/>
          <w:sz w:val="32"/>
          <w:szCs w:val="32"/>
          <w:lang w:val="en-US" w:eastAsia="zh-CN" w:bidi="ar-SA"/>
        </w:rPr>
        <w:t>发现的主要问题及原因：一是产业融合不够；二是龙头企业不强；三是县域经济实力还不强。下一步改进措施：一是实施农田产能提升行动；二是实施优势特色产业升级行动；三是</w:t>
      </w:r>
      <w:r>
        <w:rPr>
          <w:rFonts w:hint="eastAsia" w:ascii="仿宋_GB2312" w:hAnsi="仿宋_GB2312" w:eastAsia="仿宋_GB2312" w:cs="仿宋_GB2312"/>
          <w:sz w:val="32"/>
          <w:szCs w:val="32"/>
          <w:lang w:val="en-US" w:eastAsia="zh-CN"/>
        </w:rPr>
        <w:t>实施乡村治理效能提档行动；四是实施农村改革赋能行动；五是实施和美乡村示范创建行</w:t>
      </w:r>
      <w:r>
        <w:rPr>
          <w:rFonts w:hint="eastAsia" w:ascii="仿宋_GB2312" w:hAnsi="仿宋_GB2312" w:eastAsia="仿宋_GB2312" w:cs="仿宋_GB2312"/>
          <w:b w:val="0"/>
          <w:bCs w:val="0"/>
          <w:color w:val="000000"/>
          <w:kern w:val="0"/>
          <w:sz w:val="32"/>
          <w:szCs w:val="32"/>
          <w:lang w:val="en-US" w:eastAsia="zh-CN" w:bidi="ar-SA"/>
        </w:rPr>
        <w:t>动；六是实施农户增收共富行动。</w:t>
      </w:r>
    </w:p>
    <w:p>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发现的主要问题及原因：预算编制有待更严格执行，预算编制与实际支出项目有的存在差异，专项支出有待进一步加强。下一步改进措施：一是按照预算规定的项目和用途严格财务审计，经费支出严格按预算规定项目的财务支出内容进行财务预算，在预算金额内严格控制费用的支出。二是进一步细化“三公”经费管理，杜绝挪用和挤占其他预算资金。三是预算财务分析常态化，定期做好预算支出财务分析，做好部门整体支出预算评价工作。</w:t>
      </w:r>
    </w:p>
    <w:p>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pPr>
        <w:pStyle w:val="16"/>
        <w:jc w:val="both"/>
        <w:rPr>
          <w:sz w:val="72"/>
          <w:szCs w:val="72"/>
        </w:rPr>
      </w:pPr>
    </w:p>
    <w:p>
      <w:pPr>
        <w:pStyle w:val="16"/>
        <w:jc w:val="center"/>
        <w:rPr>
          <w:sz w:val="72"/>
          <w:szCs w:val="72"/>
        </w:rPr>
      </w:pPr>
    </w:p>
    <w:p>
      <w:pPr>
        <w:pStyle w:val="16"/>
        <w:jc w:val="center"/>
        <w:rPr>
          <w:rFonts w:hint="eastAsia" w:ascii="方正小标宋_GBK" w:hAnsi="方正小标宋_GBK" w:eastAsia="方正小标宋_GBK" w:cs="方正小标宋_GBK"/>
          <w:sz w:val="70"/>
          <w:szCs w:val="70"/>
          <w:lang w:eastAsia="zh-CN"/>
        </w:rPr>
      </w:pPr>
    </w:p>
    <w:p>
      <w:pPr>
        <w:pStyle w:val="16"/>
        <w:jc w:val="center"/>
        <w:rPr>
          <w:rFonts w:hint="eastAsia" w:ascii="方正小标宋_GBK" w:hAnsi="方正小标宋_GBK" w:eastAsia="方正小标宋_GBK" w:cs="方正小标宋_GBK"/>
          <w:sz w:val="70"/>
          <w:szCs w:val="70"/>
          <w:lang w:eastAsia="zh-CN"/>
        </w:rPr>
      </w:pPr>
    </w:p>
    <w:p>
      <w:pPr>
        <w:pStyle w:val="16"/>
        <w:jc w:val="center"/>
        <w:rPr>
          <w:rFonts w:hint="eastAsia" w:ascii="方正小标宋_GBK" w:hAnsi="方正小标宋_GBK" w:eastAsia="方正小标宋_GBK" w:cs="方正小标宋_GBK"/>
          <w:sz w:val="72"/>
          <w:szCs w:val="72"/>
        </w:rPr>
      </w:pPr>
    </w:p>
    <w:p>
      <w:pPr>
        <w:pStyle w:val="16"/>
        <w:jc w:val="center"/>
        <w:rPr>
          <w:rFonts w:hint="eastAsia" w:ascii="方正小标宋_GBK" w:hAnsi="方正小标宋_GBK" w:eastAsia="方正小标宋_GBK" w:cs="方正小标宋_GBK"/>
          <w:sz w:val="72"/>
          <w:szCs w:val="72"/>
        </w:rPr>
      </w:pPr>
    </w:p>
    <w:p>
      <w:pPr>
        <w:pStyle w:val="16"/>
        <w:jc w:val="center"/>
        <w:rPr>
          <w:rFonts w:hint="eastAsia" w:ascii="方正小标宋_GBK" w:hAnsi="方正小标宋_GBK" w:eastAsia="方正小标宋_GBK" w:cs="方正小标宋_GBK"/>
          <w:sz w:val="72"/>
          <w:szCs w:val="72"/>
        </w:rPr>
      </w:pPr>
    </w:p>
    <w:p>
      <w:pPr>
        <w:pStyle w:val="16"/>
        <w:jc w:val="center"/>
        <w:rPr>
          <w:rFonts w:hint="eastAsia" w:ascii="方正小标宋_GBK" w:hAnsi="方正小标宋_GBK" w:eastAsia="方正小标宋_GBK" w:cs="方正小标宋_GBK"/>
          <w:sz w:val="72"/>
          <w:szCs w:val="72"/>
        </w:rPr>
      </w:pPr>
    </w:p>
    <w:p>
      <w:pPr>
        <w:pStyle w:val="16"/>
        <w:jc w:val="center"/>
        <w:rPr>
          <w:rFonts w:hint="eastAsia" w:ascii="方正小标宋_GBK" w:hAnsi="方正小标宋_GBK" w:eastAsia="方正小标宋_GBK" w:cs="方正小标宋_GBK"/>
          <w:sz w:val="72"/>
          <w:szCs w:val="72"/>
        </w:rPr>
      </w:pPr>
    </w:p>
    <w:p>
      <w:pPr>
        <w:pStyle w:val="16"/>
        <w:jc w:val="both"/>
        <w:rPr>
          <w:rFonts w:hint="eastAsia" w:ascii="方正小标宋_GBK" w:hAnsi="方正小标宋_GBK" w:eastAsia="方正小标宋_GBK" w:cs="方正小标宋_GBK"/>
          <w:sz w:val="72"/>
          <w:szCs w:val="72"/>
        </w:rPr>
      </w:pPr>
    </w:p>
    <w:p>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第四部分</w:t>
      </w:r>
    </w:p>
    <w:p>
      <w:pPr>
        <w:pStyle w:val="16"/>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rPr>
        <w:t>名词解释</w:t>
      </w:r>
    </w:p>
    <w:p>
      <w:pPr>
        <w:pStyle w:val="11"/>
      </w:pPr>
    </w:p>
    <w:p>
      <w:pPr>
        <w:pStyle w:val="7"/>
      </w:pPr>
    </w:p>
    <w:p/>
    <w:p>
      <w:pPr>
        <w:pStyle w:val="11"/>
      </w:pPr>
    </w:p>
    <w:p>
      <w:pPr>
        <w:pStyle w:val="7"/>
      </w:pPr>
    </w:p>
    <w:p/>
    <w:p>
      <w:pPr>
        <w:pStyle w:val="11"/>
      </w:pPr>
    </w:p>
    <w:p>
      <w:pPr>
        <w:pStyle w:val="7"/>
      </w:pPr>
    </w:p>
    <w:p/>
    <w:p>
      <w:pPr>
        <w:pStyle w:val="11"/>
      </w:pPr>
    </w:p>
    <w:p>
      <w:pPr>
        <w:pStyle w:val="7"/>
      </w:pPr>
    </w:p>
    <w:p/>
    <w:p>
      <w:pPr>
        <w:pStyle w:val="11"/>
      </w:pPr>
    </w:p>
    <w:p>
      <w:pPr>
        <w:pStyle w:val="7"/>
      </w:pPr>
    </w:p>
    <w:p/>
    <w:p>
      <w:pPr>
        <w:pStyle w:val="2"/>
      </w:pPr>
    </w:p>
    <w:p>
      <w:pPr>
        <w:pStyle w:val="2"/>
      </w:pPr>
    </w:p>
    <w:p>
      <w:pPr>
        <w:pStyle w:val="11"/>
      </w:pP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财政拨款收入：指本级财政当年拨付的资金。</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其他收入：指除上述</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上级补助收入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事业收入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经营收入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附属单位上缴收入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等以外的收入。</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使用非财政拨款结余：指事业单位在当年的</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财政拨款结转和结余资金</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上级补助收入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事业收入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经营收入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附属单位上缴收入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其他收入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不足以安排当年支出情况下，使用以前年度积累的使用非财政拨款结余弥补收支差额的资金（事业单位当年收支相抵后按国家规定提取、用于弥补以后年度收支差额的非财政拨款结余）。</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年初结转和结余：指以前年度尚未完成、结转到本年按有关规定继续使用的资金。</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年末结转和结余资金：指本年度或以前年度预算安排、因客观条件发生变化无法按原计划实施，需要延迟到以后年度按有关规定继续使用的资金。</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科学技术支出（类）：是指用于科学技术方面的支出，包括保障机构正常运转、完成日常和特定的工作任务或事业发展目标的支出。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卫生健康支出（类）：是指用于医疗卫生与计划生育方面的支出，包括保障机构正常运转、完成日常和特定的工作任务或事业发展目标的支出。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节能环保支出（类）：是指用于节能环保支出，包括保障机构正常运转、完成日常和特定的工作任务或事业发展目标的支出。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农林水支出（类）：是指用于农林水事务支出，包括保障机构正常运转、完成日常和特定的工作任务或事业发展目标的支出。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资源勘探工业信息等支出（类）：是指用于资源勘探、制造业、建筑业、工业信息等方面支出，包括保障机构正常运转、完成日常和特定的工作任务或事业发展目标的支出。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自然资源海洋气象等支出（类）：是指用于自然资源、海洋、测绘、气象等公益服务事业方面的支出，包括保障机构正常运转、完成日常和特定的工作任务或事业发展目标的支出。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住房保障支出（类）：是指用于住房方面的支出，包括保障机构正常运转、完成日常和特定的工作任务或事业发展目标的支出。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其他支出（类）：是指用于反映除上述项目以外其他不能划分到具体功能科目中的支出项目，包括保障机构正常运转、完成日常和特定的工作任务或事业发展目标的支出。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基本支出：指保障机构正常运转、完成支日常工作任务而发生的人员支出和公用支出。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项目支出：指在基本支出之外为完成特定行政任务和事业发展目标所发生的支出。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三公</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工资福利支出：反映单位开支的在职职工和编制外长期聘用人员的各类劳动报酬，以及为上述人员缴纳的各项社会保险费等。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津贴补贴：反映经国家批准建立的机关事业单位艰苦边远地区津贴、机关工作人员地区附加津贴、机关工作人员岗位津贴、事业单位工作人员特殊岗位津贴补贴等。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奖金：反映机关工作人员年终一次性奖金。</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伙食补助费：反映单位发给职工的伙食补助费，如误餐补助等。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绩效工资：反映事业单位工作人员的绩效工资。</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机关事业单位基本养老保险缴费：反映机关事业单位缴纳的基本养老保险费。由单位代扣的工作人员基本养老保险缴费，不在此科目反映。</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职工基本医疗保险缴费：反映单位为职工缴纳的基本医疗保险费。</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其他社会保障缴费：反映单位为职工缴纳的基本医疗、失业、工伤、生育等社会保险费，残疾人就业保障金，军队（含武警）为军人缴纳的伤亡、退役医疗等社会保险费。</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住房公积金：反映行政事业单位按人力资源和社会保障部、财政部规定的基本工资和津贴补贴以及规定比例为职工缴纳的住房公积金。</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医疗费：反映未参加医疗保险单位的医疗经费和单位按规定为职工支出的其他医疗费用。</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商品和服务支出：反映单位购买商品和服务的支出（不包括用于购置固定资产的支出、战略性和应急储备支出）。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办公费：反映单位购买按财务会计制度规定不符合固定资产确认标准的日常办公用品、书报杂志等支出。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印刷费：反映单位的印刷费支出。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水费：反映单位支付的水费、污水处理费等支出。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电费：反映单位的电费支出。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邮电费：反映单位开支的信函、包裹、货物等物品的邮寄费及电话费、电报费、传真费、网络通讯费等。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物业管理费：反映单位开支的办公用房以及未实行职工住宅物业服务改革的在职职工和离退休人员宿舍等的物业管理费，包括综合治理、绿化、卫生等方面的支出。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差旅费：反映单位工作人员出差发生的城市间交通费、住宿费、伙食补贴费和市内交通费。</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维修(护)费：反映单位日常开支的固定资产（不包括车船等交通工具）修理和维护费用，网络信息系统运行与维护费用，以及按规定提取的修购基金。</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租赁费：反映租赁办公用房、宿舍、专用通讯网以及其他设备等方面的费用。</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会议费：反映会议中按规定开支的住宿费、伙食费、会议室租金、交通费、文件印刷费、医药费等。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培训费：反映除因公出国（境）培训费以外的各类培训支出。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公务接待费：反映单位按规定开支的各类公务接待（含外宾接待）费用。</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专用材料费：反映单位购买日常专用材料的支出。具体包括药品及医疗耗材，农用材料，兽医用品，实验室用品，专用服装，消耗性体育用品，专用工具和仪器，艺术部门专用材料和用品，广播电视台发射台发射机的电力、材料等方面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专用燃料费：反映用作业务工作设备的车、船设施等的油料支出。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劳务费：反映支付给单位和个人的劳务费用，如临时聘用人员、钟点工工资，稿费、翻译费，评审费等。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委托业务费：反映因委托外单位办理业务而支付的委托业务费。</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工会经费：反映单位按规定提取的工会经费。</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福利费：反映单位按规定提取的福利费。</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公务用车运行维护费：反映单位按规定保留的公务用车燃料费、维修费、过桥过路费、保险费、安全奖励费用等支出。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其他交通费用：反映单位除公务用车运行维护费以外的其他交通费用。如公务交通补贴，租车费用、出租车费用，飞机、船舶等的燃料费、维修费、保险费等。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税金及附加费用：反映单位提供劳务或销售产品应负担的税金及附加费用，包括营业税、消费税、城市维护建设税、资源税和教育附加等。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其他商品和服务支出：反映上述科目未包括的日常公用支出。如行政赔偿费和诉讼费、国内组织的会员费、来访费、广告宣传、其他劳务费及离休人员特需费、公用经费等。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对个人和家庭的补助：反映政府用于对个人和家庭的补助支出。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离休费：反映行政事业单位和军队移交政府安置的离休人员的离休费、护理费和其他补贴。</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退休费：反映行政事业单位和军队移交政府安置的退休人员的退休费和其他补贴。</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抚恤金：反映按规定开支的烈士遗属、牺牲病故人员遗属的一次性和定期抚恤金，伤残人员的抚恤金，离退休人员等其他人员的各项抚恤金。</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医疗费：反映行政事业单位在职职工、离退休人员的医疗费，军队移交政府安置的离退休人员的医疗费，学生医疗费，优抚对象医疗补助，以及按国家规定资助农民参加新型农村合作医疗和城镇居民参加城镇居民基本医疗保险的支出和对城乡贫困家庭的医疗救助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奖励金：反映政府各部门的奖励支出，如对个体私营经济的奖励、计划生育目标责任奖励、独生子女父母奖励等。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其他对个人和家庭的补助支出：反映未包括在上述科目的对个人和家庭的补助支出，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办公设备购置：反映用于购置并按财务会计制度规定纳入固定资产核算范围的办公家具和办公设备的支出，以及按规定提取的修购基金。</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公务用车购置：反映公务用车车辆购置支出（含车辆购置税）。</w:t>
      </w:r>
    </w:p>
    <w:p>
      <w:pPr>
        <w:pStyle w:val="16"/>
        <w:jc w:val="center"/>
        <w:rPr>
          <w:rFonts w:hint="eastAsia" w:ascii="方正小标宋_GBK" w:hAnsi="方正小标宋_GBK" w:eastAsia="方正小标宋_GBK" w:cs="方正小标宋_GBK"/>
          <w:sz w:val="72"/>
          <w:szCs w:val="72"/>
        </w:rPr>
      </w:pPr>
    </w:p>
    <w:p>
      <w:pPr>
        <w:pStyle w:val="16"/>
        <w:jc w:val="both"/>
        <w:rPr>
          <w:rFonts w:hint="eastAsia" w:ascii="方正小标宋_GBK" w:hAnsi="方正小标宋_GBK" w:eastAsia="方正小标宋_GBK" w:cs="方正小标宋_GBK"/>
          <w:sz w:val="72"/>
          <w:szCs w:val="72"/>
        </w:rPr>
      </w:pPr>
    </w:p>
    <w:p>
      <w:pPr>
        <w:pStyle w:val="16"/>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rPr>
        <w:t>第</w:t>
      </w:r>
      <w:r>
        <w:rPr>
          <w:rFonts w:hint="eastAsia" w:ascii="方正小标宋_GBK" w:hAnsi="方正小标宋_GBK" w:eastAsia="方正小标宋_GBK" w:cs="方正小标宋_GBK"/>
          <w:sz w:val="84"/>
          <w:szCs w:val="84"/>
          <w:lang w:eastAsia="zh-CN"/>
        </w:rPr>
        <w:t>五</w:t>
      </w:r>
      <w:r>
        <w:rPr>
          <w:rFonts w:hint="eastAsia" w:ascii="方正小标宋_GBK" w:hAnsi="方正小标宋_GBK" w:eastAsia="方正小标宋_GBK" w:cs="方正小标宋_GBK"/>
          <w:sz w:val="84"/>
          <w:szCs w:val="84"/>
        </w:rPr>
        <w:t>部分</w:t>
      </w:r>
    </w:p>
    <w:p>
      <w:pPr>
        <w:pStyle w:val="16"/>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附</w:t>
      </w:r>
      <w:r>
        <w:rPr>
          <w:rFonts w:hint="eastAsia" w:ascii="方正小标宋_GBK" w:hAnsi="方正小标宋_GBK" w:eastAsia="方正小标宋_GBK" w:cs="方正小标宋_GBK"/>
          <w:sz w:val="84"/>
          <w:szCs w:val="84"/>
          <w:lang w:val="en-US" w:eastAsia="zh-CN"/>
        </w:rPr>
        <w:t xml:space="preserve"> </w:t>
      </w:r>
      <w:r>
        <w:rPr>
          <w:rFonts w:hint="eastAsia" w:ascii="方正小标宋_GBK" w:hAnsi="方正小标宋_GBK" w:eastAsia="方正小标宋_GBK" w:cs="方正小标宋_GBK"/>
          <w:sz w:val="84"/>
          <w:szCs w:val="84"/>
          <w:lang w:eastAsia="zh-CN"/>
        </w:rPr>
        <w:t>件</w:t>
      </w:r>
    </w:p>
    <w:p>
      <w:pPr>
        <w:ind w:firstLine="640" w:firstLineChars="200"/>
        <w:jc w:val="left"/>
        <w:rPr>
          <w:rFonts w:hint="eastAsia" w:ascii="宋体" w:hAnsi="宋体" w:eastAsia="宋体" w:cs="黑体"/>
          <w:b/>
          <w:color w:val="000000"/>
          <w:kern w:val="0"/>
          <w:sz w:val="32"/>
          <w:szCs w:val="32"/>
          <w:lang w:val="en-US" w:eastAsia="zh-CN"/>
        </w:rPr>
      </w:pPr>
    </w:p>
    <w:p>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9CB93A"/>
    <w:multiLevelType w:val="singleLevel"/>
    <w:tmpl w:val="FF9CB93A"/>
    <w:lvl w:ilvl="0" w:tentative="0">
      <w:start w:val="15"/>
      <w:numFmt w:val="decimal"/>
      <w:suff w:val="nothing"/>
      <w:lvlText w:val="%1、"/>
      <w:lvlJc w:val="left"/>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6E40498"/>
    <w:multiLevelType w:val="singleLevel"/>
    <w:tmpl w:val="46E40498"/>
    <w:lvl w:ilvl="0" w:tentative="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A2BB0"/>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414167A"/>
    <w:rsid w:val="059958AD"/>
    <w:rsid w:val="06016824"/>
    <w:rsid w:val="064D2943"/>
    <w:rsid w:val="06CC3F1C"/>
    <w:rsid w:val="08A9511E"/>
    <w:rsid w:val="0BCE33C7"/>
    <w:rsid w:val="12583BA5"/>
    <w:rsid w:val="125A7BB8"/>
    <w:rsid w:val="12AF47E8"/>
    <w:rsid w:val="13BA5B9C"/>
    <w:rsid w:val="15431C8F"/>
    <w:rsid w:val="154A1228"/>
    <w:rsid w:val="16F92BCF"/>
    <w:rsid w:val="18A72672"/>
    <w:rsid w:val="1AB47C1B"/>
    <w:rsid w:val="1CDC6D92"/>
    <w:rsid w:val="1D2C44C2"/>
    <w:rsid w:val="1D97DEFF"/>
    <w:rsid w:val="1DFF72E5"/>
    <w:rsid w:val="1EFC6F07"/>
    <w:rsid w:val="1FAD6AA0"/>
    <w:rsid w:val="214541D3"/>
    <w:rsid w:val="21F926C6"/>
    <w:rsid w:val="22AC03C2"/>
    <w:rsid w:val="230A5A0F"/>
    <w:rsid w:val="25E17773"/>
    <w:rsid w:val="2908718D"/>
    <w:rsid w:val="297E78D3"/>
    <w:rsid w:val="2A234584"/>
    <w:rsid w:val="2A852ED3"/>
    <w:rsid w:val="2FDF85B8"/>
    <w:rsid w:val="2FFFEE04"/>
    <w:rsid w:val="30BA736B"/>
    <w:rsid w:val="31C95635"/>
    <w:rsid w:val="322D3C47"/>
    <w:rsid w:val="34703801"/>
    <w:rsid w:val="348A2077"/>
    <w:rsid w:val="34DF85B0"/>
    <w:rsid w:val="39883C82"/>
    <w:rsid w:val="3B8F36BC"/>
    <w:rsid w:val="3E5F5894"/>
    <w:rsid w:val="43B555EA"/>
    <w:rsid w:val="46B44470"/>
    <w:rsid w:val="482C77FE"/>
    <w:rsid w:val="491FF225"/>
    <w:rsid w:val="496D4225"/>
    <w:rsid w:val="4FFD214C"/>
    <w:rsid w:val="50AE3E9D"/>
    <w:rsid w:val="5352765A"/>
    <w:rsid w:val="54084305"/>
    <w:rsid w:val="541A7C28"/>
    <w:rsid w:val="56443CBD"/>
    <w:rsid w:val="573C08F1"/>
    <w:rsid w:val="576F6A79"/>
    <w:rsid w:val="5777D4F5"/>
    <w:rsid w:val="57871F91"/>
    <w:rsid w:val="58D450D3"/>
    <w:rsid w:val="59DD8326"/>
    <w:rsid w:val="5B9F038F"/>
    <w:rsid w:val="5DEF592A"/>
    <w:rsid w:val="5FC6BB1E"/>
    <w:rsid w:val="5FF720F1"/>
    <w:rsid w:val="61257E0F"/>
    <w:rsid w:val="615303D9"/>
    <w:rsid w:val="618A1A84"/>
    <w:rsid w:val="61B05FC9"/>
    <w:rsid w:val="63293EA9"/>
    <w:rsid w:val="67FF5C0B"/>
    <w:rsid w:val="6BAA4A2F"/>
    <w:rsid w:val="6D796040"/>
    <w:rsid w:val="6EFC0924"/>
    <w:rsid w:val="6FB74722"/>
    <w:rsid w:val="6FEF8B7E"/>
    <w:rsid w:val="71A6591B"/>
    <w:rsid w:val="737D59BA"/>
    <w:rsid w:val="737F32B1"/>
    <w:rsid w:val="755D2EB9"/>
    <w:rsid w:val="760A5BC2"/>
    <w:rsid w:val="77960BE6"/>
    <w:rsid w:val="77BB0C3D"/>
    <w:rsid w:val="77C37683"/>
    <w:rsid w:val="797704F7"/>
    <w:rsid w:val="79FF515B"/>
    <w:rsid w:val="7BBD5512"/>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qFormat="1" w:uiPriority="99" w:semiHidden="0"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List Paragraph_a0f507d5-6e28-4914-b37f-020b7d2b0f7c"/>
    <w:basedOn w:val="1"/>
    <w:qFormat/>
    <w:uiPriority w:val="0"/>
    <w:pPr>
      <w:ind w:firstLine="420" w:firstLineChars="200"/>
    </w:pPr>
    <w:rPr>
      <w:rFonts w:ascii="Calibri" w:hAnsi="Calibri" w:eastAsia="宋体" w:cs="Times New Roman"/>
    </w:rPr>
  </w:style>
  <w:style w:type="paragraph" w:styleId="3">
    <w:name w:val="Normal Indent"/>
    <w:basedOn w:val="1"/>
    <w:unhideWhenUsed/>
    <w:qFormat/>
    <w:uiPriority w:val="99"/>
    <w:pPr>
      <w:ind w:firstLine="420"/>
    </w:pPr>
    <w:rPr>
      <w:rFonts w:ascii="Times New Roman" w:hAnsi="Times New Roman"/>
      <w:szCs w:val="20"/>
    </w:rPr>
  </w:style>
  <w:style w:type="paragraph" w:styleId="4">
    <w:name w:val="Body Text"/>
    <w:basedOn w:val="1"/>
    <w:next w:val="5"/>
    <w:qFormat/>
    <w:uiPriority w:val="0"/>
    <w:pPr>
      <w:spacing w:before="100" w:beforeAutospacing="1" w:after="120"/>
    </w:pPr>
  </w:style>
  <w:style w:type="paragraph" w:styleId="5">
    <w:name w:val="toc 5"/>
    <w:basedOn w:val="1"/>
    <w:next w:val="1"/>
    <w:qFormat/>
    <w:uiPriority w:val="0"/>
    <w:pPr>
      <w:widowControl w:val="0"/>
      <w:adjustRightInd/>
      <w:snapToGrid/>
      <w:spacing w:after="0"/>
      <w:ind w:left="1680" w:leftChars="800"/>
      <w:jc w:val="both"/>
    </w:pPr>
    <w:rPr>
      <w:rFonts w:ascii="Calibri" w:hAnsi="Calibri" w:eastAsia="宋体" w:cs="Times New Roman"/>
      <w:kern w:val="2"/>
      <w:sz w:val="21"/>
      <w:szCs w:val="24"/>
    </w:rPr>
  </w:style>
  <w:style w:type="paragraph" w:styleId="6">
    <w:name w:val="Body Text Indent"/>
    <w:basedOn w:val="1"/>
    <w:next w:val="7"/>
    <w:unhideWhenUsed/>
    <w:qFormat/>
    <w:uiPriority w:val="99"/>
    <w:pPr>
      <w:widowControl/>
      <w:spacing w:after="120"/>
      <w:ind w:left="420" w:leftChars="200"/>
      <w:jc w:val="left"/>
    </w:pPr>
    <w:rPr>
      <w:rFonts w:ascii="宋体" w:hAnsi="宋体" w:eastAsia="宋体" w:cs="宋体"/>
      <w:kern w:val="0"/>
      <w:sz w:val="24"/>
    </w:rPr>
  </w:style>
  <w:style w:type="paragraph" w:styleId="7">
    <w:name w:val="Body Text First Indent 2"/>
    <w:basedOn w:val="6"/>
    <w:next w:val="1"/>
    <w:unhideWhenUsed/>
    <w:qFormat/>
    <w:uiPriority w:val="99"/>
    <w:pPr>
      <w:ind w:firstLine="420" w:firstLineChars="200"/>
    </w:pPr>
  </w:style>
  <w:style w:type="paragraph" w:styleId="8">
    <w:name w:val="Balloon Text"/>
    <w:basedOn w:val="1"/>
    <w:link w:val="18"/>
    <w:semiHidden/>
    <w:unhideWhenUsed/>
    <w:qFormat/>
    <w:uiPriority w:val="99"/>
    <w:rPr>
      <w:sz w:val="18"/>
      <w:szCs w:val="18"/>
    </w:rPr>
  </w:style>
  <w:style w:type="paragraph" w:styleId="9">
    <w:name w:val="footer"/>
    <w:basedOn w:val="1"/>
    <w:link w:val="15"/>
    <w:unhideWhenUsed/>
    <w:qFormat/>
    <w:uiPriority w:val="99"/>
    <w:pPr>
      <w:tabs>
        <w:tab w:val="center" w:pos="4153"/>
        <w:tab w:val="right" w:pos="8306"/>
      </w:tabs>
      <w:snapToGrid w:val="0"/>
      <w:jc w:val="left"/>
    </w:pPr>
    <w:rPr>
      <w:sz w:val="18"/>
      <w:szCs w:val="18"/>
    </w:rPr>
  </w:style>
  <w:style w:type="paragraph" w:styleId="10">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footnote text"/>
    <w:basedOn w:val="1"/>
    <w:next w:val="7"/>
    <w:semiHidden/>
    <w:qFormat/>
    <w:uiPriority w:val="0"/>
    <w:pPr>
      <w:snapToGrid w:val="0"/>
      <w:jc w:val="left"/>
    </w:pPr>
    <w:rPr>
      <w:sz w:val="18"/>
      <w:szCs w:val="18"/>
    </w:rPr>
  </w:style>
  <w:style w:type="character" w:customStyle="1" w:styleId="14">
    <w:name w:val="页眉 Char"/>
    <w:basedOn w:val="12"/>
    <w:link w:val="10"/>
    <w:qFormat/>
    <w:uiPriority w:val="99"/>
    <w:rPr>
      <w:sz w:val="18"/>
      <w:szCs w:val="18"/>
    </w:rPr>
  </w:style>
  <w:style w:type="character" w:customStyle="1" w:styleId="15">
    <w:name w:val="页脚 Char"/>
    <w:basedOn w:val="12"/>
    <w:link w:val="9"/>
    <w:qFormat/>
    <w:uiPriority w:val="99"/>
    <w:rPr>
      <w:sz w:val="18"/>
      <w:szCs w:val="18"/>
    </w:rPr>
  </w:style>
  <w:style w:type="paragraph" w:customStyle="1" w:styleId="16">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7">
    <w:name w:val="List Paragraph"/>
    <w:basedOn w:val="1"/>
    <w:qFormat/>
    <w:uiPriority w:val="34"/>
    <w:pPr>
      <w:ind w:firstLine="420" w:firstLineChars="200"/>
    </w:pPr>
  </w:style>
  <w:style w:type="character" w:customStyle="1" w:styleId="18">
    <w:name w:val="批注框文本 Char"/>
    <w:basedOn w:val="12"/>
    <w:link w:val="8"/>
    <w:semiHidden/>
    <w:qFormat/>
    <w:uiPriority w:val="99"/>
    <w:rPr>
      <w:sz w:val="18"/>
      <w:szCs w:val="18"/>
    </w:rPr>
  </w:style>
  <w:style w:type="character" w:customStyle="1" w:styleId="19">
    <w:name w:val="font01"/>
    <w:basedOn w:val="12"/>
    <w:qFormat/>
    <w:uiPriority w:val="0"/>
    <w:rPr>
      <w:rFonts w:hint="eastAsia" w:ascii="宋体" w:hAnsi="宋体" w:eastAsia="宋体" w:cs="宋体"/>
      <w:color w:val="000000"/>
      <w:sz w:val="22"/>
      <w:szCs w:val="22"/>
      <w:u w:val="none"/>
    </w:rPr>
  </w:style>
  <w:style w:type="character" w:customStyle="1" w:styleId="20">
    <w:name w:val="font21"/>
    <w:basedOn w:val="12"/>
    <w:qFormat/>
    <w:uiPriority w:val="0"/>
    <w:rPr>
      <w:rFonts w:hint="eastAsia" w:ascii="宋体" w:hAnsi="宋体" w:eastAsia="宋体" w:cs="宋体"/>
      <w:color w:val="000000"/>
      <w:sz w:val="24"/>
      <w:szCs w:val="24"/>
      <w:u w:val="none"/>
    </w:rPr>
  </w:style>
  <w:style w:type="character" w:customStyle="1" w:styleId="21">
    <w:name w:val="font1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13</TotalTime>
  <ScaleCrop>false</ScaleCrop>
  <LinksUpToDate>false</LinksUpToDate>
  <CharactersWithSpaces>9008</CharactersWithSpaces>
  <Application>WPS Office_10.8.2.7164_F1E327BC-269C-435d-A152-05C5408002CA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仙贝麻麻</cp:lastModifiedBy>
  <cp:lastPrinted>2024-08-08T10:20:00Z</cp:lastPrinted>
  <dcterms:modified xsi:type="dcterms:W3CDTF">2025-07-25T07:31:23Z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2052-10.8.2.7164</vt:lpwstr>
  </property>
  <property fmtid="{D5CDD505-2E9C-101B-9397-08002B2CF9AE}" pid="3" name="ICV">
    <vt:lpwstr>98623D6660B449428EB8E073C6C952EA</vt:lpwstr>
  </property>
</Properties>
</file>