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2"/>
        <w:jc w:val="center"/>
        <w:rPr>
          <w:sz w:val="56"/>
          <w:szCs w:val="56"/>
        </w:rPr>
      </w:pPr>
    </w:p>
    <w:p>
      <w:pPr>
        <w:pStyle w:val="12"/>
        <w:jc w:val="center"/>
        <w:rPr>
          <w:sz w:val="56"/>
          <w:szCs w:val="56"/>
        </w:rPr>
      </w:pPr>
    </w:p>
    <w:p>
      <w:pPr>
        <w:pStyle w:val="12"/>
        <w:jc w:val="center"/>
        <w:rPr>
          <w:sz w:val="84"/>
          <w:szCs w:val="84"/>
        </w:rPr>
      </w:pPr>
    </w:p>
    <w:p>
      <w:pPr>
        <w:pStyle w:val="12"/>
        <w:jc w:val="center"/>
        <w:rPr>
          <w:sz w:val="84"/>
          <w:szCs w:val="84"/>
        </w:rPr>
      </w:pPr>
    </w:p>
    <w:p>
      <w:pPr>
        <w:pStyle w:val="12"/>
        <w:jc w:val="center"/>
        <w:rPr>
          <w:rFonts w:hint="eastAsia" w:ascii="方正小标宋_GBK" w:hAnsi="方正小标宋_GBK" w:eastAsia="方正小标宋_GBK" w:cs="方正小标宋_GBK"/>
          <w:sz w:val="84"/>
          <w:szCs w:val="84"/>
        </w:rPr>
      </w:pPr>
      <w:r>
        <w:rPr>
          <w:rFonts w:hint="eastAsia" w:ascii="方正小标宋_GBK" w:hAnsi="方正小标宋_GBK" w:eastAsia="方正小标宋_GBK" w:cs="方正小标宋_GBK"/>
          <w:sz w:val="84"/>
          <w:szCs w:val="84"/>
        </w:rPr>
        <w:t>202</w:t>
      </w:r>
      <w:r>
        <w:rPr>
          <w:rFonts w:hint="eastAsia" w:ascii="方正小标宋_GBK" w:hAnsi="方正小标宋_GBK" w:eastAsia="方正小标宋_GBK" w:cs="方正小标宋_GBK"/>
          <w:sz w:val="84"/>
          <w:szCs w:val="84"/>
          <w:lang w:val="en-US" w:eastAsia="zh-CN"/>
        </w:rPr>
        <w:t>3</w:t>
      </w:r>
      <w:r>
        <w:rPr>
          <w:rFonts w:hint="eastAsia" w:ascii="方正小标宋_GBK" w:hAnsi="方正小标宋_GBK" w:eastAsia="方正小标宋_GBK" w:cs="方正小标宋_GBK"/>
          <w:sz w:val="84"/>
          <w:szCs w:val="84"/>
        </w:rPr>
        <w:t>年度</w:t>
      </w:r>
    </w:p>
    <w:p>
      <w:pPr>
        <w:pStyle w:val="12"/>
        <w:jc w:val="center"/>
        <w:rPr>
          <w:rFonts w:hint="eastAsia" w:ascii="方正小标宋_GBK" w:hAnsi="方正小标宋_GBK" w:eastAsia="方正小标宋_GBK" w:cs="方正小标宋_GBK"/>
          <w:sz w:val="84"/>
          <w:szCs w:val="84"/>
        </w:rPr>
      </w:pPr>
      <w:r>
        <w:rPr>
          <w:rFonts w:hint="eastAsia" w:ascii="方正小标宋_GBK" w:hAnsi="方正小标宋_GBK" w:eastAsia="方正小标宋_GBK" w:cs="方正小标宋_GBK"/>
          <w:sz w:val="84"/>
          <w:szCs w:val="84"/>
        </w:rPr>
        <w:t>岳阳市生态环境局部门决算</w:t>
      </w:r>
    </w:p>
    <w:p>
      <w:pPr>
        <w:pStyle w:val="12"/>
        <w:jc w:val="center"/>
        <w:rPr>
          <w:rFonts w:hint="eastAsia" w:ascii="方正小标宋_GBK" w:hAnsi="方正小标宋_GBK" w:eastAsia="方正小标宋_GBK" w:cs="方正小标宋_GBK"/>
          <w:sz w:val="56"/>
          <w:szCs w:val="56"/>
        </w:rPr>
      </w:pPr>
    </w:p>
    <w:p>
      <w:pPr>
        <w:pStyle w:val="12"/>
        <w:jc w:val="center"/>
        <w:rPr>
          <w:sz w:val="56"/>
          <w:szCs w:val="56"/>
        </w:rPr>
      </w:pPr>
    </w:p>
    <w:p>
      <w:pPr>
        <w:pStyle w:val="12"/>
        <w:jc w:val="center"/>
        <w:rPr>
          <w:sz w:val="56"/>
          <w:szCs w:val="56"/>
        </w:rPr>
      </w:pPr>
    </w:p>
    <w:p>
      <w:pPr>
        <w:pStyle w:val="12"/>
        <w:jc w:val="center"/>
        <w:rPr>
          <w:sz w:val="56"/>
          <w:szCs w:val="56"/>
        </w:rPr>
      </w:pPr>
    </w:p>
    <w:p>
      <w:pPr>
        <w:pStyle w:val="12"/>
        <w:jc w:val="center"/>
        <w:rPr>
          <w:sz w:val="32"/>
          <w:szCs w:val="32"/>
        </w:rPr>
      </w:pPr>
    </w:p>
    <w:p>
      <w:pPr>
        <w:pStyle w:val="12"/>
        <w:jc w:val="center"/>
        <w:rPr>
          <w:sz w:val="32"/>
          <w:szCs w:val="32"/>
        </w:rPr>
      </w:pPr>
    </w:p>
    <w:p>
      <w:pPr>
        <w:pStyle w:val="12"/>
        <w:jc w:val="center"/>
        <w:rPr>
          <w:sz w:val="32"/>
          <w:szCs w:val="32"/>
        </w:rPr>
      </w:pPr>
    </w:p>
    <w:p>
      <w:pPr>
        <w:pStyle w:val="12"/>
        <w:jc w:val="center"/>
        <w:rPr>
          <w:sz w:val="32"/>
          <w:szCs w:val="32"/>
        </w:rPr>
      </w:pPr>
    </w:p>
    <w:p>
      <w:pPr>
        <w:pStyle w:val="12"/>
        <w:jc w:val="center"/>
        <w:rPr>
          <w:sz w:val="32"/>
          <w:szCs w:val="32"/>
        </w:rPr>
      </w:pPr>
    </w:p>
    <w:p>
      <w:pPr>
        <w:pStyle w:val="12"/>
        <w:spacing w:line="540" w:lineRule="exact"/>
        <w:jc w:val="center"/>
        <w:rPr>
          <w:sz w:val="56"/>
          <w:szCs w:val="56"/>
        </w:rPr>
      </w:pPr>
    </w:p>
    <w:p>
      <w:pPr>
        <w:pStyle w:val="12"/>
        <w:spacing w:line="500" w:lineRule="exact"/>
        <w:jc w:val="both"/>
        <w:rPr>
          <w:b/>
          <w:sz w:val="36"/>
          <w:szCs w:val="28"/>
        </w:rPr>
      </w:pPr>
    </w:p>
    <w:p>
      <w:pPr>
        <w:pStyle w:val="12"/>
        <w:spacing w:line="500" w:lineRule="exact"/>
        <w:jc w:val="center"/>
        <w:rPr>
          <w:b/>
          <w:sz w:val="36"/>
          <w:szCs w:val="28"/>
        </w:rPr>
      </w:pPr>
      <w:r>
        <w:rPr>
          <w:rFonts w:hint="eastAsia"/>
          <w:b/>
          <w:sz w:val="36"/>
          <w:szCs w:val="28"/>
        </w:rPr>
        <w:t>目录</w:t>
      </w:r>
    </w:p>
    <w:p>
      <w:pPr>
        <w:pStyle w:val="12"/>
        <w:spacing w:line="500" w:lineRule="exact"/>
        <w:rPr>
          <w:rFonts w:hint="eastAsia" w:ascii="黑体" w:hAnsi="黑体" w:eastAsia="黑体" w:cs="黑体"/>
          <w:b w:val="0"/>
          <w:bCs/>
          <w:sz w:val="28"/>
          <w:szCs w:val="28"/>
        </w:rPr>
      </w:pPr>
      <w:r>
        <w:rPr>
          <w:rFonts w:hint="eastAsia" w:ascii="黑体" w:hAnsi="黑体" w:eastAsia="黑体" w:cs="黑体"/>
          <w:b w:val="0"/>
          <w:bCs/>
          <w:sz w:val="28"/>
          <w:szCs w:val="28"/>
        </w:rPr>
        <w:t>第一部分</w:t>
      </w:r>
      <w:r>
        <w:rPr>
          <w:rFonts w:hint="eastAsia" w:ascii="黑体" w:hAnsi="黑体" w:eastAsia="黑体" w:cs="黑体"/>
          <w:b w:val="0"/>
          <w:bCs/>
          <w:sz w:val="28"/>
          <w:szCs w:val="28"/>
          <w:lang w:val="en-US" w:eastAsia="zh-CN"/>
        </w:rPr>
        <w:t xml:space="preserve"> </w:t>
      </w:r>
      <w:r>
        <w:rPr>
          <w:rFonts w:hint="eastAsia" w:ascii="黑体" w:hAnsi="黑体" w:eastAsia="黑体" w:cs="黑体"/>
          <w:b w:val="0"/>
          <w:bCs/>
          <w:sz w:val="28"/>
          <w:szCs w:val="28"/>
        </w:rPr>
        <w:t>岳阳市生态环境局</w:t>
      </w:r>
      <w:r>
        <w:rPr>
          <w:rFonts w:hint="eastAsia" w:ascii="黑体" w:hAnsi="黑体" w:eastAsia="黑体" w:cs="黑体"/>
          <w:b w:val="0"/>
          <w:bCs/>
          <w:sz w:val="28"/>
          <w:szCs w:val="28"/>
          <w:lang w:eastAsia="zh-CN"/>
        </w:rPr>
        <w:t>部门</w:t>
      </w:r>
      <w:r>
        <w:rPr>
          <w:rFonts w:hint="eastAsia" w:ascii="黑体" w:hAnsi="黑体" w:eastAsia="黑体" w:cs="黑体"/>
          <w:b w:val="0"/>
          <w:bCs/>
          <w:sz w:val="28"/>
          <w:szCs w:val="28"/>
        </w:rPr>
        <w:t>概况</w:t>
      </w:r>
    </w:p>
    <w:p>
      <w:pPr>
        <w:pStyle w:val="12"/>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一、部门职责</w:t>
      </w:r>
    </w:p>
    <w:p>
      <w:pPr>
        <w:pStyle w:val="12"/>
        <w:spacing w:line="500" w:lineRule="exact"/>
        <w:ind w:firstLine="700" w:firstLineChars="250"/>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rPr>
        <w:t>二、机构设置</w:t>
      </w:r>
      <w:r>
        <w:rPr>
          <w:rFonts w:hint="eastAsia" w:ascii="仿宋_GB2312" w:hAnsi="仿宋_GB2312" w:eastAsia="仿宋_GB2312" w:cs="仿宋_GB2312"/>
          <w:sz w:val="28"/>
          <w:szCs w:val="28"/>
          <w:lang w:eastAsia="zh-CN"/>
        </w:rPr>
        <w:t>及决算单位构成</w:t>
      </w:r>
    </w:p>
    <w:p>
      <w:pPr>
        <w:pStyle w:val="12"/>
        <w:spacing w:line="500" w:lineRule="exact"/>
        <w:rPr>
          <w:rFonts w:hint="eastAsia" w:ascii="黑体" w:hAnsi="黑体" w:eastAsia="黑体" w:cs="黑体"/>
          <w:b w:val="0"/>
          <w:bCs/>
          <w:sz w:val="28"/>
          <w:szCs w:val="28"/>
        </w:rPr>
      </w:pPr>
      <w:r>
        <w:rPr>
          <w:rFonts w:hint="eastAsia" w:ascii="黑体" w:hAnsi="黑体" w:eastAsia="黑体" w:cs="黑体"/>
          <w:b w:val="0"/>
          <w:bCs/>
          <w:sz w:val="28"/>
          <w:szCs w:val="28"/>
        </w:rPr>
        <w:t>第二部分</w:t>
      </w:r>
      <w:r>
        <w:rPr>
          <w:rFonts w:hint="eastAsia" w:ascii="黑体" w:hAnsi="黑体" w:eastAsia="黑体" w:cs="黑体"/>
          <w:b w:val="0"/>
          <w:bCs/>
          <w:sz w:val="28"/>
          <w:szCs w:val="28"/>
          <w:lang w:val="en-US" w:eastAsia="zh-CN"/>
        </w:rPr>
        <w:t xml:space="preserve"> </w:t>
      </w:r>
      <w:r>
        <w:rPr>
          <w:rFonts w:hint="eastAsia" w:ascii="黑体" w:hAnsi="黑体" w:eastAsia="黑体" w:cs="黑体"/>
          <w:b w:val="0"/>
          <w:bCs/>
          <w:sz w:val="28"/>
          <w:szCs w:val="28"/>
        </w:rPr>
        <w:t>部门决算表</w:t>
      </w:r>
    </w:p>
    <w:p>
      <w:pPr>
        <w:pStyle w:val="12"/>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一、收入支出决算总表</w:t>
      </w:r>
    </w:p>
    <w:p>
      <w:pPr>
        <w:pStyle w:val="12"/>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二、收入决算表</w:t>
      </w:r>
    </w:p>
    <w:p>
      <w:pPr>
        <w:pStyle w:val="12"/>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三、支出决算表</w:t>
      </w:r>
    </w:p>
    <w:p>
      <w:pPr>
        <w:pStyle w:val="12"/>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四、财政拨款收入支出决算总表</w:t>
      </w:r>
    </w:p>
    <w:p>
      <w:pPr>
        <w:pStyle w:val="12"/>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五、一般公共预算财政拨款支出决算表</w:t>
      </w:r>
    </w:p>
    <w:p>
      <w:pPr>
        <w:pStyle w:val="12"/>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六、一般公共预算财政拨款基本支出决算明细表</w:t>
      </w:r>
    </w:p>
    <w:p>
      <w:pPr>
        <w:pStyle w:val="12"/>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七、政府性基金预算财政拨款收入支出决算表</w:t>
      </w:r>
    </w:p>
    <w:p>
      <w:pPr>
        <w:pStyle w:val="12"/>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八、国有资本经营预算财政拨款支出决算表</w:t>
      </w:r>
    </w:p>
    <w:p>
      <w:pPr>
        <w:pStyle w:val="12"/>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九、财政拨款“三公”经费支出决算表</w:t>
      </w:r>
    </w:p>
    <w:p>
      <w:pPr>
        <w:pStyle w:val="12"/>
        <w:spacing w:line="500" w:lineRule="exact"/>
        <w:rPr>
          <w:rFonts w:hint="eastAsia" w:ascii="黑体" w:hAnsi="黑体" w:eastAsia="黑体" w:cs="黑体"/>
          <w:b w:val="0"/>
          <w:bCs/>
          <w:sz w:val="28"/>
          <w:szCs w:val="28"/>
        </w:rPr>
      </w:pPr>
      <w:r>
        <w:rPr>
          <w:rFonts w:hint="eastAsia" w:ascii="黑体" w:hAnsi="黑体" w:eastAsia="黑体" w:cs="黑体"/>
          <w:b w:val="0"/>
          <w:bCs/>
          <w:sz w:val="28"/>
          <w:szCs w:val="28"/>
        </w:rPr>
        <w:t>第三部分</w:t>
      </w:r>
      <w:r>
        <w:rPr>
          <w:rFonts w:hint="eastAsia" w:ascii="黑体" w:hAnsi="黑体" w:eastAsia="黑体" w:cs="黑体"/>
          <w:b w:val="0"/>
          <w:bCs/>
          <w:sz w:val="28"/>
          <w:szCs w:val="28"/>
          <w:lang w:val="en-US" w:eastAsia="zh-CN"/>
        </w:rPr>
        <w:t xml:space="preserve"> </w:t>
      </w:r>
      <w:r>
        <w:rPr>
          <w:rFonts w:hint="eastAsia" w:ascii="黑体" w:hAnsi="黑体" w:eastAsia="黑体" w:cs="黑体"/>
          <w:b w:val="0"/>
          <w:bCs/>
          <w:sz w:val="28"/>
          <w:szCs w:val="28"/>
        </w:rPr>
        <w:t>部门决算情况说明</w:t>
      </w:r>
    </w:p>
    <w:p>
      <w:pPr>
        <w:pStyle w:val="12"/>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一、收入支出决算总体情况说明</w:t>
      </w:r>
    </w:p>
    <w:p>
      <w:pPr>
        <w:spacing w:line="500" w:lineRule="exact"/>
        <w:ind w:firstLine="700" w:firstLineChars="250"/>
        <w:jc w:val="left"/>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二、收入决算情况说明</w:t>
      </w:r>
    </w:p>
    <w:p>
      <w:pPr>
        <w:autoSpaceDE w:val="0"/>
        <w:autoSpaceDN w:val="0"/>
        <w:adjustRightInd w:val="0"/>
        <w:spacing w:line="500" w:lineRule="exact"/>
        <w:ind w:firstLine="700" w:firstLineChars="250"/>
        <w:jc w:val="left"/>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三、支出决算情况说明</w:t>
      </w:r>
    </w:p>
    <w:p>
      <w:pPr>
        <w:autoSpaceDE w:val="0"/>
        <w:autoSpaceDN w:val="0"/>
        <w:adjustRightInd w:val="0"/>
        <w:spacing w:line="500" w:lineRule="exact"/>
        <w:ind w:firstLine="700" w:firstLineChars="250"/>
        <w:jc w:val="left"/>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四、财政拨款收入支出决算总体情况说明</w:t>
      </w:r>
    </w:p>
    <w:p>
      <w:pPr>
        <w:autoSpaceDE w:val="0"/>
        <w:autoSpaceDN w:val="0"/>
        <w:adjustRightInd w:val="0"/>
        <w:spacing w:line="500" w:lineRule="exact"/>
        <w:ind w:firstLine="700" w:firstLineChars="250"/>
        <w:jc w:val="left"/>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五、一般公共预算财政拨款支出决算情况说明</w:t>
      </w:r>
    </w:p>
    <w:p>
      <w:pPr>
        <w:autoSpaceDE w:val="0"/>
        <w:autoSpaceDN w:val="0"/>
        <w:adjustRightInd w:val="0"/>
        <w:spacing w:line="500" w:lineRule="exact"/>
        <w:ind w:firstLine="700" w:firstLineChars="250"/>
        <w:jc w:val="left"/>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六、一般公共预算财政拨款基本支出决算情况说明</w:t>
      </w:r>
    </w:p>
    <w:p>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jc w:val="left"/>
        <w:textAlignment w:val="auto"/>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七、政府性基金预算收入支出决算情况</w:t>
      </w:r>
    </w:p>
    <w:p>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jc w:val="left"/>
        <w:textAlignment w:val="auto"/>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八、</w:t>
      </w:r>
      <w:r>
        <w:rPr>
          <w:rFonts w:hint="eastAsia" w:ascii="仿宋_GB2312" w:hAnsi="仿宋_GB2312" w:eastAsia="仿宋_GB2312" w:cs="仿宋_GB2312"/>
          <w:sz w:val="28"/>
          <w:szCs w:val="28"/>
        </w:rPr>
        <w:t>国有资本经营预算财政拨款支出决算</w:t>
      </w:r>
      <w:r>
        <w:rPr>
          <w:rFonts w:hint="eastAsia" w:ascii="仿宋_GB2312" w:hAnsi="仿宋_GB2312" w:eastAsia="仿宋_GB2312" w:cs="仿宋_GB2312"/>
          <w:sz w:val="28"/>
          <w:szCs w:val="28"/>
          <w:lang w:eastAsia="zh-CN"/>
        </w:rPr>
        <w:t>情况</w:t>
      </w:r>
    </w:p>
    <w:p>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jc w:val="left"/>
        <w:textAlignment w:val="auto"/>
        <w:rPr>
          <w:rFonts w:hint="eastAsia" w:ascii="仿宋_GB2312" w:hAnsi="仿宋_GB2312" w:eastAsia="仿宋_GB2312" w:cs="仿宋_GB2312"/>
          <w:color w:val="000000"/>
          <w:kern w:val="0"/>
          <w:sz w:val="28"/>
          <w:szCs w:val="28"/>
          <w:lang w:eastAsia="zh-CN"/>
        </w:rPr>
      </w:pPr>
      <w:r>
        <w:rPr>
          <w:rFonts w:hint="eastAsia" w:ascii="仿宋_GB2312" w:hAnsi="仿宋_GB2312" w:eastAsia="仿宋_GB2312" w:cs="仿宋_GB2312"/>
          <w:color w:val="000000"/>
          <w:kern w:val="0"/>
          <w:sz w:val="28"/>
          <w:szCs w:val="28"/>
        </w:rPr>
        <w:t>九、财政拨款三公经费支出决算情况说明</w:t>
      </w:r>
    </w:p>
    <w:p>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jc w:val="left"/>
        <w:textAlignment w:val="auto"/>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十、关于机关运行经费支出说明</w:t>
      </w:r>
    </w:p>
    <w:p>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jc w:val="left"/>
        <w:textAlignment w:val="auto"/>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十一、一般性支出情况说明</w:t>
      </w:r>
    </w:p>
    <w:p>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jc w:val="left"/>
        <w:textAlignment w:val="auto"/>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sz w:val="28"/>
          <w:szCs w:val="28"/>
        </w:rPr>
        <w:t>十二、</w:t>
      </w:r>
      <w:r>
        <w:rPr>
          <w:rFonts w:hint="eastAsia" w:ascii="仿宋_GB2312" w:hAnsi="仿宋_GB2312" w:eastAsia="仿宋_GB2312" w:cs="仿宋_GB2312"/>
          <w:color w:val="000000"/>
          <w:kern w:val="0"/>
          <w:sz w:val="28"/>
          <w:szCs w:val="28"/>
        </w:rPr>
        <w:t>关于政府采购支出说明</w:t>
      </w:r>
    </w:p>
    <w:p>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textAlignment w:val="auto"/>
        <w:rPr>
          <w:rFonts w:hint="eastAsia" w:ascii="仿宋_GB2312" w:hAnsi="仿宋_GB2312" w:eastAsia="仿宋_GB2312" w:cs="仿宋_GB2312"/>
          <w:color w:val="000000"/>
          <w:kern w:val="0"/>
          <w:sz w:val="28"/>
          <w:szCs w:val="28"/>
          <w:lang w:val="en-US" w:eastAsia="zh-CN" w:bidi="ar-SA"/>
        </w:rPr>
      </w:pPr>
      <w:r>
        <w:rPr>
          <w:rFonts w:hint="eastAsia" w:ascii="仿宋_GB2312" w:hAnsi="仿宋_GB2312" w:eastAsia="仿宋_GB2312" w:cs="仿宋_GB2312"/>
          <w:color w:val="000000"/>
          <w:kern w:val="0"/>
          <w:sz w:val="28"/>
          <w:szCs w:val="28"/>
          <w:lang w:val="en-US" w:eastAsia="zh-CN" w:bidi="ar-SA"/>
        </w:rPr>
        <w:t>十三、关于国有资产占用情况说明</w:t>
      </w:r>
    </w:p>
    <w:p>
      <w:pPr>
        <w:pStyle w:val="12"/>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color w:val="000000"/>
          <w:kern w:val="0"/>
          <w:sz w:val="28"/>
          <w:szCs w:val="28"/>
          <w:lang w:val="en-US" w:eastAsia="zh-CN" w:bidi="ar-SA"/>
        </w:rPr>
        <w:t>十四、</w:t>
      </w:r>
      <w:r>
        <w:rPr>
          <w:rFonts w:hint="eastAsia" w:ascii="仿宋_GB2312" w:hAnsi="仿宋_GB2312" w:eastAsia="仿宋_GB2312" w:cs="仿宋_GB2312"/>
          <w:sz w:val="28"/>
          <w:szCs w:val="28"/>
        </w:rPr>
        <w:t>关于</w:t>
      </w:r>
      <w:r>
        <w:rPr>
          <w:rFonts w:hint="default" w:ascii="Times New Roman" w:hAnsi="Times New Roman" w:eastAsia="仿宋_GB2312" w:cs="Times New Roman"/>
          <w:sz w:val="28"/>
          <w:szCs w:val="28"/>
        </w:rPr>
        <w:t>202</w:t>
      </w:r>
      <w:r>
        <w:rPr>
          <w:rFonts w:hint="default" w:ascii="Times New Roman" w:hAnsi="Times New Roman" w:eastAsia="仿宋_GB2312" w:cs="Times New Roman"/>
          <w:sz w:val="28"/>
          <w:szCs w:val="28"/>
          <w:lang w:val="en-US" w:eastAsia="zh-CN"/>
        </w:rPr>
        <w:t>3</w:t>
      </w:r>
      <w:r>
        <w:rPr>
          <w:rFonts w:hint="eastAsia" w:ascii="仿宋_GB2312" w:hAnsi="仿宋_GB2312" w:eastAsia="仿宋_GB2312" w:cs="仿宋_GB2312"/>
          <w:sz w:val="28"/>
          <w:szCs w:val="28"/>
        </w:rPr>
        <w:t>年度</w:t>
      </w:r>
      <w:r>
        <w:rPr>
          <w:rFonts w:hint="eastAsia" w:ascii="仿宋_GB2312" w:hAnsi="仿宋_GB2312" w:eastAsia="仿宋_GB2312" w:cs="仿宋_GB2312"/>
          <w:sz w:val="28"/>
          <w:szCs w:val="28"/>
          <w:lang w:eastAsia="zh-CN"/>
        </w:rPr>
        <w:t>预算</w:t>
      </w:r>
      <w:r>
        <w:rPr>
          <w:rFonts w:hint="eastAsia" w:ascii="仿宋_GB2312" w:hAnsi="仿宋_GB2312" w:eastAsia="仿宋_GB2312" w:cs="仿宋_GB2312"/>
          <w:sz w:val="28"/>
          <w:szCs w:val="28"/>
        </w:rPr>
        <w:t>绩效情况的说明</w:t>
      </w:r>
    </w:p>
    <w:p>
      <w:pPr>
        <w:pStyle w:val="12"/>
        <w:spacing w:line="500" w:lineRule="exact"/>
        <w:rPr>
          <w:rFonts w:hint="eastAsia" w:ascii="黑体" w:hAnsi="黑体" w:eastAsia="黑体" w:cs="黑体"/>
          <w:b w:val="0"/>
          <w:bCs/>
          <w:sz w:val="28"/>
          <w:szCs w:val="28"/>
        </w:rPr>
      </w:pPr>
      <w:r>
        <w:rPr>
          <w:rFonts w:hint="eastAsia" w:ascii="黑体" w:hAnsi="黑体" w:eastAsia="黑体" w:cs="黑体"/>
          <w:b w:val="0"/>
          <w:bCs/>
          <w:sz w:val="28"/>
          <w:szCs w:val="28"/>
        </w:rPr>
        <w:t>第四部分</w:t>
      </w:r>
      <w:r>
        <w:rPr>
          <w:rFonts w:hint="eastAsia" w:ascii="黑体" w:hAnsi="黑体" w:eastAsia="黑体" w:cs="黑体"/>
          <w:b w:val="0"/>
          <w:bCs/>
          <w:sz w:val="28"/>
          <w:szCs w:val="28"/>
          <w:lang w:val="en-US" w:eastAsia="zh-CN"/>
        </w:rPr>
        <w:t xml:space="preserve"> </w:t>
      </w:r>
      <w:r>
        <w:rPr>
          <w:rFonts w:hint="eastAsia" w:ascii="黑体" w:hAnsi="黑体" w:eastAsia="黑体" w:cs="黑体"/>
          <w:b w:val="0"/>
          <w:bCs/>
          <w:sz w:val="28"/>
          <w:szCs w:val="28"/>
        </w:rPr>
        <w:t>名词解释</w:t>
      </w:r>
    </w:p>
    <w:p>
      <w:pPr>
        <w:pStyle w:val="12"/>
        <w:spacing w:line="500" w:lineRule="exact"/>
        <w:rPr>
          <w:rFonts w:hint="eastAsia" w:ascii="黑体" w:hAnsi="黑体" w:eastAsia="黑体" w:cs="黑体"/>
          <w:b w:val="0"/>
          <w:bCs/>
          <w:sz w:val="28"/>
          <w:szCs w:val="28"/>
          <w:lang w:eastAsia="zh-CN"/>
        </w:rPr>
      </w:pPr>
      <w:r>
        <w:rPr>
          <w:rFonts w:hint="eastAsia" w:ascii="黑体" w:hAnsi="黑体" w:eastAsia="黑体" w:cs="黑体"/>
          <w:b w:val="0"/>
          <w:bCs/>
          <w:sz w:val="28"/>
          <w:szCs w:val="28"/>
        </w:rPr>
        <w:t>第</w:t>
      </w:r>
      <w:r>
        <w:rPr>
          <w:rFonts w:hint="eastAsia" w:hAnsi="黑体" w:cs="黑体"/>
          <w:b w:val="0"/>
          <w:bCs/>
          <w:sz w:val="28"/>
          <w:szCs w:val="28"/>
          <w:lang w:eastAsia="zh-CN"/>
        </w:rPr>
        <w:t>五</w:t>
      </w:r>
      <w:r>
        <w:rPr>
          <w:rFonts w:hint="eastAsia" w:ascii="黑体" w:hAnsi="黑体" w:eastAsia="黑体" w:cs="黑体"/>
          <w:b w:val="0"/>
          <w:bCs/>
          <w:sz w:val="28"/>
          <w:szCs w:val="28"/>
        </w:rPr>
        <w:t>部分</w:t>
      </w:r>
      <w:r>
        <w:rPr>
          <w:rFonts w:hint="eastAsia" w:ascii="黑体" w:hAnsi="黑体" w:eastAsia="黑体" w:cs="黑体"/>
          <w:b w:val="0"/>
          <w:bCs/>
          <w:sz w:val="28"/>
          <w:szCs w:val="28"/>
          <w:lang w:val="en-US" w:eastAsia="zh-CN"/>
        </w:rPr>
        <w:t xml:space="preserve"> </w:t>
      </w:r>
      <w:r>
        <w:rPr>
          <w:rFonts w:hint="eastAsia" w:hAnsi="黑体" w:cs="黑体"/>
          <w:b w:val="0"/>
          <w:bCs/>
          <w:sz w:val="28"/>
          <w:szCs w:val="28"/>
          <w:lang w:eastAsia="zh-CN"/>
        </w:rPr>
        <w:t>附件</w:t>
      </w:r>
    </w:p>
    <w:p>
      <w:pPr>
        <w:pStyle w:val="12"/>
        <w:jc w:val="center"/>
        <w:rPr>
          <w:rFonts w:hint="eastAsia" w:ascii="方正小标宋_GBK" w:hAnsi="方正小标宋_GBK" w:eastAsia="方正小标宋_GBK" w:cs="方正小标宋_GBK"/>
          <w:sz w:val="84"/>
          <w:szCs w:val="84"/>
        </w:rPr>
      </w:pPr>
    </w:p>
    <w:p>
      <w:pPr>
        <w:pStyle w:val="12"/>
        <w:jc w:val="center"/>
        <w:rPr>
          <w:rFonts w:hint="eastAsia" w:ascii="方正小标宋_GBK" w:hAnsi="方正小标宋_GBK" w:eastAsia="方正小标宋_GBK" w:cs="方正小标宋_GBK"/>
          <w:sz w:val="84"/>
          <w:szCs w:val="84"/>
        </w:rPr>
      </w:pPr>
    </w:p>
    <w:p>
      <w:pPr>
        <w:pStyle w:val="12"/>
        <w:jc w:val="center"/>
        <w:rPr>
          <w:rFonts w:hint="eastAsia" w:ascii="方正小标宋_GBK" w:hAnsi="方正小标宋_GBK" w:eastAsia="方正小标宋_GBK" w:cs="方正小标宋_GBK"/>
          <w:sz w:val="84"/>
          <w:szCs w:val="84"/>
        </w:rPr>
      </w:pPr>
      <w:r>
        <w:rPr>
          <w:rFonts w:hint="eastAsia" w:ascii="方正小标宋_GBK" w:hAnsi="方正小标宋_GBK" w:eastAsia="方正小标宋_GBK" w:cs="方正小标宋_GBK"/>
          <w:sz w:val="84"/>
          <w:szCs w:val="84"/>
        </w:rPr>
        <w:t xml:space="preserve">第一部分 </w:t>
      </w:r>
    </w:p>
    <w:p>
      <w:pPr>
        <w:pStyle w:val="12"/>
        <w:jc w:val="center"/>
        <w:rPr>
          <w:rFonts w:hint="eastAsia" w:ascii="方正小标宋_GBK" w:hAnsi="方正小标宋_GBK" w:eastAsia="方正小标宋_GBK" w:cs="方正小标宋_GBK"/>
          <w:sz w:val="84"/>
          <w:szCs w:val="84"/>
        </w:rPr>
      </w:pPr>
    </w:p>
    <w:p>
      <w:pPr>
        <w:jc w:val="center"/>
        <w:rPr>
          <w:rFonts w:hint="eastAsia" w:ascii="方正小标宋_GBK" w:hAnsi="方正小标宋_GBK" w:eastAsia="方正小标宋_GBK" w:cs="方正小标宋_GBK"/>
          <w:sz w:val="84"/>
          <w:szCs w:val="84"/>
        </w:rPr>
      </w:pPr>
      <w:r>
        <w:rPr>
          <w:rFonts w:hint="eastAsia" w:ascii="方正小标宋_GBK" w:hAnsi="方正小标宋_GBK" w:eastAsia="方正小标宋_GBK" w:cs="方正小标宋_GBK"/>
          <w:sz w:val="84"/>
          <w:szCs w:val="84"/>
        </w:rPr>
        <w:t>岳阳市生态环境局</w:t>
      </w:r>
      <w:r>
        <w:rPr>
          <w:rFonts w:hint="eastAsia" w:ascii="方正小标宋_GBK" w:hAnsi="方正小标宋_GBK" w:eastAsia="方正小标宋_GBK" w:cs="方正小标宋_GBK"/>
          <w:sz w:val="84"/>
          <w:szCs w:val="84"/>
          <w:lang w:eastAsia="zh-CN"/>
        </w:rPr>
        <w:t>部门</w:t>
      </w:r>
      <w:r>
        <w:rPr>
          <w:rFonts w:hint="eastAsia" w:ascii="方正小标宋_GBK" w:hAnsi="方正小标宋_GBK" w:eastAsia="方正小标宋_GBK" w:cs="方正小标宋_GBK"/>
          <w:sz w:val="84"/>
          <w:szCs w:val="84"/>
        </w:rPr>
        <w:t>概况</w:t>
      </w:r>
    </w:p>
    <w:p>
      <w:pPr>
        <w:pStyle w:val="7"/>
        <w:rPr>
          <w:rFonts w:hint="eastAsia" w:ascii="方正小标宋_GBK" w:hAnsi="方正小标宋_GBK" w:eastAsia="方正小标宋_GBK" w:cs="方正小标宋_GBK"/>
          <w:sz w:val="84"/>
          <w:szCs w:val="84"/>
        </w:rPr>
      </w:pPr>
    </w:p>
    <w:p>
      <w:pPr>
        <w:pStyle w:val="3"/>
        <w:rPr>
          <w:rFonts w:hint="eastAsia" w:ascii="方正小标宋_GBK" w:hAnsi="方正小标宋_GBK" w:eastAsia="方正小标宋_GBK" w:cs="方正小标宋_GBK"/>
          <w:sz w:val="84"/>
          <w:szCs w:val="84"/>
        </w:rPr>
      </w:pPr>
    </w:p>
    <w:p>
      <w:pPr>
        <w:rPr>
          <w:rFonts w:hint="eastAsia" w:ascii="方正小标宋_GBK" w:hAnsi="方正小标宋_GBK" w:eastAsia="方正小标宋_GBK" w:cs="方正小标宋_GBK"/>
          <w:sz w:val="84"/>
          <w:szCs w:val="84"/>
        </w:rPr>
      </w:pPr>
    </w:p>
    <w:p>
      <w:pPr>
        <w:pStyle w:val="7"/>
        <w:rPr>
          <w:rFonts w:hint="eastAsia" w:ascii="方正小标宋_GBK" w:hAnsi="方正小标宋_GBK" w:eastAsia="方正小标宋_GBK" w:cs="方正小标宋_GBK"/>
          <w:sz w:val="84"/>
          <w:szCs w:val="84"/>
        </w:rPr>
      </w:pPr>
    </w:p>
    <w:p>
      <w:pPr>
        <w:pStyle w:val="3"/>
        <w:rPr>
          <w:rFonts w:hint="eastAsia" w:ascii="方正小标宋_GBK" w:hAnsi="方正小标宋_GBK" w:eastAsia="方正小标宋_GBK" w:cs="方正小标宋_GBK"/>
          <w:sz w:val="84"/>
          <w:szCs w:val="84"/>
        </w:rPr>
      </w:pPr>
    </w:p>
    <w:p>
      <w:pPr>
        <w:pStyle w:val="13"/>
        <w:numPr>
          <w:ilvl w:val="0"/>
          <w:numId w:val="1"/>
        </w:numPr>
        <w:ind w:firstLineChars="0"/>
        <w:jc w:val="left"/>
        <w:rPr>
          <w:rFonts w:hint="eastAsia" w:ascii="黑体" w:hAnsi="黑体" w:eastAsia="黑体" w:cs="黑体"/>
          <w:b w:val="0"/>
          <w:bCs w:val="0"/>
          <w:sz w:val="32"/>
          <w:szCs w:val="32"/>
        </w:rPr>
      </w:pPr>
      <w:r>
        <w:rPr>
          <w:rFonts w:hint="eastAsia" w:ascii="黑体" w:hAnsi="黑体" w:eastAsia="黑体" w:cs="黑体"/>
          <w:b w:val="0"/>
          <w:bCs w:val="0"/>
          <w:sz w:val="32"/>
          <w:szCs w:val="32"/>
        </w:rPr>
        <w:t>部门职责</w:t>
      </w:r>
    </w:p>
    <w:p>
      <w:pPr>
        <w:numPr>
          <w:ilvl w:val="0"/>
          <w:numId w:val="0"/>
        </w:numPr>
        <w:ind w:firstLine="800" w:firstLineChars="250"/>
        <w:jc w:val="left"/>
        <w:rPr>
          <w:rFonts w:hint="eastAsia" w:ascii="Times New Roman" w:hAnsi="Times New Roman" w:eastAsia="仿宋_GB2312" w:cs="仿宋_GB2312"/>
          <w:sz w:val="32"/>
          <w:szCs w:val="32"/>
        </w:rPr>
      </w:pPr>
      <w:r>
        <w:rPr>
          <w:rFonts w:hint="eastAsia" w:ascii="Times New Roman" w:hAnsi="Times New Roman" w:eastAsia="仿宋_GB2312" w:cs="仿宋_GB2312"/>
          <w:kern w:val="2"/>
          <w:sz w:val="32"/>
          <w:szCs w:val="32"/>
          <w:lang w:val="en-US" w:eastAsia="zh-CN" w:bidi="ar-SA"/>
        </w:rPr>
        <w:t>（一）</w:t>
      </w:r>
      <w:r>
        <w:rPr>
          <w:rFonts w:hint="eastAsia" w:ascii="Times New Roman" w:hAnsi="Times New Roman" w:eastAsia="仿宋_GB2312" w:cs="仿宋_GB2312"/>
          <w:sz w:val="32"/>
          <w:szCs w:val="32"/>
        </w:rPr>
        <w:t>贯彻执行生态环境法律法规和标准，会同有关部门拟订本市生态环境政策、规划并组织实施，配合制定生态环境有关地方性法规和政府规章草案；会同有关部门编制并监督实施重点区域、流域、饮用水水源地保护等生态环境规划和水、大气环境、声环境功能区划。</w:t>
      </w:r>
    </w:p>
    <w:p>
      <w:pPr>
        <w:numPr>
          <w:ilvl w:val="0"/>
          <w:numId w:val="0"/>
        </w:numPr>
        <w:ind w:firstLine="800" w:firstLineChars="250"/>
        <w:jc w:val="left"/>
        <w:rPr>
          <w:rFonts w:hint="eastAsia" w:ascii="Times New Roman" w:hAnsi="Times New Roman" w:eastAsia="仿宋_GB2312" w:cs="仿宋_GB2312"/>
          <w:sz w:val="32"/>
          <w:szCs w:val="32"/>
        </w:rPr>
      </w:pPr>
      <w:r>
        <w:rPr>
          <w:rFonts w:hint="eastAsia" w:ascii="Times New Roman" w:hAnsi="Times New Roman" w:eastAsia="仿宋_GB2312" w:cs="仿宋_GB2312"/>
          <w:kern w:val="2"/>
          <w:sz w:val="32"/>
          <w:szCs w:val="32"/>
          <w:lang w:val="en-US" w:eastAsia="zh-CN" w:bidi="ar-SA"/>
        </w:rPr>
        <w:t>（二）</w:t>
      </w:r>
      <w:r>
        <w:rPr>
          <w:rFonts w:hint="eastAsia" w:ascii="Times New Roman" w:hAnsi="Times New Roman" w:eastAsia="仿宋_GB2312" w:cs="仿宋_GB2312"/>
          <w:sz w:val="32"/>
          <w:szCs w:val="32"/>
        </w:rPr>
        <w:t>负责全市生态环境问题的统筹协调和监督管理。</w:t>
      </w:r>
    </w:p>
    <w:p>
      <w:pPr>
        <w:numPr>
          <w:ilvl w:val="0"/>
          <w:numId w:val="0"/>
        </w:numPr>
        <w:ind w:firstLine="800" w:firstLineChars="250"/>
        <w:jc w:val="left"/>
        <w:rPr>
          <w:rFonts w:hint="eastAsia" w:ascii="Times New Roman" w:hAnsi="Times New Roman" w:eastAsia="仿宋_GB2312" w:cs="仿宋_GB2312"/>
          <w:sz w:val="32"/>
          <w:szCs w:val="32"/>
        </w:rPr>
      </w:pPr>
      <w:r>
        <w:rPr>
          <w:rFonts w:hint="eastAsia" w:ascii="Times New Roman" w:hAnsi="Times New Roman" w:eastAsia="仿宋_GB2312" w:cs="仿宋_GB2312"/>
          <w:kern w:val="2"/>
          <w:sz w:val="32"/>
          <w:szCs w:val="32"/>
          <w:lang w:val="en-US" w:eastAsia="zh-CN" w:bidi="ar-SA"/>
        </w:rPr>
        <w:t>（三）</w:t>
      </w:r>
      <w:r>
        <w:rPr>
          <w:rFonts w:hint="eastAsia" w:ascii="Times New Roman" w:hAnsi="Times New Roman" w:eastAsia="仿宋_GB2312" w:cs="仿宋_GB2312"/>
          <w:sz w:val="32"/>
          <w:szCs w:val="32"/>
        </w:rPr>
        <w:t>负责监督管理减排目标的落实。</w:t>
      </w:r>
    </w:p>
    <w:p>
      <w:pPr>
        <w:numPr>
          <w:ilvl w:val="0"/>
          <w:numId w:val="0"/>
        </w:numPr>
        <w:ind w:firstLine="800" w:firstLineChars="250"/>
        <w:jc w:val="left"/>
        <w:rPr>
          <w:rFonts w:hint="eastAsia" w:ascii="Times New Roman" w:hAnsi="Times New Roman" w:eastAsia="仿宋_GB2312" w:cs="仿宋_GB2312"/>
          <w:sz w:val="32"/>
          <w:szCs w:val="32"/>
        </w:rPr>
      </w:pPr>
      <w:r>
        <w:rPr>
          <w:rFonts w:hint="eastAsia" w:ascii="Times New Roman" w:hAnsi="Times New Roman" w:eastAsia="仿宋_GB2312" w:cs="仿宋_GB2312"/>
          <w:kern w:val="2"/>
          <w:sz w:val="32"/>
          <w:szCs w:val="32"/>
          <w:lang w:val="en-US" w:eastAsia="zh-CN" w:bidi="ar-SA"/>
        </w:rPr>
        <w:t>（四）</w:t>
      </w:r>
      <w:r>
        <w:rPr>
          <w:rFonts w:hint="eastAsia" w:ascii="Times New Roman" w:hAnsi="Times New Roman" w:eastAsia="仿宋_GB2312" w:cs="仿宋_GB2312"/>
          <w:sz w:val="32"/>
          <w:szCs w:val="32"/>
        </w:rPr>
        <w:t>负责提出生态环境领域固定资产投资规模和方向、市级财政性资金安排的意见，按规定权限审批、核准规划内和年度计划规模内生态环境领域固定资产投资项目，配合有关部门做好组织实施和监督工作。</w:t>
      </w:r>
    </w:p>
    <w:p>
      <w:pPr>
        <w:numPr>
          <w:ilvl w:val="0"/>
          <w:numId w:val="0"/>
        </w:numPr>
        <w:ind w:firstLine="800" w:firstLineChars="250"/>
        <w:jc w:val="left"/>
        <w:rPr>
          <w:rFonts w:hint="eastAsia" w:ascii="Times New Roman" w:hAnsi="Times New Roman" w:eastAsia="仿宋_GB2312" w:cs="仿宋_GB2312"/>
          <w:sz w:val="32"/>
          <w:szCs w:val="32"/>
        </w:rPr>
      </w:pPr>
      <w:r>
        <w:rPr>
          <w:rFonts w:hint="eastAsia" w:ascii="Times New Roman" w:hAnsi="Times New Roman" w:eastAsia="仿宋_GB2312" w:cs="仿宋_GB2312"/>
          <w:kern w:val="2"/>
          <w:sz w:val="32"/>
          <w:szCs w:val="32"/>
          <w:lang w:val="en-US" w:eastAsia="zh-CN" w:bidi="ar-SA"/>
        </w:rPr>
        <w:t>（五）</w:t>
      </w:r>
      <w:r>
        <w:rPr>
          <w:rFonts w:hint="eastAsia" w:ascii="Times New Roman" w:hAnsi="Times New Roman" w:eastAsia="仿宋_GB2312" w:cs="仿宋_GB2312"/>
          <w:sz w:val="32"/>
          <w:szCs w:val="32"/>
        </w:rPr>
        <w:t>负责环境污染防治的监督管理。</w:t>
      </w:r>
    </w:p>
    <w:p>
      <w:pPr>
        <w:numPr>
          <w:ilvl w:val="0"/>
          <w:numId w:val="0"/>
        </w:numPr>
        <w:ind w:firstLine="800" w:firstLineChars="250"/>
        <w:jc w:val="left"/>
        <w:rPr>
          <w:rFonts w:hint="eastAsia" w:ascii="Times New Roman" w:hAnsi="Times New Roman" w:eastAsia="仿宋_GB2312" w:cs="仿宋_GB2312"/>
          <w:sz w:val="32"/>
          <w:szCs w:val="32"/>
        </w:rPr>
      </w:pPr>
      <w:r>
        <w:rPr>
          <w:rFonts w:hint="eastAsia" w:ascii="Times New Roman" w:hAnsi="Times New Roman" w:eastAsia="仿宋_GB2312" w:cs="仿宋_GB2312"/>
          <w:kern w:val="2"/>
          <w:sz w:val="32"/>
          <w:szCs w:val="32"/>
          <w:lang w:val="en-US" w:eastAsia="zh-CN" w:bidi="ar-SA"/>
        </w:rPr>
        <w:t>（六）</w:t>
      </w:r>
      <w:r>
        <w:rPr>
          <w:rFonts w:hint="eastAsia" w:ascii="Times New Roman" w:hAnsi="Times New Roman" w:eastAsia="仿宋_GB2312" w:cs="仿宋_GB2312"/>
          <w:sz w:val="32"/>
          <w:szCs w:val="32"/>
        </w:rPr>
        <w:t>指导协调和监督生态保护修复工作。</w:t>
      </w:r>
    </w:p>
    <w:p>
      <w:pPr>
        <w:numPr>
          <w:ilvl w:val="0"/>
          <w:numId w:val="0"/>
        </w:numPr>
        <w:ind w:firstLine="800" w:firstLineChars="250"/>
        <w:jc w:val="left"/>
        <w:rPr>
          <w:rFonts w:hint="eastAsia" w:ascii="Times New Roman" w:hAnsi="Times New Roman" w:eastAsia="仿宋_GB2312" w:cs="仿宋_GB2312"/>
          <w:sz w:val="32"/>
          <w:szCs w:val="32"/>
        </w:rPr>
      </w:pPr>
      <w:r>
        <w:rPr>
          <w:rFonts w:hint="eastAsia" w:ascii="Times New Roman" w:hAnsi="Times New Roman" w:eastAsia="仿宋_GB2312" w:cs="仿宋_GB2312"/>
          <w:kern w:val="2"/>
          <w:sz w:val="32"/>
          <w:szCs w:val="32"/>
          <w:lang w:val="en-US" w:eastAsia="zh-CN" w:bidi="ar-SA"/>
        </w:rPr>
        <w:t>（七）</w:t>
      </w:r>
      <w:r>
        <w:rPr>
          <w:rFonts w:hint="eastAsia" w:ascii="Times New Roman" w:hAnsi="Times New Roman" w:eastAsia="仿宋_GB2312" w:cs="仿宋_GB2312"/>
          <w:sz w:val="32"/>
          <w:szCs w:val="32"/>
        </w:rPr>
        <w:t>负责核与辐射安全的监督管理。</w:t>
      </w:r>
    </w:p>
    <w:p>
      <w:pPr>
        <w:numPr>
          <w:ilvl w:val="0"/>
          <w:numId w:val="0"/>
        </w:numPr>
        <w:ind w:firstLine="800" w:firstLineChars="250"/>
        <w:jc w:val="left"/>
        <w:rPr>
          <w:rFonts w:hint="eastAsia" w:ascii="Times New Roman" w:hAnsi="Times New Roman" w:eastAsia="仿宋_GB2312" w:cs="仿宋_GB2312"/>
          <w:sz w:val="32"/>
          <w:szCs w:val="32"/>
        </w:rPr>
      </w:pPr>
      <w:r>
        <w:rPr>
          <w:rFonts w:hint="eastAsia" w:ascii="Times New Roman" w:hAnsi="Times New Roman" w:eastAsia="仿宋_GB2312" w:cs="仿宋_GB2312"/>
          <w:kern w:val="2"/>
          <w:sz w:val="32"/>
          <w:szCs w:val="32"/>
          <w:lang w:val="en-US" w:eastAsia="zh-CN" w:bidi="ar-SA"/>
        </w:rPr>
        <w:t>（八）</w:t>
      </w:r>
      <w:r>
        <w:rPr>
          <w:rFonts w:hint="eastAsia" w:ascii="Times New Roman" w:hAnsi="Times New Roman" w:eastAsia="仿宋_GB2312" w:cs="仿宋_GB2312"/>
          <w:sz w:val="32"/>
          <w:szCs w:val="32"/>
        </w:rPr>
        <w:t>负责生态环境准入的监督管理。</w:t>
      </w:r>
    </w:p>
    <w:p>
      <w:pPr>
        <w:numPr>
          <w:ilvl w:val="0"/>
          <w:numId w:val="0"/>
        </w:numPr>
        <w:ind w:firstLine="800" w:firstLineChars="250"/>
        <w:jc w:val="left"/>
        <w:rPr>
          <w:rFonts w:hint="eastAsia" w:ascii="Times New Roman" w:hAnsi="Times New Roman" w:eastAsia="仿宋_GB2312" w:cs="仿宋_GB2312"/>
          <w:sz w:val="32"/>
          <w:szCs w:val="32"/>
        </w:rPr>
      </w:pPr>
      <w:r>
        <w:rPr>
          <w:rFonts w:hint="eastAsia" w:ascii="Times New Roman" w:hAnsi="Times New Roman" w:eastAsia="仿宋_GB2312" w:cs="仿宋_GB2312"/>
          <w:kern w:val="2"/>
          <w:sz w:val="32"/>
          <w:szCs w:val="32"/>
          <w:lang w:val="en-US" w:eastAsia="zh-CN" w:bidi="ar-SA"/>
        </w:rPr>
        <w:t>（九）</w:t>
      </w:r>
      <w:r>
        <w:rPr>
          <w:rFonts w:hint="eastAsia" w:ascii="Times New Roman" w:hAnsi="Times New Roman" w:eastAsia="仿宋_GB2312" w:cs="仿宋_GB2312"/>
          <w:sz w:val="32"/>
          <w:szCs w:val="32"/>
        </w:rPr>
        <w:t>负责重点污染源监测工作。</w:t>
      </w:r>
    </w:p>
    <w:p>
      <w:pPr>
        <w:numPr>
          <w:ilvl w:val="0"/>
          <w:numId w:val="0"/>
        </w:numPr>
        <w:ind w:firstLine="800" w:firstLineChars="250"/>
        <w:jc w:val="left"/>
        <w:rPr>
          <w:rFonts w:hint="eastAsia" w:ascii="Times New Roman" w:hAnsi="Times New Roman" w:eastAsia="仿宋_GB2312" w:cs="仿宋_GB2312"/>
          <w:sz w:val="32"/>
          <w:szCs w:val="32"/>
        </w:rPr>
      </w:pPr>
      <w:r>
        <w:rPr>
          <w:rFonts w:hint="eastAsia" w:ascii="Times New Roman" w:hAnsi="Times New Roman" w:eastAsia="仿宋_GB2312" w:cs="仿宋_GB2312"/>
          <w:kern w:val="2"/>
          <w:sz w:val="32"/>
          <w:szCs w:val="32"/>
          <w:lang w:val="en-US" w:eastAsia="zh-CN" w:bidi="ar-SA"/>
        </w:rPr>
        <w:t>（十）</w:t>
      </w:r>
      <w:r>
        <w:rPr>
          <w:rFonts w:hint="eastAsia" w:ascii="Times New Roman" w:hAnsi="Times New Roman" w:eastAsia="仿宋_GB2312" w:cs="仿宋_GB2312"/>
          <w:sz w:val="32"/>
          <w:szCs w:val="32"/>
        </w:rPr>
        <w:t>负责应对气候变化工作。</w:t>
      </w:r>
    </w:p>
    <w:p>
      <w:pPr>
        <w:keepNext w:val="0"/>
        <w:keepLines w:val="0"/>
        <w:pageBreakBefore w:val="0"/>
        <w:widowControl w:val="0"/>
        <w:numPr>
          <w:ilvl w:val="0"/>
          <w:numId w:val="0"/>
        </w:numPr>
        <w:kinsoku/>
        <w:wordWrap/>
        <w:overflowPunct/>
        <w:topLinePunct w:val="0"/>
        <w:autoSpaceDE/>
        <w:autoSpaceDN/>
        <w:bidi w:val="0"/>
        <w:adjustRightInd/>
        <w:snapToGrid/>
        <w:ind w:left="0" w:leftChars="0" w:firstLine="640" w:firstLineChars="200"/>
        <w:jc w:val="left"/>
        <w:textAlignment w:val="auto"/>
        <w:rPr>
          <w:rFonts w:hint="eastAsia" w:ascii="Times New Roman" w:hAnsi="Times New Roman" w:eastAsia="仿宋_GB2312" w:cs="仿宋_GB2312"/>
          <w:sz w:val="32"/>
          <w:szCs w:val="32"/>
        </w:rPr>
      </w:pPr>
      <w:r>
        <w:rPr>
          <w:rFonts w:hint="eastAsia" w:ascii="Times New Roman" w:hAnsi="Times New Roman" w:eastAsia="仿宋_GB2312" w:cs="仿宋_GB2312"/>
          <w:kern w:val="2"/>
          <w:sz w:val="32"/>
          <w:szCs w:val="32"/>
          <w:lang w:val="en-US" w:eastAsia="zh-CN" w:bidi="ar-SA"/>
        </w:rPr>
        <w:t>（十一）</w:t>
      </w:r>
      <w:r>
        <w:rPr>
          <w:rFonts w:hint="eastAsia" w:ascii="Times New Roman" w:hAnsi="Times New Roman" w:eastAsia="仿宋_GB2312" w:cs="仿宋_GB2312"/>
          <w:sz w:val="32"/>
          <w:szCs w:val="32"/>
        </w:rPr>
        <w:t>配合开展生态环境保护督察工作。</w:t>
      </w:r>
    </w:p>
    <w:p>
      <w:pPr>
        <w:keepNext w:val="0"/>
        <w:keepLines w:val="0"/>
        <w:pageBreakBefore w:val="0"/>
        <w:widowControl w:val="0"/>
        <w:numPr>
          <w:ilvl w:val="0"/>
          <w:numId w:val="0"/>
        </w:numPr>
        <w:kinsoku/>
        <w:wordWrap/>
        <w:overflowPunct/>
        <w:topLinePunct w:val="0"/>
        <w:autoSpaceDE/>
        <w:autoSpaceDN/>
        <w:bidi w:val="0"/>
        <w:adjustRightInd/>
        <w:snapToGrid/>
        <w:ind w:left="0" w:leftChars="0" w:firstLine="640" w:firstLineChars="200"/>
        <w:jc w:val="left"/>
        <w:textAlignment w:val="auto"/>
        <w:rPr>
          <w:rFonts w:hint="eastAsia" w:ascii="Times New Roman" w:hAnsi="Times New Roman" w:eastAsia="仿宋_GB2312" w:cs="仿宋_GB2312"/>
          <w:sz w:val="32"/>
          <w:szCs w:val="32"/>
        </w:rPr>
      </w:pPr>
      <w:r>
        <w:rPr>
          <w:rFonts w:hint="eastAsia" w:ascii="Times New Roman" w:hAnsi="Times New Roman" w:eastAsia="仿宋_GB2312" w:cs="仿宋_GB2312"/>
          <w:kern w:val="2"/>
          <w:sz w:val="32"/>
          <w:szCs w:val="32"/>
          <w:lang w:val="en-US" w:eastAsia="zh-CN" w:bidi="ar-SA"/>
        </w:rPr>
        <w:t>（十二）</w:t>
      </w:r>
      <w:r>
        <w:rPr>
          <w:rFonts w:hint="eastAsia" w:ascii="Times New Roman" w:hAnsi="Times New Roman" w:eastAsia="仿宋_GB2312" w:cs="仿宋_GB2312"/>
          <w:sz w:val="32"/>
          <w:szCs w:val="32"/>
        </w:rPr>
        <w:t>统一监督生态环境执法工作。</w:t>
      </w:r>
    </w:p>
    <w:p>
      <w:pPr>
        <w:keepNext w:val="0"/>
        <w:keepLines w:val="0"/>
        <w:pageBreakBefore w:val="0"/>
        <w:widowControl w:val="0"/>
        <w:numPr>
          <w:ilvl w:val="0"/>
          <w:numId w:val="0"/>
        </w:numPr>
        <w:kinsoku/>
        <w:wordWrap/>
        <w:overflowPunct/>
        <w:topLinePunct w:val="0"/>
        <w:autoSpaceDE/>
        <w:autoSpaceDN/>
        <w:bidi w:val="0"/>
        <w:adjustRightInd/>
        <w:snapToGrid/>
        <w:ind w:left="0" w:leftChars="0" w:firstLine="640" w:firstLineChars="200"/>
        <w:jc w:val="left"/>
        <w:textAlignment w:val="auto"/>
        <w:rPr>
          <w:rFonts w:hint="eastAsia" w:ascii="Times New Roman" w:hAnsi="Times New Roman" w:eastAsia="仿宋_GB2312" w:cs="仿宋_GB2312"/>
          <w:sz w:val="32"/>
          <w:szCs w:val="32"/>
        </w:rPr>
      </w:pPr>
      <w:r>
        <w:rPr>
          <w:rFonts w:hint="eastAsia" w:ascii="Times New Roman" w:hAnsi="Times New Roman" w:eastAsia="仿宋_GB2312" w:cs="仿宋_GB2312"/>
          <w:kern w:val="2"/>
          <w:sz w:val="32"/>
          <w:szCs w:val="32"/>
          <w:lang w:val="en-US" w:eastAsia="zh-CN" w:bidi="ar-SA"/>
        </w:rPr>
        <w:t>（十三）</w:t>
      </w:r>
      <w:r>
        <w:rPr>
          <w:rFonts w:hint="eastAsia" w:ascii="Times New Roman" w:hAnsi="Times New Roman" w:eastAsia="仿宋_GB2312" w:cs="仿宋_GB2312"/>
          <w:sz w:val="32"/>
          <w:szCs w:val="32"/>
        </w:rPr>
        <w:t>组织指导和协调生态环境宣传教育工作，贯彻实施生态环境保护宣传教育纲要，推动社会组织和公众参与生态环境保护。</w:t>
      </w:r>
    </w:p>
    <w:p>
      <w:pPr>
        <w:keepNext w:val="0"/>
        <w:keepLines w:val="0"/>
        <w:pageBreakBefore w:val="0"/>
        <w:widowControl w:val="0"/>
        <w:numPr>
          <w:ilvl w:val="0"/>
          <w:numId w:val="0"/>
        </w:numPr>
        <w:kinsoku/>
        <w:wordWrap/>
        <w:overflowPunct/>
        <w:topLinePunct w:val="0"/>
        <w:autoSpaceDE/>
        <w:autoSpaceDN/>
        <w:bidi w:val="0"/>
        <w:adjustRightInd/>
        <w:snapToGrid/>
        <w:ind w:left="0" w:leftChars="0" w:firstLine="640" w:firstLineChars="200"/>
        <w:jc w:val="left"/>
        <w:textAlignment w:val="auto"/>
        <w:rPr>
          <w:rFonts w:hint="eastAsia" w:ascii="Times New Roman" w:hAnsi="Times New Roman" w:eastAsia="仿宋_GB2312" w:cs="仿宋_GB2312"/>
          <w:sz w:val="32"/>
          <w:szCs w:val="32"/>
        </w:rPr>
      </w:pPr>
      <w:r>
        <w:rPr>
          <w:rFonts w:hint="eastAsia" w:ascii="Times New Roman" w:hAnsi="Times New Roman" w:eastAsia="仿宋_GB2312" w:cs="仿宋_GB2312"/>
          <w:kern w:val="2"/>
          <w:sz w:val="32"/>
          <w:szCs w:val="32"/>
          <w:lang w:val="en-US" w:eastAsia="zh-CN" w:bidi="ar-SA"/>
        </w:rPr>
        <w:t>（十四）</w:t>
      </w:r>
      <w:r>
        <w:rPr>
          <w:rFonts w:hint="eastAsia" w:ascii="Times New Roman" w:hAnsi="Times New Roman" w:eastAsia="仿宋_GB2312" w:cs="仿宋_GB2312"/>
          <w:sz w:val="32"/>
          <w:szCs w:val="32"/>
        </w:rPr>
        <w:t>开展生态环境对外合作交流，研究提出生态环境对外合作中有关问题的建议，组织协调有关生态环境国际条约的本市履约工作，参与处理涉外生态环境事务。</w:t>
      </w:r>
    </w:p>
    <w:p>
      <w:pPr>
        <w:keepNext w:val="0"/>
        <w:keepLines w:val="0"/>
        <w:pageBreakBefore w:val="0"/>
        <w:widowControl w:val="0"/>
        <w:numPr>
          <w:ilvl w:val="0"/>
          <w:numId w:val="0"/>
        </w:numPr>
        <w:kinsoku/>
        <w:wordWrap/>
        <w:overflowPunct/>
        <w:topLinePunct w:val="0"/>
        <w:autoSpaceDE/>
        <w:autoSpaceDN/>
        <w:bidi w:val="0"/>
        <w:adjustRightInd/>
        <w:snapToGrid/>
        <w:ind w:left="0" w:leftChars="0" w:firstLine="640" w:firstLineChars="200"/>
        <w:jc w:val="left"/>
        <w:textAlignment w:val="auto"/>
        <w:rPr>
          <w:rFonts w:hint="eastAsia" w:ascii="Times New Roman" w:hAnsi="Times New Roman" w:eastAsia="仿宋_GB2312" w:cs="仿宋_GB2312"/>
          <w:sz w:val="32"/>
          <w:szCs w:val="32"/>
        </w:rPr>
      </w:pPr>
      <w:r>
        <w:rPr>
          <w:rFonts w:hint="eastAsia" w:ascii="Times New Roman" w:hAnsi="Times New Roman" w:eastAsia="仿宋_GB2312" w:cs="仿宋_GB2312"/>
          <w:kern w:val="2"/>
          <w:sz w:val="32"/>
          <w:szCs w:val="32"/>
          <w:lang w:val="en-US" w:eastAsia="zh-CN" w:bidi="ar-SA"/>
        </w:rPr>
        <w:t>（十五）</w:t>
      </w:r>
      <w:r>
        <w:rPr>
          <w:rFonts w:hint="eastAsia" w:ascii="Times New Roman" w:hAnsi="Times New Roman" w:eastAsia="仿宋_GB2312" w:cs="仿宋_GB2312"/>
          <w:sz w:val="32"/>
          <w:szCs w:val="32"/>
        </w:rPr>
        <w:t>完成市委、市政府交办的其他事项。</w:t>
      </w:r>
    </w:p>
    <w:p>
      <w:pPr>
        <w:keepNext w:val="0"/>
        <w:keepLines w:val="0"/>
        <w:pageBreakBefore w:val="0"/>
        <w:widowControl w:val="0"/>
        <w:numPr>
          <w:ilvl w:val="0"/>
          <w:numId w:val="0"/>
        </w:numPr>
        <w:kinsoku/>
        <w:wordWrap/>
        <w:overflowPunct/>
        <w:topLinePunct w:val="0"/>
        <w:autoSpaceDE/>
        <w:autoSpaceDN/>
        <w:bidi w:val="0"/>
        <w:adjustRightInd/>
        <w:snapToGrid/>
        <w:ind w:left="0" w:leftChars="0" w:firstLine="640" w:firstLineChars="200"/>
        <w:jc w:val="left"/>
        <w:textAlignment w:val="auto"/>
        <w:rPr>
          <w:rFonts w:hint="eastAsia" w:ascii="Times New Roman" w:hAnsi="Times New Roman" w:eastAsia="仿宋_GB2312" w:cs="仿宋_GB2312"/>
          <w:sz w:val="32"/>
          <w:szCs w:val="32"/>
        </w:rPr>
      </w:pPr>
      <w:r>
        <w:rPr>
          <w:rFonts w:hint="eastAsia" w:ascii="Times New Roman" w:hAnsi="Times New Roman" w:eastAsia="仿宋_GB2312" w:cs="仿宋_GB2312"/>
          <w:kern w:val="2"/>
          <w:sz w:val="32"/>
          <w:szCs w:val="32"/>
          <w:lang w:val="en-US" w:eastAsia="zh-CN" w:bidi="ar-SA"/>
        </w:rPr>
        <w:t>（十六）</w:t>
      </w:r>
      <w:r>
        <w:rPr>
          <w:rFonts w:hint="eastAsia" w:ascii="Times New Roman" w:hAnsi="Times New Roman" w:eastAsia="仿宋_GB2312" w:cs="仿宋_GB2312"/>
          <w:sz w:val="32"/>
          <w:szCs w:val="32"/>
        </w:rPr>
        <w:t>职能转变。</w:t>
      </w:r>
    </w:p>
    <w:p>
      <w:pPr>
        <w:widowControl/>
        <w:spacing w:line="600" w:lineRule="exact"/>
        <w:rPr>
          <w:rFonts w:hint="eastAsia" w:ascii="黑体" w:hAnsi="黑体" w:eastAsia="黑体" w:cs="黑体"/>
          <w:b w:val="0"/>
          <w:bCs/>
          <w:kern w:val="0"/>
          <w:sz w:val="32"/>
          <w:szCs w:val="32"/>
        </w:rPr>
      </w:pPr>
      <w:r>
        <w:rPr>
          <w:rFonts w:hint="eastAsia" w:ascii="黑体" w:hAnsi="黑体" w:eastAsia="黑体" w:cs="黑体"/>
          <w:b w:val="0"/>
          <w:bCs/>
          <w:kern w:val="0"/>
          <w:sz w:val="32"/>
          <w:szCs w:val="32"/>
        </w:rPr>
        <w:t>二、机构设置及决算单位构成</w:t>
      </w:r>
    </w:p>
    <w:p>
      <w:pPr>
        <w:widowControl/>
        <w:spacing w:line="600" w:lineRule="exact"/>
        <w:rPr>
          <w:rFonts w:hint="eastAsia" w:ascii="Times New Roman" w:hAnsi="Times New Roman" w:eastAsia="仿宋_GB2312" w:cs="仿宋_GB2312"/>
          <w:bCs/>
          <w:kern w:val="0"/>
          <w:sz w:val="32"/>
          <w:szCs w:val="32"/>
        </w:rPr>
      </w:pPr>
      <w:r>
        <w:rPr>
          <w:rFonts w:hint="eastAsia" w:ascii="Times New Roman" w:hAnsi="Times New Roman" w:eastAsia="仿宋_GB2312" w:cs="仿宋_GB2312"/>
          <w:bCs/>
          <w:kern w:val="0"/>
          <w:sz w:val="32"/>
          <w:szCs w:val="32"/>
        </w:rPr>
        <w:t>（一）内设机构设置。岳阳市生态环境局内设机构包括：2023年我局共有在职干部职工7</w:t>
      </w:r>
      <w:r>
        <w:rPr>
          <w:rFonts w:hint="eastAsia" w:ascii="Times New Roman" w:hAnsi="Times New Roman" w:eastAsia="仿宋_GB2312" w:cs="仿宋_GB2312"/>
          <w:bCs/>
          <w:kern w:val="0"/>
          <w:sz w:val="32"/>
          <w:szCs w:val="32"/>
          <w:lang w:val="en-US" w:eastAsia="zh-CN"/>
        </w:rPr>
        <w:t>06</w:t>
      </w:r>
      <w:r>
        <w:rPr>
          <w:rFonts w:hint="eastAsia" w:ascii="Times New Roman" w:hAnsi="Times New Roman" w:eastAsia="仿宋_GB2312" w:cs="仿宋_GB2312"/>
          <w:bCs/>
          <w:kern w:val="0"/>
          <w:sz w:val="32"/>
          <w:szCs w:val="32"/>
        </w:rPr>
        <w:t>人，核定编制人数7</w:t>
      </w:r>
      <w:r>
        <w:rPr>
          <w:rFonts w:hint="eastAsia" w:ascii="Times New Roman" w:hAnsi="Times New Roman" w:eastAsia="仿宋_GB2312" w:cs="仿宋_GB2312"/>
          <w:bCs/>
          <w:kern w:val="0"/>
          <w:sz w:val="32"/>
          <w:szCs w:val="32"/>
          <w:lang w:val="en-US" w:eastAsia="zh-CN"/>
        </w:rPr>
        <w:t>06</w:t>
      </w:r>
      <w:r>
        <w:rPr>
          <w:rFonts w:hint="eastAsia" w:ascii="Times New Roman" w:hAnsi="Times New Roman" w:eastAsia="仿宋_GB2312" w:cs="仿宋_GB2312"/>
          <w:bCs/>
          <w:kern w:val="0"/>
          <w:sz w:val="32"/>
          <w:szCs w:val="32"/>
        </w:rPr>
        <w:t>人，</w:t>
      </w:r>
      <w:r>
        <w:rPr>
          <w:rFonts w:hint="eastAsia" w:ascii="Times New Roman" w:hAnsi="Times New Roman" w:eastAsia="仿宋_GB2312" w:cs="仿宋_GB2312"/>
          <w:bCs/>
          <w:kern w:val="0"/>
          <w:sz w:val="32"/>
          <w:szCs w:val="32"/>
          <w:lang w:eastAsia="zh-CN"/>
        </w:rPr>
        <w:t>其中：行政人员</w:t>
      </w:r>
      <w:r>
        <w:rPr>
          <w:rFonts w:hint="eastAsia" w:ascii="Times New Roman" w:hAnsi="Times New Roman" w:eastAsia="仿宋_GB2312" w:cs="仿宋_GB2312"/>
          <w:bCs/>
          <w:kern w:val="0"/>
          <w:sz w:val="32"/>
          <w:szCs w:val="32"/>
          <w:lang w:val="en-US" w:eastAsia="zh-CN"/>
        </w:rPr>
        <w:t>338人，事业人员368人，退休人员239人，</w:t>
      </w:r>
      <w:r>
        <w:rPr>
          <w:rFonts w:hint="eastAsia" w:ascii="Times New Roman" w:hAnsi="Times New Roman" w:eastAsia="仿宋_GB2312" w:cs="仿宋_GB2312"/>
          <w:bCs/>
          <w:kern w:val="0"/>
          <w:sz w:val="32"/>
          <w:szCs w:val="32"/>
        </w:rPr>
        <w:t>大专以上学历占90%以上。市局内设办公室、生态环境监督科、综合协调科、法规与标准科、自然生态保护科、水生态环境科、大气环境与应对气候变化科、土壤生态环境科、固体废物与化学品科、核与辐射管理科、环评和污染排放科（行政审批办公室）、宣教与监测科、科技与财务科、人事科14个职能科室和机关党委（纪委）、机关工会、离退休人员管理服务科。下设综合行政执法支队、生态环境事务中心2个二级机构；平江、岳阳县、华容、湘阴、汨罗、临湘、岳阳楼、云溪、君山、经开、南湖、屈原、城陵矶新港区分局13个派出机构。</w:t>
      </w:r>
    </w:p>
    <w:p>
      <w:pPr>
        <w:jc w:val="left"/>
        <w:rPr>
          <w:rFonts w:hint="eastAsia" w:ascii="Times New Roman" w:hAnsi="Times New Roman" w:eastAsia="仿宋_GB2312" w:cs="仿宋_GB2312"/>
          <w:bCs/>
          <w:kern w:val="0"/>
          <w:sz w:val="32"/>
          <w:szCs w:val="32"/>
        </w:rPr>
      </w:pPr>
      <w:r>
        <w:rPr>
          <w:rFonts w:hint="eastAsia" w:ascii="Times New Roman" w:hAnsi="Times New Roman" w:eastAsia="仿宋_GB2312" w:cs="仿宋_GB2312"/>
          <w:bCs/>
          <w:kern w:val="0"/>
          <w:sz w:val="32"/>
          <w:szCs w:val="32"/>
        </w:rPr>
        <w:t>（二）决算单位构成。岳阳市生态环境局202</w:t>
      </w:r>
      <w:r>
        <w:rPr>
          <w:rFonts w:hint="eastAsia" w:ascii="Times New Roman" w:hAnsi="Times New Roman" w:eastAsia="仿宋_GB2312" w:cs="仿宋_GB2312"/>
          <w:bCs/>
          <w:kern w:val="0"/>
          <w:sz w:val="32"/>
          <w:szCs w:val="32"/>
          <w:lang w:val="en-US" w:eastAsia="zh-CN"/>
        </w:rPr>
        <w:t>3</w:t>
      </w:r>
      <w:r>
        <w:rPr>
          <w:rFonts w:hint="eastAsia" w:ascii="Times New Roman" w:hAnsi="Times New Roman" w:eastAsia="仿宋_GB2312" w:cs="仿宋_GB2312"/>
          <w:bCs/>
          <w:kern w:val="0"/>
          <w:sz w:val="32"/>
          <w:szCs w:val="32"/>
        </w:rPr>
        <w:t>年部门决算汇总公开单位构成包括：</w:t>
      </w:r>
    </w:p>
    <w:p>
      <w:pPr>
        <w:keepNext w:val="0"/>
        <w:keepLines w:val="0"/>
        <w:pageBreakBefore w:val="0"/>
        <w:widowControl/>
        <w:numPr>
          <w:ilvl w:val="0"/>
          <w:numId w:val="0"/>
        </w:numPr>
        <w:tabs>
          <w:tab w:val="left" w:pos="0"/>
        </w:tabs>
        <w:kinsoku/>
        <w:wordWrap/>
        <w:overflowPunct/>
        <w:topLinePunct w:val="0"/>
        <w:autoSpaceDE/>
        <w:autoSpaceDN/>
        <w:bidi w:val="0"/>
        <w:adjustRightInd/>
        <w:snapToGrid/>
        <w:spacing w:line="600" w:lineRule="exact"/>
        <w:ind w:left="0" w:leftChars="0" w:firstLine="640" w:firstLineChars="200"/>
        <w:textAlignment w:val="auto"/>
        <w:rPr>
          <w:rFonts w:hint="eastAsia" w:ascii="Times New Roman" w:hAnsi="Times New Roman" w:eastAsia="仿宋_GB2312" w:cs="仿宋_GB2312"/>
          <w:bCs/>
          <w:color w:val="auto"/>
          <w:kern w:val="0"/>
          <w:sz w:val="32"/>
          <w:szCs w:val="32"/>
        </w:rPr>
      </w:pPr>
      <w:r>
        <w:rPr>
          <w:rFonts w:hint="default" w:ascii="Times New Roman" w:hAnsi="Times New Roman" w:eastAsia="仿宋_GB2312" w:cs="仿宋_GB2312"/>
          <w:bCs/>
          <w:color w:val="auto"/>
          <w:kern w:val="0"/>
          <w:sz w:val="32"/>
          <w:szCs w:val="32"/>
          <w:lang w:val="en-US" w:eastAsia="zh-CN" w:bidi="ar-SA"/>
        </w:rPr>
        <w:t>1、</w:t>
      </w:r>
      <w:r>
        <w:rPr>
          <w:rFonts w:hint="eastAsia" w:ascii="Times New Roman" w:hAnsi="Times New Roman" w:eastAsia="仿宋_GB2312" w:cs="仿宋_GB2312"/>
          <w:bCs/>
          <w:color w:val="auto"/>
          <w:kern w:val="0"/>
          <w:sz w:val="32"/>
          <w:szCs w:val="32"/>
        </w:rPr>
        <w:t>岳阳市生态环境局本级</w:t>
      </w:r>
    </w:p>
    <w:p>
      <w:pPr>
        <w:keepNext w:val="0"/>
        <w:keepLines w:val="0"/>
        <w:pageBreakBefore w:val="0"/>
        <w:widowControl/>
        <w:numPr>
          <w:ilvl w:val="0"/>
          <w:numId w:val="0"/>
        </w:numPr>
        <w:tabs>
          <w:tab w:val="left" w:pos="0"/>
        </w:tabs>
        <w:kinsoku/>
        <w:wordWrap/>
        <w:overflowPunct/>
        <w:topLinePunct w:val="0"/>
        <w:autoSpaceDE/>
        <w:autoSpaceDN/>
        <w:bidi w:val="0"/>
        <w:adjustRightInd/>
        <w:snapToGrid/>
        <w:spacing w:line="600" w:lineRule="exact"/>
        <w:ind w:left="0" w:leftChars="0" w:firstLine="640" w:firstLineChars="200"/>
        <w:textAlignment w:val="auto"/>
        <w:rPr>
          <w:rFonts w:hint="eastAsia" w:ascii="Times New Roman" w:hAnsi="Times New Roman" w:eastAsia="仿宋_GB2312" w:cs="仿宋_GB2312"/>
          <w:bCs/>
          <w:color w:val="auto"/>
          <w:kern w:val="0"/>
          <w:sz w:val="32"/>
          <w:szCs w:val="32"/>
        </w:rPr>
      </w:pPr>
      <w:r>
        <w:rPr>
          <w:rFonts w:hint="default" w:ascii="Times New Roman" w:hAnsi="Times New Roman" w:eastAsia="仿宋_GB2312" w:cs="仿宋_GB2312"/>
          <w:bCs/>
          <w:color w:val="auto"/>
          <w:kern w:val="0"/>
          <w:sz w:val="32"/>
          <w:szCs w:val="32"/>
          <w:lang w:val="en-US" w:eastAsia="zh-CN" w:bidi="ar-SA"/>
        </w:rPr>
        <w:t>2、</w:t>
      </w:r>
      <w:r>
        <w:rPr>
          <w:rFonts w:hint="eastAsia" w:ascii="Times New Roman" w:hAnsi="Times New Roman" w:eastAsia="仿宋_GB2312" w:cs="仿宋_GB2312"/>
          <w:bCs/>
          <w:color w:val="auto"/>
          <w:kern w:val="0"/>
          <w:sz w:val="32"/>
          <w:szCs w:val="32"/>
        </w:rPr>
        <w:t>岳阳市生态环境局平江分局</w:t>
      </w:r>
    </w:p>
    <w:p>
      <w:pPr>
        <w:keepNext w:val="0"/>
        <w:keepLines w:val="0"/>
        <w:pageBreakBefore w:val="0"/>
        <w:widowControl/>
        <w:numPr>
          <w:ilvl w:val="0"/>
          <w:numId w:val="0"/>
        </w:numPr>
        <w:tabs>
          <w:tab w:val="left" w:pos="0"/>
        </w:tabs>
        <w:kinsoku/>
        <w:wordWrap/>
        <w:overflowPunct/>
        <w:topLinePunct w:val="0"/>
        <w:autoSpaceDE/>
        <w:autoSpaceDN/>
        <w:bidi w:val="0"/>
        <w:adjustRightInd/>
        <w:snapToGrid/>
        <w:spacing w:line="600" w:lineRule="exact"/>
        <w:ind w:left="0" w:leftChars="0" w:firstLine="640" w:firstLineChars="200"/>
        <w:textAlignment w:val="auto"/>
        <w:rPr>
          <w:rFonts w:hint="eastAsia" w:ascii="Times New Roman" w:hAnsi="Times New Roman" w:eastAsia="仿宋_GB2312" w:cs="仿宋_GB2312"/>
          <w:bCs/>
          <w:color w:val="auto"/>
          <w:kern w:val="0"/>
          <w:sz w:val="32"/>
          <w:szCs w:val="32"/>
        </w:rPr>
      </w:pPr>
      <w:r>
        <w:rPr>
          <w:rFonts w:hint="default" w:ascii="Times New Roman" w:hAnsi="Times New Roman" w:eastAsia="仿宋_GB2312" w:cs="仿宋_GB2312"/>
          <w:bCs/>
          <w:color w:val="auto"/>
          <w:kern w:val="0"/>
          <w:sz w:val="32"/>
          <w:szCs w:val="32"/>
          <w:lang w:val="en-US" w:eastAsia="zh-CN" w:bidi="ar-SA"/>
        </w:rPr>
        <w:t>3、</w:t>
      </w:r>
      <w:r>
        <w:rPr>
          <w:rFonts w:hint="eastAsia" w:ascii="Times New Roman" w:hAnsi="Times New Roman" w:eastAsia="仿宋_GB2312" w:cs="仿宋_GB2312"/>
          <w:bCs/>
          <w:color w:val="auto"/>
          <w:kern w:val="0"/>
          <w:sz w:val="32"/>
          <w:szCs w:val="32"/>
        </w:rPr>
        <w:t>岳阳市生态环境局岳阳县分局</w:t>
      </w:r>
    </w:p>
    <w:p>
      <w:pPr>
        <w:keepNext w:val="0"/>
        <w:keepLines w:val="0"/>
        <w:pageBreakBefore w:val="0"/>
        <w:widowControl/>
        <w:numPr>
          <w:ilvl w:val="0"/>
          <w:numId w:val="0"/>
        </w:numPr>
        <w:tabs>
          <w:tab w:val="left" w:pos="0"/>
        </w:tabs>
        <w:kinsoku/>
        <w:wordWrap/>
        <w:overflowPunct/>
        <w:topLinePunct w:val="0"/>
        <w:autoSpaceDE/>
        <w:autoSpaceDN/>
        <w:bidi w:val="0"/>
        <w:adjustRightInd/>
        <w:snapToGrid/>
        <w:spacing w:line="600" w:lineRule="exact"/>
        <w:ind w:left="0" w:leftChars="0" w:firstLine="640" w:firstLineChars="200"/>
        <w:textAlignment w:val="auto"/>
        <w:rPr>
          <w:rFonts w:hint="eastAsia" w:ascii="Times New Roman" w:hAnsi="Times New Roman" w:eastAsia="仿宋_GB2312" w:cs="仿宋_GB2312"/>
          <w:bCs/>
          <w:color w:val="auto"/>
          <w:kern w:val="0"/>
          <w:sz w:val="32"/>
          <w:szCs w:val="32"/>
        </w:rPr>
      </w:pPr>
      <w:r>
        <w:rPr>
          <w:rFonts w:hint="default" w:ascii="Times New Roman" w:hAnsi="Times New Roman" w:eastAsia="仿宋_GB2312" w:cs="仿宋_GB2312"/>
          <w:bCs/>
          <w:color w:val="auto"/>
          <w:kern w:val="0"/>
          <w:sz w:val="32"/>
          <w:szCs w:val="32"/>
          <w:lang w:val="en-US" w:eastAsia="zh-CN" w:bidi="ar-SA"/>
        </w:rPr>
        <w:t>4、</w:t>
      </w:r>
      <w:r>
        <w:rPr>
          <w:rFonts w:hint="eastAsia" w:ascii="Times New Roman" w:hAnsi="Times New Roman" w:eastAsia="仿宋_GB2312" w:cs="仿宋_GB2312"/>
          <w:bCs/>
          <w:color w:val="auto"/>
          <w:kern w:val="0"/>
          <w:sz w:val="32"/>
          <w:szCs w:val="32"/>
        </w:rPr>
        <w:t>岳阳市生态环境局华容分局</w:t>
      </w:r>
    </w:p>
    <w:p>
      <w:pPr>
        <w:keepNext w:val="0"/>
        <w:keepLines w:val="0"/>
        <w:pageBreakBefore w:val="0"/>
        <w:widowControl/>
        <w:numPr>
          <w:ilvl w:val="0"/>
          <w:numId w:val="0"/>
        </w:numPr>
        <w:tabs>
          <w:tab w:val="left" w:pos="0"/>
        </w:tabs>
        <w:kinsoku/>
        <w:wordWrap/>
        <w:overflowPunct/>
        <w:topLinePunct w:val="0"/>
        <w:autoSpaceDE/>
        <w:autoSpaceDN/>
        <w:bidi w:val="0"/>
        <w:adjustRightInd/>
        <w:snapToGrid/>
        <w:spacing w:line="600" w:lineRule="exact"/>
        <w:ind w:left="0" w:leftChars="0" w:firstLine="640" w:firstLineChars="200"/>
        <w:textAlignment w:val="auto"/>
        <w:rPr>
          <w:rFonts w:hint="eastAsia" w:ascii="Times New Roman" w:hAnsi="Times New Roman" w:eastAsia="仿宋_GB2312" w:cs="仿宋_GB2312"/>
          <w:bCs/>
          <w:color w:val="auto"/>
          <w:kern w:val="0"/>
          <w:sz w:val="32"/>
          <w:szCs w:val="32"/>
        </w:rPr>
      </w:pPr>
      <w:r>
        <w:rPr>
          <w:rFonts w:hint="default" w:ascii="Times New Roman" w:hAnsi="Times New Roman" w:eastAsia="仿宋_GB2312" w:cs="仿宋_GB2312"/>
          <w:bCs/>
          <w:color w:val="auto"/>
          <w:kern w:val="0"/>
          <w:sz w:val="32"/>
          <w:szCs w:val="32"/>
          <w:lang w:val="en-US" w:eastAsia="zh-CN" w:bidi="ar-SA"/>
        </w:rPr>
        <w:t>5、</w:t>
      </w:r>
      <w:r>
        <w:rPr>
          <w:rFonts w:hint="eastAsia" w:ascii="Times New Roman" w:hAnsi="Times New Roman" w:eastAsia="仿宋_GB2312" w:cs="仿宋_GB2312"/>
          <w:bCs/>
          <w:color w:val="auto"/>
          <w:kern w:val="0"/>
          <w:sz w:val="32"/>
          <w:szCs w:val="32"/>
        </w:rPr>
        <w:t>岳阳市生态环境局湘阴分局</w:t>
      </w:r>
    </w:p>
    <w:p>
      <w:pPr>
        <w:keepNext w:val="0"/>
        <w:keepLines w:val="0"/>
        <w:pageBreakBefore w:val="0"/>
        <w:widowControl/>
        <w:numPr>
          <w:ilvl w:val="0"/>
          <w:numId w:val="0"/>
        </w:numPr>
        <w:tabs>
          <w:tab w:val="left" w:pos="0"/>
        </w:tabs>
        <w:kinsoku/>
        <w:wordWrap/>
        <w:overflowPunct/>
        <w:topLinePunct w:val="0"/>
        <w:autoSpaceDE/>
        <w:autoSpaceDN/>
        <w:bidi w:val="0"/>
        <w:adjustRightInd/>
        <w:snapToGrid/>
        <w:spacing w:line="600" w:lineRule="exact"/>
        <w:ind w:left="0" w:leftChars="0" w:firstLine="640" w:firstLineChars="200"/>
        <w:textAlignment w:val="auto"/>
        <w:rPr>
          <w:rFonts w:hint="eastAsia" w:ascii="Times New Roman" w:hAnsi="Times New Roman" w:eastAsia="仿宋_GB2312" w:cs="仿宋_GB2312"/>
          <w:bCs/>
          <w:color w:val="auto"/>
          <w:kern w:val="0"/>
          <w:sz w:val="32"/>
          <w:szCs w:val="32"/>
        </w:rPr>
      </w:pPr>
      <w:r>
        <w:rPr>
          <w:rFonts w:hint="default" w:ascii="Times New Roman" w:hAnsi="Times New Roman" w:eastAsia="仿宋_GB2312" w:cs="仿宋_GB2312"/>
          <w:bCs/>
          <w:color w:val="auto"/>
          <w:kern w:val="0"/>
          <w:sz w:val="32"/>
          <w:szCs w:val="32"/>
          <w:lang w:val="en-US" w:eastAsia="zh-CN" w:bidi="ar-SA"/>
        </w:rPr>
        <w:t>6、</w:t>
      </w:r>
      <w:r>
        <w:rPr>
          <w:rFonts w:hint="eastAsia" w:ascii="Times New Roman" w:hAnsi="Times New Roman" w:eastAsia="仿宋_GB2312" w:cs="仿宋_GB2312"/>
          <w:bCs/>
          <w:color w:val="auto"/>
          <w:kern w:val="0"/>
          <w:sz w:val="32"/>
          <w:szCs w:val="32"/>
        </w:rPr>
        <w:t>岳阳市生态环境局汨罗分局</w:t>
      </w:r>
    </w:p>
    <w:p>
      <w:pPr>
        <w:keepNext w:val="0"/>
        <w:keepLines w:val="0"/>
        <w:pageBreakBefore w:val="0"/>
        <w:widowControl/>
        <w:numPr>
          <w:ilvl w:val="0"/>
          <w:numId w:val="0"/>
        </w:numPr>
        <w:tabs>
          <w:tab w:val="left" w:pos="0"/>
        </w:tabs>
        <w:kinsoku/>
        <w:wordWrap/>
        <w:overflowPunct/>
        <w:topLinePunct w:val="0"/>
        <w:autoSpaceDE/>
        <w:autoSpaceDN/>
        <w:bidi w:val="0"/>
        <w:adjustRightInd/>
        <w:snapToGrid/>
        <w:spacing w:line="600" w:lineRule="exact"/>
        <w:ind w:left="0" w:leftChars="0" w:firstLine="640" w:firstLineChars="200"/>
        <w:textAlignment w:val="auto"/>
        <w:rPr>
          <w:rFonts w:hint="eastAsia" w:ascii="Times New Roman" w:hAnsi="Times New Roman" w:eastAsia="仿宋_GB2312" w:cs="仿宋_GB2312"/>
          <w:bCs/>
          <w:color w:val="auto"/>
          <w:kern w:val="0"/>
          <w:sz w:val="32"/>
          <w:szCs w:val="32"/>
        </w:rPr>
      </w:pPr>
      <w:r>
        <w:rPr>
          <w:rFonts w:hint="default" w:ascii="Times New Roman" w:hAnsi="Times New Roman" w:eastAsia="仿宋_GB2312" w:cs="仿宋_GB2312"/>
          <w:bCs/>
          <w:color w:val="auto"/>
          <w:kern w:val="0"/>
          <w:sz w:val="32"/>
          <w:szCs w:val="32"/>
          <w:lang w:val="en-US" w:eastAsia="zh-CN" w:bidi="ar-SA"/>
        </w:rPr>
        <w:t>7、</w:t>
      </w:r>
      <w:r>
        <w:rPr>
          <w:rFonts w:hint="eastAsia" w:ascii="Times New Roman" w:hAnsi="Times New Roman" w:eastAsia="仿宋_GB2312" w:cs="仿宋_GB2312"/>
          <w:bCs/>
          <w:color w:val="auto"/>
          <w:kern w:val="0"/>
          <w:sz w:val="32"/>
          <w:szCs w:val="32"/>
        </w:rPr>
        <w:t>岳阳市生态环境局临湘分局</w:t>
      </w:r>
    </w:p>
    <w:p>
      <w:pPr>
        <w:keepNext w:val="0"/>
        <w:keepLines w:val="0"/>
        <w:pageBreakBefore w:val="0"/>
        <w:widowControl/>
        <w:numPr>
          <w:ilvl w:val="0"/>
          <w:numId w:val="0"/>
        </w:numPr>
        <w:tabs>
          <w:tab w:val="left" w:pos="0"/>
        </w:tabs>
        <w:kinsoku/>
        <w:wordWrap/>
        <w:overflowPunct/>
        <w:topLinePunct w:val="0"/>
        <w:autoSpaceDE/>
        <w:autoSpaceDN/>
        <w:bidi w:val="0"/>
        <w:adjustRightInd/>
        <w:snapToGrid/>
        <w:spacing w:line="600" w:lineRule="exact"/>
        <w:ind w:left="0" w:leftChars="0" w:firstLine="640" w:firstLineChars="200"/>
        <w:textAlignment w:val="auto"/>
        <w:rPr>
          <w:rFonts w:hint="eastAsia" w:ascii="Times New Roman" w:hAnsi="Times New Roman" w:eastAsia="仿宋_GB2312" w:cs="仿宋_GB2312"/>
          <w:bCs/>
          <w:color w:val="auto"/>
          <w:kern w:val="0"/>
          <w:sz w:val="32"/>
          <w:szCs w:val="32"/>
        </w:rPr>
      </w:pPr>
      <w:r>
        <w:rPr>
          <w:rFonts w:hint="default" w:ascii="Times New Roman" w:hAnsi="Times New Roman" w:eastAsia="仿宋_GB2312" w:cs="仿宋_GB2312"/>
          <w:bCs/>
          <w:color w:val="auto"/>
          <w:kern w:val="0"/>
          <w:sz w:val="32"/>
          <w:szCs w:val="32"/>
          <w:lang w:val="en-US" w:eastAsia="zh-CN" w:bidi="ar-SA"/>
        </w:rPr>
        <w:t>8、</w:t>
      </w:r>
      <w:r>
        <w:rPr>
          <w:rFonts w:hint="eastAsia" w:ascii="Times New Roman" w:hAnsi="Times New Roman" w:eastAsia="仿宋_GB2312" w:cs="仿宋_GB2312"/>
          <w:bCs/>
          <w:color w:val="auto"/>
          <w:kern w:val="0"/>
          <w:sz w:val="32"/>
          <w:szCs w:val="32"/>
        </w:rPr>
        <w:t>岳阳市生态环境局岳阳楼分局</w:t>
      </w:r>
    </w:p>
    <w:p>
      <w:pPr>
        <w:keepNext w:val="0"/>
        <w:keepLines w:val="0"/>
        <w:pageBreakBefore w:val="0"/>
        <w:widowControl/>
        <w:numPr>
          <w:ilvl w:val="0"/>
          <w:numId w:val="0"/>
        </w:numPr>
        <w:tabs>
          <w:tab w:val="left" w:pos="0"/>
        </w:tabs>
        <w:kinsoku/>
        <w:wordWrap/>
        <w:overflowPunct/>
        <w:topLinePunct w:val="0"/>
        <w:autoSpaceDE/>
        <w:autoSpaceDN/>
        <w:bidi w:val="0"/>
        <w:adjustRightInd/>
        <w:snapToGrid/>
        <w:spacing w:line="600" w:lineRule="exact"/>
        <w:ind w:left="0" w:leftChars="0" w:firstLine="640" w:firstLineChars="200"/>
        <w:textAlignment w:val="auto"/>
        <w:rPr>
          <w:rFonts w:hint="eastAsia" w:ascii="Times New Roman" w:hAnsi="Times New Roman" w:eastAsia="仿宋_GB2312" w:cs="仿宋_GB2312"/>
          <w:bCs/>
          <w:color w:val="auto"/>
          <w:kern w:val="0"/>
          <w:sz w:val="32"/>
          <w:szCs w:val="32"/>
        </w:rPr>
      </w:pPr>
      <w:r>
        <w:rPr>
          <w:rFonts w:hint="default" w:ascii="Times New Roman" w:hAnsi="Times New Roman" w:eastAsia="仿宋_GB2312" w:cs="仿宋_GB2312"/>
          <w:bCs/>
          <w:color w:val="auto"/>
          <w:kern w:val="0"/>
          <w:sz w:val="32"/>
          <w:szCs w:val="32"/>
          <w:lang w:val="en-US" w:eastAsia="zh-CN" w:bidi="ar-SA"/>
        </w:rPr>
        <w:t>9、</w:t>
      </w:r>
      <w:r>
        <w:rPr>
          <w:rFonts w:hint="eastAsia" w:ascii="Times New Roman" w:hAnsi="Times New Roman" w:eastAsia="仿宋_GB2312" w:cs="仿宋_GB2312"/>
          <w:bCs/>
          <w:color w:val="auto"/>
          <w:kern w:val="0"/>
          <w:sz w:val="32"/>
          <w:szCs w:val="32"/>
        </w:rPr>
        <w:t>岳阳市生态环境局云溪分局</w:t>
      </w:r>
    </w:p>
    <w:p>
      <w:pPr>
        <w:keepNext w:val="0"/>
        <w:keepLines w:val="0"/>
        <w:pageBreakBefore w:val="0"/>
        <w:widowControl/>
        <w:numPr>
          <w:ilvl w:val="0"/>
          <w:numId w:val="0"/>
        </w:numPr>
        <w:tabs>
          <w:tab w:val="left" w:pos="0"/>
        </w:tabs>
        <w:kinsoku/>
        <w:wordWrap/>
        <w:overflowPunct/>
        <w:topLinePunct w:val="0"/>
        <w:autoSpaceDE/>
        <w:autoSpaceDN/>
        <w:bidi w:val="0"/>
        <w:adjustRightInd/>
        <w:snapToGrid/>
        <w:spacing w:line="600" w:lineRule="exact"/>
        <w:ind w:left="0" w:leftChars="0" w:firstLine="640" w:firstLineChars="200"/>
        <w:textAlignment w:val="auto"/>
        <w:rPr>
          <w:rFonts w:hint="eastAsia" w:ascii="Times New Roman" w:hAnsi="Times New Roman" w:eastAsia="仿宋_GB2312" w:cs="仿宋_GB2312"/>
          <w:bCs/>
          <w:color w:val="auto"/>
          <w:kern w:val="0"/>
          <w:sz w:val="32"/>
          <w:szCs w:val="32"/>
          <w:highlight w:val="none"/>
        </w:rPr>
      </w:pPr>
      <w:r>
        <w:rPr>
          <w:rFonts w:hint="default" w:ascii="Times New Roman" w:hAnsi="Times New Roman" w:eastAsia="仿宋_GB2312" w:cs="仿宋_GB2312"/>
          <w:bCs/>
          <w:color w:val="auto"/>
          <w:kern w:val="0"/>
          <w:sz w:val="32"/>
          <w:szCs w:val="32"/>
          <w:highlight w:val="none"/>
          <w:lang w:val="en-US" w:eastAsia="zh-CN" w:bidi="ar-SA"/>
        </w:rPr>
        <w:t>10、</w:t>
      </w:r>
      <w:r>
        <w:rPr>
          <w:rFonts w:hint="eastAsia" w:ascii="Times New Roman" w:hAnsi="Times New Roman" w:eastAsia="仿宋_GB2312" w:cs="仿宋_GB2312"/>
          <w:bCs/>
          <w:color w:val="auto"/>
          <w:kern w:val="0"/>
          <w:sz w:val="32"/>
          <w:szCs w:val="32"/>
          <w:highlight w:val="none"/>
        </w:rPr>
        <w:t>岳阳市生态环境局君山分局</w:t>
      </w:r>
    </w:p>
    <w:p>
      <w:pPr>
        <w:keepNext w:val="0"/>
        <w:keepLines w:val="0"/>
        <w:pageBreakBefore w:val="0"/>
        <w:widowControl/>
        <w:numPr>
          <w:ilvl w:val="0"/>
          <w:numId w:val="0"/>
        </w:numPr>
        <w:tabs>
          <w:tab w:val="left" w:pos="0"/>
        </w:tabs>
        <w:kinsoku/>
        <w:wordWrap/>
        <w:overflowPunct/>
        <w:topLinePunct w:val="0"/>
        <w:autoSpaceDE/>
        <w:autoSpaceDN/>
        <w:bidi w:val="0"/>
        <w:adjustRightInd/>
        <w:snapToGrid/>
        <w:spacing w:line="600" w:lineRule="exact"/>
        <w:ind w:left="0" w:leftChars="0" w:firstLine="640" w:firstLineChars="200"/>
        <w:textAlignment w:val="auto"/>
        <w:rPr>
          <w:rFonts w:hint="eastAsia" w:ascii="Times New Roman" w:hAnsi="Times New Roman" w:eastAsia="仿宋_GB2312" w:cs="仿宋_GB2312"/>
          <w:bCs/>
          <w:color w:val="auto"/>
          <w:kern w:val="0"/>
          <w:sz w:val="32"/>
          <w:szCs w:val="32"/>
          <w:highlight w:val="none"/>
          <w:lang w:val="en-US" w:eastAsia="zh-CN" w:bidi="ar-SA"/>
        </w:rPr>
      </w:pPr>
      <w:r>
        <w:rPr>
          <w:rFonts w:hint="default" w:ascii="Times New Roman" w:hAnsi="Times New Roman" w:eastAsia="仿宋_GB2312" w:cs="仿宋_GB2312"/>
          <w:bCs/>
          <w:color w:val="auto"/>
          <w:kern w:val="0"/>
          <w:sz w:val="32"/>
          <w:szCs w:val="32"/>
          <w:highlight w:val="none"/>
          <w:lang w:val="en-US" w:eastAsia="zh-CN" w:bidi="ar-SA"/>
        </w:rPr>
        <w:t>11、</w:t>
      </w:r>
      <w:r>
        <w:rPr>
          <w:rFonts w:hint="eastAsia" w:ascii="Times New Roman" w:hAnsi="Times New Roman" w:eastAsia="仿宋_GB2312" w:cs="仿宋_GB2312"/>
          <w:bCs/>
          <w:color w:val="auto"/>
          <w:kern w:val="0"/>
          <w:sz w:val="32"/>
          <w:szCs w:val="32"/>
          <w:highlight w:val="none"/>
          <w:lang w:val="en-US" w:eastAsia="zh-CN" w:bidi="ar-SA"/>
        </w:rPr>
        <w:t>岳阳市生态环境局南湖新区分局</w:t>
      </w:r>
    </w:p>
    <w:p>
      <w:pPr>
        <w:keepNext w:val="0"/>
        <w:keepLines w:val="0"/>
        <w:pageBreakBefore w:val="0"/>
        <w:widowControl/>
        <w:numPr>
          <w:ilvl w:val="0"/>
          <w:numId w:val="0"/>
        </w:numPr>
        <w:tabs>
          <w:tab w:val="left" w:pos="0"/>
        </w:tabs>
        <w:kinsoku/>
        <w:wordWrap/>
        <w:overflowPunct/>
        <w:topLinePunct w:val="0"/>
        <w:autoSpaceDE/>
        <w:autoSpaceDN/>
        <w:bidi w:val="0"/>
        <w:adjustRightInd/>
        <w:snapToGrid/>
        <w:spacing w:line="600" w:lineRule="exact"/>
        <w:ind w:left="0" w:leftChars="0" w:firstLine="640" w:firstLineChars="200"/>
        <w:textAlignment w:val="auto"/>
        <w:rPr>
          <w:rFonts w:hint="eastAsia" w:ascii="Times New Roman" w:hAnsi="Times New Roman" w:eastAsia="仿宋_GB2312" w:cs="仿宋_GB2312"/>
          <w:bCs/>
          <w:color w:val="auto"/>
          <w:kern w:val="0"/>
          <w:sz w:val="32"/>
          <w:szCs w:val="32"/>
        </w:rPr>
      </w:pPr>
      <w:r>
        <w:rPr>
          <w:rFonts w:hint="default" w:ascii="Times New Roman" w:hAnsi="Times New Roman" w:eastAsia="仿宋_GB2312" w:cs="仿宋_GB2312"/>
          <w:bCs/>
          <w:color w:val="auto"/>
          <w:kern w:val="0"/>
          <w:sz w:val="32"/>
          <w:szCs w:val="32"/>
          <w:lang w:val="en-US" w:eastAsia="zh-CN" w:bidi="ar-SA"/>
        </w:rPr>
        <w:t>12、</w:t>
      </w:r>
      <w:r>
        <w:rPr>
          <w:rFonts w:hint="eastAsia" w:ascii="Times New Roman" w:hAnsi="Times New Roman" w:eastAsia="仿宋_GB2312" w:cs="仿宋_GB2312"/>
          <w:bCs/>
          <w:color w:val="auto"/>
          <w:kern w:val="0"/>
          <w:sz w:val="32"/>
          <w:szCs w:val="32"/>
        </w:rPr>
        <w:t>岳阳市生态环境局屈原分局</w:t>
      </w:r>
    </w:p>
    <w:p>
      <w:pPr>
        <w:keepNext w:val="0"/>
        <w:keepLines w:val="0"/>
        <w:pageBreakBefore w:val="0"/>
        <w:widowControl/>
        <w:numPr>
          <w:ilvl w:val="0"/>
          <w:numId w:val="0"/>
        </w:numPr>
        <w:tabs>
          <w:tab w:val="left" w:pos="0"/>
        </w:tabs>
        <w:kinsoku/>
        <w:wordWrap/>
        <w:overflowPunct/>
        <w:topLinePunct w:val="0"/>
        <w:autoSpaceDE/>
        <w:autoSpaceDN/>
        <w:bidi w:val="0"/>
        <w:adjustRightInd/>
        <w:snapToGrid/>
        <w:spacing w:line="600" w:lineRule="exact"/>
        <w:ind w:left="0" w:leftChars="0" w:firstLine="640" w:firstLineChars="200"/>
        <w:textAlignment w:val="auto"/>
        <w:rPr>
          <w:rFonts w:hint="eastAsia" w:ascii="Times New Roman" w:hAnsi="Times New Roman" w:eastAsia="仿宋_GB2312" w:cs="仿宋_GB2312"/>
          <w:bCs/>
          <w:color w:val="auto"/>
          <w:kern w:val="0"/>
          <w:sz w:val="32"/>
          <w:szCs w:val="32"/>
          <w:highlight w:val="none"/>
          <w:lang w:val="en-US" w:eastAsia="zh-CN" w:bidi="ar-SA"/>
        </w:rPr>
      </w:pPr>
      <w:r>
        <w:rPr>
          <w:rFonts w:hint="default" w:ascii="Times New Roman" w:hAnsi="Times New Roman" w:eastAsia="仿宋_GB2312" w:cs="仿宋_GB2312"/>
          <w:bCs/>
          <w:color w:val="auto"/>
          <w:kern w:val="0"/>
          <w:sz w:val="32"/>
          <w:szCs w:val="32"/>
          <w:highlight w:val="none"/>
          <w:lang w:val="en-US" w:eastAsia="zh-CN" w:bidi="ar-SA"/>
        </w:rPr>
        <w:t>13、</w:t>
      </w:r>
      <w:r>
        <w:rPr>
          <w:rFonts w:hint="eastAsia" w:ascii="Times New Roman" w:hAnsi="Times New Roman" w:eastAsia="仿宋_GB2312" w:cs="仿宋_GB2312"/>
          <w:bCs/>
          <w:color w:val="auto"/>
          <w:kern w:val="0"/>
          <w:sz w:val="32"/>
          <w:szCs w:val="32"/>
          <w:highlight w:val="none"/>
          <w:lang w:val="en-US" w:eastAsia="zh-CN" w:bidi="ar-SA"/>
        </w:rPr>
        <w:t>岳阳市生态环境局城陵矶新港分局</w:t>
      </w:r>
    </w:p>
    <w:p>
      <w:pPr>
        <w:keepNext w:val="0"/>
        <w:keepLines w:val="0"/>
        <w:pageBreakBefore w:val="0"/>
        <w:widowControl/>
        <w:numPr>
          <w:ilvl w:val="0"/>
          <w:numId w:val="0"/>
        </w:numPr>
        <w:tabs>
          <w:tab w:val="left" w:pos="0"/>
        </w:tabs>
        <w:kinsoku/>
        <w:wordWrap/>
        <w:overflowPunct/>
        <w:topLinePunct w:val="0"/>
        <w:autoSpaceDE/>
        <w:autoSpaceDN/>
        <w:bidi w:val="0"/>
        <w:adjustRightInd/>
        <w:snapToGrid/>
        <w:spacing w:line="600" w:lineRule="exact"/>
        <w:ind w:left="0" w:leftChars="0" w:firstLine="640" w:firstLineChars="200"/>
        <w:textAlignment w:val="auto"/>
        <w:rPr>
          <w:rFonts w:hint="eastAsia" w:ascii="Times New Roman" w:hAnsi="Times New Roman" w:eastAsia="仿宋_GB2312" w:cs="仿宋_GB2312"/>
          <w:bCs/>
          <w:color w:val="auto"/>
          <w:kern w:val="0"/>
          <w:sz w:val="32"/>
          <w:szCs w:val="32"/>
          <w:highlight w:val="none"/>
        </w:rPr>
      </w:pPr>
      <w:r>
        <w:rPr>
          <w:rFonts w:hint="default" w:ascii="Times New Roman" w:hAnsi="Times New Roman" w:eastAsia="仿宋_GB2312" w:cs="仿宋_GB2312"/>
          <w:bCs/>
          <w:color w:val="auto"/>
          <w:kern w:val="0"/>
          <w:sz w:val="32"/>
          <w:szCs w:val="32"/>
          <w:highlight w:val="none"/>
          <w:lang w:val="en-US" w:eastAsia="zh-CN" w:bidi="ar-SA"/>
        </w:rPr>
        <w:t>14、</w:t>
      </w:r>
      <w:r>
        <w:rPr>
          <w:rFonts w:hint="eastAsia" w:ascii="Times New Roman" w:hAnsi="Times New Roman" w:eastAsia="仿宋_GB2312" w:cs="仿宋_GB2312"/>
          <w:bCs/>
          <w:color w:val="auto"/>
          <w:kern w:val="0"/>
          <w:sz w:val="32"/>
          <w:szCs w:val="32"/>
          <w:highlight w:val="none"/>
        </w:rPr>
        <w:t>岳阳市生态环境保护综合行政执法支队</w:t>
      </w:r>
    </w:p>
    <w:p/>
    <w:p>
      <w:pPr>
        <w:pStyle w:val="7"/>
      </w:pPr>
    </w:p>
    <w:p>
      <w:pPr>
        <w:pStyle w:val="3"/>
      </w:pPr>
    </w:p>
    <w:p/>
    <w:p>
      <w:pPr>
        <w:pStyle w:val="7"/>
      </w:pPr>
    </w:p>
    <w:p>
      <w:pPr>
        <w:pStyle w:val="3"/>
      </w:pPr>
    </w:p>
    <w:p/>
    <w:p>
      <w:pPr>
        <w:pStyle w:val="7"/>
      </w:pPr>
    </w:p>
    <w:p>
      <w:pPr>
        <w:pStyle w:val="3"/>
      </w:pPr>
    </w:p>
    <w:p>
      <w:r>
        <w:br w:type="page"/>
      </w:r>
    </w:p>
    <w:p/>
    <w:p>
      <w:pPr>
        <w:pStyle w:val="7"/>
      </w:pPr>
    </w:p>
    <w:p>
      <w:pPr>
        <w:pStyle w:val="3"/>
      </w:pPr>
    </w:p>
    <w:p/>
    <w:p>
      <w:pPr>
        <w:pStyle w:val="7"/>
      </w:pPr>
    </w:p>
    <w:p>
      <w:pPr>
        <w:pStyle w:val="3"/>
      </w:pPr>
    </w:p>
    <w:p/>
    <w:p>
      <w:pPr>
        <w:pStyle w:val="12"/>
        <w:jc w:val="center"/>
        <w:rPr>
          <w:rFonts w:hint="eastAsia" w:ascii="方正小标宋_GBK" w:hAnsi="方正小标宋_GBK" w:eastAsia="方正小标宋_GBK" w:cs="方正小标宋_GBK"/>
          <w:sz w:val="84"/>
          <w:szCs w:val="84"/>
        </w:rPr>
      </w:pPr>
    </w:p>
    <w:p>
      <w:pPr>
        <w:pStyle w:val="12"/>
        <w:jc w:val="center"/>
        <w:rPr>
          <w:rFonts w:hint="eastAsia" w:ascii="方正小标宋_GBK" w:hAnsi="方正小标宋_GBK" w:eastAsia="方正小标宋_GBK" w:cs="方正小标宋_GBK"/>
          <w:sz w:val="84"/>
          <w:szCs w:val="84"/>
        </w:rPr>
      </w:pPr>
    </w:p>
    <w:p>
      <w:pPr>
        <w:pStyle w:val="12"/>
        <w:jc w:val="center"/>
        <w:rPr>
          <w:rFonts w:hint="eastAsia" w:ascii="方正小标宋_GBK" w:hAnsi="方正小标宋_GBK" w:eastAsia="方正小标宋_GBK" w:cs="方正小标宋_GBK"/>
          <w:sz w:val="84"/>
          <w:szCs w:val="84"/>
        </w:rPr>
      </w:pPr>
      <w:r>
        <w:rPr>
          <w:rFonts w:hint="eastAsia" w:ascii="方正小标宋_GBK" w:hAnsi="方正小标宋_GBK" w:eastAsia="方正小标宋_GBK" w:cs="方正小标宋_GBK"/>
          <w:sz w:val="84"/>
          <w:szCs w:val="84"/>
        </w:rPr>
        <w:t>第二部分</w:t>
      </w:r>
    </w:p>
    <w:p>
      <w:pPr>
        <w:pStyle w:val="12"/>
        <w:jc w:val="center"/>
        <w:rPr>
          <w:rFonts w:hint="eastAsia" w:ascii="方正小标宋_GBK" w:hAnsi="方正小标宋_GBK" w:eastAsia="方正小标宋_GBK" w:cs="方正小标宋_GBK"/>
          <w:sz w:val="84"/>
          <w:szCs w:val="84"/>
        </w:rPr>
      </w:pPr>
    </w:p>
    <w:p>
      <w:pPr>
        <w:pStyle w:val="12"/>
        <w:jc w:val="center"/>
        <w:rPr>
          <w:rFonts w:hint="eastAsia" w:ascii="方正小标宋_GBK" w:hAnsi="方正小标宋_GBK" w:eastAsia="方正小标宋_GBK" w:cs="方正小标宋_GBK"/>
          <w:sz w:val="84"/>
          <w:szCs w:val="84"/>
        </w:rPr>
      </w:pPr>
      <w:r>
        <w:rPr>
          <w:rFonts w:hint="eastAsia" w:ascii="方正小标宋_GBK" w:hAnsi="方正小标宋_GBK" w:eastAsia="方正小标宋_GBK" w:cs="方正小标宋_GBK"/>
          <w:sz w:val="84"/>
          <w:szCs w:val="84"/>
        </w:rPr>
        <w:t>部门决算表</w:t>
      </w:r>
    </w:p>
    <w:p>
      <w:pPr>
        <w:pStyle w:val="12"/>
        <w:jc w:val="center"/>
        <w:rPr>
          <w:rFonts w:hint="eastAsia" w:ascii="仿宋_GB2312" w:hAnsi="仿宋_GB2312" w:eastAsia="仿宋_GB2312" w:cs="仿宋_GB2312"/>
          <w:b w:val="0"/>
          <w:bCs w:val="0"/>
          <w:sz w:val="72"/>
          <w:szCs w:val="72"/>
          <w:lang w:eastAsia="zh-CN"/>
        </w:rPr>
      </w:pPr>
      <w:r>
        <w:rPr>
          <w:rFonts w:hint="eastAsia" w:ascii="仿宋_GB2312" w:hAnsi="仿宋_GB2312" w:eastAsia="仿宋_GB2312" w:cs="仿宋_GB2312"/>
          <w:b w:val="0"/>
          <w:bCs w:val="0"/>
          <w:sz w:val="72"/>
          <w:szCs w:val="72"/>
          <w:lang w:eastAsia="zh-CN"/>
        </w:rPr>
        <w:t>（见附件）</w:t>
      </w:r>
    </w:p>
    <w:p>
      <w:pPr>
        <w:pStyle w:val="12"/>
        <w:jc w:val="center"/>
        <w:rPr>
          <w:rFonts w:hint="eastAsia" w:ascii="仿宋_GB2312" w:hAnsi="仿宋_GB2312" w:eastAsia="仿宋_GB2312" w:cs="仿宋_GB2312"/>
          <w:b w:val="0"/>
          <w:bCs w:val="0"/>
          <w:sz w:val="72"/>
          <w:szCs w:val="72"/>
          <w:lang w:eastAsia="zh-CN"/>
        </w:rPr>
      </w:pPr>
    </w:p>
    <w:p>
      <w:pPr>
        <w:pStyle w:val="12"/>
        <w:jc w:val="center"/>
        <w:rPr>
          <w:rFonts w:hint="eastAsia" w:ascii="仿宋_GB2312" w:hAnsi="仿宋_GB2312" w:eastAsia="仿宋_GB2312" w:cs="仿宋_GB2312"/>
          <w:b w:val="0"/>
          <w:bCs w:val="0"/>
          <w:sz w:val="72"/>
          <w:szCs w:val="72"/>
          <w:lang w:eastAsia="zh-CN"/>
        </w:rPr>
      </w:pPr>
    </w:p>
    <w:p>
      <w:pPr>
        <w:pStyle w:val="12"/>
        <w:jc w:val="center"/>
        <w:rPr>
          <w:rFonts w:hint="eastAsia" w:ascii="仿宋_GB2312" w:hAnsi="仿宋_GB2312" w:eastAsia="仿宋_GB2312" w:cs="仿宋_GB2312"/>
          <w:b w:val="0"/>
          <w:bCs w:val="0"/>
          <w:sz w:val="72"/>
          <w:szCs w:val="72"/>
          <w:lang w:eastAsia="zh-CN"/>
        </w:rPr>
      </w:pPr>
    </w:p>
    <w:p>
      <w:pPr>
        <w:pStyle w:val="12"/>
        <w:jc w:val="center"/>
        <w:rPr>
          <w:rFonts w:hint="eastAsia" w:ascii="仿宋_GB2312" w:hAnsi="仿宋_GB2312" w:eastAsia="仿宋_GB2312" w:cs="仿宋_GB2312"/>
          <w:b w:val="0"/>
          <w:bCs w:val="0"/>
          <w:sz w:val="72"/>
          <w:szCs w:val="72"/>
          <w:lang w:eastAsia="zh-CN"/>
        </w:rPr>
      </w:pPr>
    </w:p>
    <w:p>
      <w:pPr>
        <w:pStyle w:val="12"/>
        <w:jc w:val="center"/>
        <w:rPr>
          <w:rFonts w:hint="eastAsia" w:ascii="仿宋_GB2312" w:hAnsi="仿宋_GB2312" w:eastAsia="仿宋_GB2312" w:cs="仿宋_GB2312"/>
          <w:b w:val="0"/>
          <w:bCs w:val="0"/>
          <w:sz w:val="72"/>
          <w:szCs w:val="72"/>
          <w:lang w:eastAsia="zh-CN"/>
        </w:rPr>
      </w:pPr>
    </w:p>
    <w:p>
      <w:pPr>
        <w:pStyle w:val="12"/>
        <w:jc w:val="center"/>
        <w:rPr>
          <w:rFonts w:hint="eastAsia" w:ascii="仿宋_GB2312" w:hAnsi="仿宋_GB2312" w:eastAsia="仿宋_GB2312" w:cs="仿宋_GB2312"/>
          <w:b w:val="0"/>
          <w:bCs w:val="0"/>
          <w:sz w:val="72"/>
          <w:szCs w:val="72"/>
          <w:lang w:eastAsia="zh-CN"/>
        </w:rPr>
      </w:pPr>
    </w:p>
    <w:p>
      <w:pPr>
        <w:pStyle w:val="12"/>
        <w:jc w:val="center"/>
        <w:rPr>
          <w:rFonts w:hint="eastAsia" w:ascii="仿宋_GB2312" w:hAnsi="仿宋_GB2312" w:eastAsia="仿宋_GB2312" w:cs="仿宋_GB2312"/>
          <w:b w:val="0"/>
          <w:bCs w:val="0"/>
          <w:sz w:val="72"/>
          <w:szCs w:val="72"/>
          <w:lang w:eastAsia="zh-CN"/>
        </w:rPr>
      </w:pPr>
    </w:p>
    <w:p>
      <w:pPr>
        <w:pStyle w:val="12"/>
        <w:jc w:val="center"/>
        <w:rPr>
          <w:rFonts w:hint="eastAsia" w:ascii="方正小标宋_GBK" w:hAnsi="方正小标宋_GBK" w:eastAsia="方正小标宋_GBK" w:cs="方正小标宋_GBK"/>
          <w:sz w:val="72"/>
          <w:szCs w:val="72"/>
        </w:rPr>
      </w:pPr>
    </w:p>
    <w:p>
      <w:pPr>
        <w:pStyle w:val="12"/>
        <w:jc w:val="center"/>
        <w:rPr>
          <w:rFonts w:hint="eastAsia" w:ascii="方正小标宋_GBK" w:hAnsi="方正小标宋_GBK" w:eastAsia="方正小标宋_GBK" w:cs="方正小标宋_GBK"/>
          <w:sz w:val="72"/>
          <w:szCs w:val="72"/>
        </w:rPr>
      </w:pPr>
    </w:p>
    <w:p>
      <w:pPr>
        <w:pStyle w:val="12"/>
        <w:jc w:val="both"/>
        <w:rPr>
          <w:rFonts w:hint="eastAsia" w:ascii="方正小标宋_GBK" w:hAnsi="方正小标宋_GBK" w:eastAsia="方正小标宋_GBK" w:cs="方正小标宋_GBK"/>
          <w:sz w:val="72"/>
          <w:szCs w:val="72"/>
        </w:rPr>
      </w:pPr>
    </w:p>
    <w:p>
      <w:pPr>
        <w:pStyle w:val="12"/>
        <w:jc w:val="center"/>
        <w:rPr>
          <w:rFonts w:hint="eastAsia" w:ascii="方正小标宋_GBK" w:hAnsi="方正小标宋_GBK" w:eastAsia="方正小标宋_GBK" w:cs="方正小标宋_GBK"/>
          <w:sz w:val="72"/>
          <w:szCs w:val="72"/>
        </w:rPr>
      </w:pPr>
      <w:r>
        <w:rPr>
          <w:rFonts w:hint="eastAsia" w:ascii="方正小标宋_GBK" w:hAnsi="方正小标宋_GBK" w:eastAsia="方正小标宋_GBK" w:cs="方正小标宋_GBK"/>
          <w:sz w:val="72"/>
          <w:szCs w:val="72"/>
        </w:rPr>
        <w:t>第三部分</w:t>
      </w:r>
    </w:p>
    <w:p>
      <w:pPr>
        <w:pStyle w:val="12"/>
        <w:jc w:val="center"/>
        <w:rPr>
          <w:rFonts w:hint="eastAsia" w:ascii="方正小标宋_GBK" w:hAnsi="方正小标宋_GBK" w:eastAsia="方正小标宋_GBK" w:cs="方正小标宋_GBK"/>
          <w:sz w:val="70"/>
          <w:szCs w:val="70"/>
        </w:rPr>
      </w:pPr>
    </w:p>
    <w:p>
      <w:pPr>
        <w:pStyle w:val="12"/>
        <w:jc w:val="center"/>
        <w:rPr>
          <w:rFonts w:hint="eastAsia" w:ascii="方正小标宋_GBK" w:hAnsi="方正小标宋_GBK" w:eastAsia="方正小标宋_GBK" w:cs="方正小标宋_GBK"/>
          <w:sz w:val="70"/>
          <w:szCs w:val="70"/>
        </w:rPr>
      </w:pPr>
      <w:r>
        <w:rPr>
          <w:rFonts w:hint="eastAsia" w:ascii="方正小标宋_GBK" w:hAnsi="方正小标宋_GBK" w:eastAsia="方正小标宋_GBK" w:cs="方正小标宋_GBK"/>
          <w:sz w:val="70"/>
          <w:szCs w:val="70"/>
        </w:rPr>
        <w:t>202</w:t>
      </w:r>
      <w:r>
        <w:rPr>
          <w:rFonts w:hint="eastAsia" w:ascii="方正小标宋_GBK" w:hAnsi="方正小标宋_GBK" w:eastAsia="方正小标宋_GBK" w:cs="方正小标宋_GBK"/>
          <w:sz w:val="70"/>
          <w:szCs w:val="70"/>
          <w:lang w:val="en-US" w:eastAsia="zh-CN"/>
        </w:rPr>
        <w:t>3</w:t>
      </w:r>
      <w:r>
        <w:rPr>
          <w:rFonts w:hint="eastAsia" w:ascii="方正小标宋_GBK" w:hAnsi="方正小标宋_GBK" w:eastAsia="方正小标宋_GBK" w:cs="方正小标宋_GBK"/>
          <w:sz w:val="70"/>
          <w:szCs w:val="70"/>
        </w:rPr>
        <w:t>年度部门决算情况说明</w:t>
      </w:r>
    </w:p>
    <w:p>
      <w:pPr>
        <w:pStyle w:val="12"/>
        <w:jc w:val="center"/>
        <w:rPr>
          <w:rFonts w:hint="eastAsia" w:ascii="方正小标宋_GBK" w:hAnsi="方正小标宋_GBK" w:eastAsia="方正小标宋_GBK" w:cs="方正小标宋_GBK"/>
          <w:sz w:val="70"/>
          <w:szCs w:val="70"/>
        </w:rPr>
      </w:pPr>
    </w:p>
    <w:p>
      <w:pPr>
        <w:pStyle w:val="12"/>
        <w:jc w:val="center"/>
        <w:rPr>
          <w:rFonts w:hint="eastAsia" w:ascii="方正小标宋_GBK" w:hAnsi="方正小标宋_GBK" w:eastAsia="方正小标宋_GBK" w:cs="方正小标宋_GBK"/>
          <w:sz w:val="70"/>
          <w:szCs w:val="70"/>
        </w:rPr>
      </w:pPr>
    </w:p>
    <w:p>
      <w:pPr>
        <w:pStyle w:val="12"/>
        <w:jc w:val="center"/>
        <w:rPr>
          <w:rFonts w:hint="eastAsia" w:ascii="方正小标宋_GBK" w:hAnsi="方正小标宋_GBK" w:eastAsia="方正小标宋_GBK" w:cs="方正小标宋_GBK"/>
          <w:sz w:val="70"/>
          <w:szCs w:val="70"/>
        </w:rPr>
      </w:pPr>
    </w:p>
    <w:p>
      <w:pPr>
        <w:pStyle w:val="12"/>
        <w:jc w:val="center"/>
        <w:rPr>
          <w:rFonts w:hint="eastAsia" w:ascii="方正小标宋_GBK" w:hAnsi="方正小标宋_GBK" w:eastAsia="方正小标宋_GBK" w:cs="方正小标宋_GBK"/>
          <w:sz w:val="70"/>
          <w:szCs w:val="70"/>
        </w:rPr>
      </w:pPr>
    </w:p>
    <w:p>
      <w:pPr>
        <w:widowControl/>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说明：</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由于</w:t>
      </w:r>
      <w:r>
        <w:rPr>
          <w:rFonts w:hint="eastAsia" w:ascii="仿宋_GB2312" w:hAnsi="仿宋_GB2312" w:eastAsia="仿宋_GB2312" w:cs="仿宋_GB2312"/>
          <w:sz w:val="32"/>
          <w:szCs w:val="32"/>
          <w:lang w:eastAsia="zh-CN"/>
        </w:rPr>
        <w:t>部门</w:t>
      </w:r>
      <w:r>
        <w:rPr>
          <w:rFonts w:hint="eastAsia" w:ascii="仿宋_GB2312" w:hAnsi="仿宋_GB2312" w:eastAsia="仿宋_GB2312" w:cs="仿宋_GB2312"/>
          <w:sz w:val="32"/>
          <w:szCs w:val="32"/>
        </w:rPr>
        <w:t>决算编制时</w:t>
      </w:r>
      <w:r>
        <w:rPr>
          <w:rFonts w:hint="eastAsia" w:ascii="仿宋_GB2312" w:hAnsi="仿宋_GB2312" w:eastAsia="仿宋_GB2312" w:cs="仿宋_GB2312"/>
          <w:sz w:val="32"/>
          <w:szCs w:val="32"/>
          <w:lang w:eastAsia="zh-CN"/>
        </w:rPr>
        <w:t>数据</w:t>
      </w:r>
      <w:r>
        <w:rPr>
          <w:rFonts w:hint="eastAsia" w:ascii="仿宋_GB2312" w:hAnsi="仿宋_GB2312" w:eastAsia="仿宋_GB2312" w:cs="仿宋_GB2312"/>
          <w:sz w:val="32"/>
          <w:szCs w:val="32"/>
        </w:rPr>
        <w:t>明细</w:t>
      </w:r>
      <w:r>
        <w:rPr>
          <w:rFonts w:hint="eastAsia" w:ascii="仿宋_GB2312" w:hAnsi="仿宋_GB2312" w:eastAsia="仿宋_GB2312" w:cs="仿宋_GB2312"/>
          <w:sz w:val="32"/>
          <w:szCs w:val="32"/>
          <w:lang w:eastAsia="zh-CN"/>
        </w:rPr>
        <w:t>至“金额单位：元</w:t>
      </w:r>
      <w:r>
        <w:rPr>
          <w:rFonts w:hint="eastAsia" w:ascii="仿宋_GB2312" w:hAnsi="仿宋_GB2312" w:eastAsia="仿宋_GB2312" w:cs="仿宋_GB2312"/>
          <w:sz w:val="32"/>
          <w:szCs w:val="32"/>
        </w:rPr>
        <w:t>”，而</w:t>
      </w:r>
      <w:r>
        <w:rPr>
          <w:rFonts w:hint="eastAsia" w:ascii="仿宋_GB2312" w:hAnsi="仿宋_GB2312" w:eastAsia="仿宋_GB2312" w:cs="仿宋_GB2312"/>
          <w:sz w:val="32"/>
          <w:szCs w:val="32"/>
          <w:lang w:eastAsia="zh-CN"/>
        </w:rPr>
        <w:t>本套部门决算文字说明</w:t>
      </w:r>
      <w:r>
        <w:rPr>
          <w:rFonts w:hint="eastAsia" w:ascii="仿宋_GB2312" w:hAnsi="仿宋_GB2312" w:eastAsia="仿宋_GB2312" w:cs="仿宋_GB2312"/>
          <w:sz w:val="32"/>
          <w:szCs w:val="32"/>
        </w:rPr>
        <w:t>和公开表格</w:t>
      </w:r>
      <w:r>
        <w:rPr>
          <w:rFonts w:hint="eastAsia" w:ascii="仿宋_GB2312" w:hAnsi="仿宋_GB2312" w:eastAsia="仿宋_GB2312" w:cs="仿宋_GB2312"/>
          <w:sz w:val="32"/>
          <w:szCs w:val="32"/>
          <w:lang w:eastAsia="zh-CN"/>
        </w:rPr>
        <w:t>数据</w:t>
      </w:r>
      <w:r>
        <w:rPr>
          <w:rFonts w:hint="eastAsia" w:ascii="仿宋_GB2312" w:hAnsi="仿宋_GB2312" w:eastAsia="仿宋_GB2312" w:cs="仿宋_GB2312"/>
          <w:sz w:val="32"/>
          <w:szCs w:val="32"/>
        </w:rPr>
        <w:t>取数</w:t>
      </w:r>
      <w:r>
        <w:rPr>
          <w:rFonts w:hint="eastAsia" w:ascii="仿宋_GB2312" w:hAnsi="仿宋_GB2312" w:eastAsia="仿宋_GB2312" w:cs="仿宋_GB2312"/>
          <w:sz w:val="32"/>
          <w:szCs w:val="32"/>
          <w:lang w:eastAsia="zh-CN"/>
        </w:rPr>
        <w:t>转换为</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金额单位：</w:t>
      </w:r>
      <w:r>
        <w:rPr>
          <w:rFonts w:hint="eastAsia" w:ascii="仿宋_GB2312" w:hAnsi="仿宋_GB2312" w:eastAsia="仿宋_GB2312" w:cs="仿宋_GB2312"/>
          <w:sz w:val="32"/>
          <w:szCs w:val="32"/>
        </w:rPr>
        <w:t>万元”，可能导致</w:t>
      </w:r>
      <w:r>
        <w:rPr>
          <w:rFonts w:hint="eastAsia" w:ascii="仿宋_GB2312" w:hAnsi="仿宋_GB2312" w:eastAsia="仿宋_GB2312" w:cs="仿宋_GB2312"/>
          <w:sz w:val="32"/>
          <w:szCs w:val="32"/>
          <w:lang w:eastAsia="zh-CN"/>
        </w:rPr>
        <w:t>以下文字说明中的各项数据取数以及公开</w:t>
      </w:r>
      <w:r>
        <w:rPr>
          <w:rFonts w:hint="eastAsia" w:ascii="仿宋_GB2312" w:hAnsi="仿宋_GB2312" w:eastAsia="仿宋_GB2312" w:cs="仿宋_GB2312"/>
          <w:sz w:val="32"/>
          <w:szCs w:val="32"/>
        </w:rPr>
        <w:t>表格</w:t>
      </w:r>
      <w:r>
        <w:rPr>
          <w:rFonts w:hint="eastAsia" w:ascii="仿宋_GB2312" w:hAnsi="仿宋_GB2312" w:eastAsia="仿宋_GB2312" w:cs="仿宋_GB2312"/>
          <w:sz w:val="32"/>
          <w:szCs w:val="32"/>
          <w:lang w:eastAsia="zh-CN"/>
        </w:rPr>
        <w:t>中的各项数据取数之间存在</w:t>
      </w:r>
      <w:r>
        <w:rPr>
          <w:rFonts w:hint="eastAsia" w:ascii="仿宋_GB2312" w:hAnsi="仿宋_GB2312" w:eastAsia="仿宋_GB2312" w:cs="仿宋_GB2312"/>
          <w:sz w:val="32"/>
          <w:szCs w:val="32"/>
        </w:rPr>
        <w:t>0.01的尾数差异。</w:t>
      </w:r>
      <w:r>
        <w:rPr>
          <w:rFonts w:hint="eastAsia" w:ascii="仿宋_GB2312" w:hAnsi="仿宋_GB2312" w:eastAsia="仿宋_GB2312" w:cs="仿宋_GB2312"/>
          <w:sz w:val="32"/>
          <w:szCs w:val="32"/>
          <w:lang w:val="en-US" w:eastAsia="zh-CN"/>
        </w:rPr>
        <w:t>2、以下文字说明中，部分科目由于预算数为0，无法计算完成年初预算的百分比，故未描述“</w:t>
      </w:r>
      <w:r>
        <w:rPr>
          <w:rFonts w:hint="eastAsia" w:ascii="仿宋_GB2312" w:hAnsi="仿宋_GB2312" w:eastAsia="仿宋_GB2312" w:cs="仿宋_GB2312"/>
          <w:sz w:val="32"/>
          <w:szCs w:val="32"/>
        </w:rPr>
        <w:t>完成年初预算的</w:t>
      </w:r>
      <w:r>
        <w:rPr>
          <w:rFonts w:hint="eastAsia" w:ascii="仿宋_GB2312" w:hAnsi="仿宋_GB2312" w:eastAsia="仿宋_GB2312" w:cs="仿宋_GB2312"/>
          <w:sz w:val="32"/>
          <w:szCs w:val="32"/>
          <w:lang w:val="en-US" w:eastAsia="zh-CN"/>
        </w:rPr>
        <w:t>XX</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rPr>
        <w:t>）</w:t>
      </w:r>
    </w:p>
    <w:p>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一、收入支出决算总体情况说明</w:t>
      </w:r>
    </w:p>
    <w:p>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年度收、支总计39,307.83万元。与上年相比，增加4,701.11万元，增长13.58%，主要是因为污染防治</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自然生态保护</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污染减排</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节能环保支出</w:t>
      </w:r>
      <w:r>
        <w:rPr>
          <w:rFonts w:hint="eastAsia" w:ascii="仿宋_GB2312" w:hAnsi="仿宋_GB2312" w:eastAsia="仿宋_GB2312" w:cs="仿宋_GB2312"/>
          <w:sz w:val="32"/>
          <w:szCs w:val="32"/>
          <w:lang w:eastAsia="zh-CN"/>
        </w:rPr>
        <w:t>等项目支出增加。</w:t>
      </w:r>
    </w:p>
    <w:p>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二、收入决算情况说明</w:t>
      </w:r>
    </w:p>
    <w:p>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年度收入合计38,881.00万元，其中：财政拨款收入17,437.82万元，占44.85%；上级补助收入</w:t>
      </w:r>
      <w:r>
        <w:rPr>
          <w:rFonts w:hint="eastAsia" w:ascii="仿宋_GB2312" w:hAnsi="仿宋_GB2312" w:eastAsia="仿宋_GB2312" w:cs="仿宋_GB2312"/>
          <w:sz w:val="32"/>
          <w:szCs w:val="32"/>
          <w:lang w:eastAsia="zh-CN"/>
        </w:rPr>
        <w:t>0.00</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eastAsia="zh-CN"/>
        </w:rPr>
        <w:t>0.00</w:t>
      </w:r>
      <w:r>
        <w:rPr>
          <w:rFonts w:hint="eastAsia" w:ascii="仿宋_GB2312" w:hAnsi="仿宋_GB2312" w:eastAsia="仿宋_GB2312" w:cs="仿宋_GB2312"/>
          <w:sz w:val="32"/>
          <w:szCs w:val="32"/>
        </w:rPr>
        <w:t>%；事业收入</w:t>
      </w:r>
      <w:r>
        <w:rPr>
          <w:rFonts w:hint="eastAsia" w:ascii="仿宋_GB2312" w:hAnsi="仿宋_GB2312" w:eastAsia="仿宋_GB2312" w:cs="仿宋_GB2312"/>
          <w:sz w:val="32"/>
          <w:szCs w:val="32"/>
          <w:lang w:eastAsia="zh-CN"/>
        </w:rPr>
        <w:t>0.00</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eastAsia="zh-CN"/>
        </w:rPr>
        <w:t>0.00</w:t>
      </w:r>
      <w:r>
        <w:rPr>
          <w:rFonts w:hint="eastAsia" w:ascii="仿宋_GB2312" w:hAnsi="仿宋_GB2312" w:eastAsia="仿宋_GB2312" w:cs="仿宋_GB2312"/>
          <w:sz w:val="32"/>
          <w:szCs w:val="32"/>
        </w:rPr>
        <w:t>%；经营收入</w:t>
      </w:r>
      <w:r>
        <w:rPr>
          <w:rFonts w:hint="eastAsia" w:ascii="仿宋_GB2312" w:hAnsi="仿宋_GB2312" w:eastAsia="仿宋_GB2312" w:cs="仿宋_GB2312"/>
          <w:sz w:val="32"/>
          <w:szCs w:val="32"/>
          <w:lang w:eastAsia="zh-CN"/>
        </w:rPr>
        <w:t>0.00</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eastAsia="zh-CN"/>
        </w:rPr>
        <w:t>0.00</w:t>
      </w:r>
      <w:r>
        <w:rPr>
          <w:rFonts w:hint="eastAsia" w:ascii="仿宋_GB2312" w:hAnsi="仿宋_GB2312" w:eastAsia="仿宋_GB2312" w:cs="仿宋_GB2312"/>
          <w:sz w:val="32"/>
          <w:szCs w:val="32"/>
        </w:rPr>
        <w:t>%；附属单位上缴收入</w:t>
      </w:r>
      <w:r>
        <w:rPr>
          <w:rFonts w:hint="eastAsia" w:ascii="仿宋_GB2312" w:hAnsi="仿宋_GB2312" w:eastAsia="仿宋_GB2312" w:cs="仿宋_GB2312"/>
          <w:sz w:val="32"/>
          <w:szCs w:val="32"/>
          <w:lang w:eastAsia="zh-CN"/>
        </w:rPr>
        <w:t>0.00</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eastAsia="zh-CN"/>
        </w:rPr>
        <w:t>0.00</w:t>
      </w:r>
      <w:r>
        <w:rPr>
          <w:rFonts w:hint="eastAsia" w:ascii="仿宋_GB2312" w:hAnsi="仿宋_GB2312" w:eastAsia="仿宋_GB2312" w:cs="仿宋_GB2312"/>
          <w:sz w:val="32"/>
          <w:szCs w:val="32"/>
        </w:rPr>
        <w:t>%；其他收入21,443.18万元，占55.15%。</w:t>
      </w:r>
    </w:p>
    <w:p>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三、支出决算情况说明</w:t>
      </w:r>
    </w:p>
    <w:p>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年度支出合计38,819.37万元，其中：基本支出13,421.85万元，占34.58%；项目支出25,397.52万元，占65.42%；上缴上级支出</w:t>
      </w:r>
      <w:r>
        <w:rPr>
          <w:rFonts w:hint="eastAsia" w:ascii="仿宋_GB2312" w:hAnsi="仿宋_GB2312" w:eastAsia="仿宋_GB2312" w:cs="仿宋_GB2312"/>
          <w:sz w:val="32"/>
          <w:szCs w:val="32"/>
          <w:lang w:eastAsia="zh-CN"/>
        </w:rPr>
        <w:t>0.00</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eastAsia="zh-CN"/>
        </w:rPr>
        <w:t>0.00</w:t>
      </w:r>
      <w:r>
        <w:rPr>
          <w:rFonts w:hint="eastAsia" w:ascii="仿宋_GB2312" w:hAnsi="仿宋_GB2312" w:eastAsia="仿宋_GB2312" w:cs="仿宋_GB2312"/>
          <w:sz w:val="32"/>
          <w:szCs w:val="32"/>
        </w:rPr>
        <w:t>%；经营支出</w:t>
      </w:r>
      <w:r>
        <w:rPr>
          <w:rFonts w:hint="eastAsia" w:ascii="仿宋_GB2312" w:hAnsi="仿宋_GB2312" w:eastAsia="仿宋_GB2312" w:cs="仿宋_GB2312"/>
          <w:sz w:val="32"/>
          <w:szCs w:val="32"/>
          <w:lang w:eastAsia="zh-CN"/>
        </w:rPr>
        <w:t>0.00</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eastAsia="zh-CN"/>
        </w:rPr>
        <w:t>0.00</w:t>
      </w:r>
      <w:r>
        <w:rPr>
          <w:rFonts w:hint="eastAsia" w:ascii="仿宋_GB2312" w:hAnsi="仿宋_GB2312" w:eastAsia="仿宋_GB2312" w:cs="仿宋_GB2312"/>
          <w:sz w:val="32"/>
          <w:szCs w:val="32"/>
        </w:rPr>
        <w:t>%；对附属单位补助支出</w:t>
      </w:r>
      <w:r>
        <w:rPr>
          <w:rFonts w:hint="eastAsia" w:ascii="仿宋_GB2312" w:hAnsi="仿宋_GB2312" w:eastAsia="仿宋_GB2312" w:cs="仿宋_GB2312"/>
          <w:sz w:val="32"/>
          <w:szCs w:val="32"/>
          <w:lang w:eastAsia="zh-CN"/>
        </w:rPr>
        <w:t>0.00</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eastAsia="zh-CN"/>
        </w:rPr>
        <w:t>0.00</w:t>
      </w:r>
      <w:r>
        <w:rPr>
          <w:rFonts w:hint="eastAsia" w:ascii="仿宋_GB2312" w:hAnsi="仿宋_GB2312" w:eastAsia="仿宋_GB2312" w:cs="仿宋_GB2312"/>
          <w:sz w:val="32"/>
          <w:szCs w:val="32"/>
        </w:rPr>
        <w:t>%。</w:t>
      </w:r>
    </w:p>
    <w:p>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四、财政拨款收入支出决算总体情况说明</w:t>
      </w:r>
    </w:p>
    <w:p>
      <w:pPr>
        <w:pStyle w:val="12"/>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年度财政拨款收、支总计17,437.83万元，与上年相比，减少982.58万元</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减少5.33%，主要是因为</w:t>
      </w:r>
      <w:r>
        <w:rPr>
          <w:rFonts w:hint="eastAsia" w:ascii="仿宋_GB2312" w:hAnsi="仿宋_GB2312" w:eastAsia="仿宋_GB2312" w:cs="仿宋_GB2312"/>
          <w:sz w:val="32"/>
          <w:szCs w:val="32"/>
          <w:lang w:eastAsia="zh-CN"/>
        </w:rPr>
        <w:t>单位控制行政运行支出，工资福利及补助支出减少，相关人员经费减少。</w:t>
      </w:r>
    </w:p>
    <w:p>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五、一般公共预算财政拨款支出决算情况说明</w:t>
      </w:r>
    </w:p>
    <w:p>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（一）一般公共预算财政拨款支出决算总体情况</w:t>
      </w:r>
    </w:p>
    <w:p>
      <w:pPr>
        <w:pStyle w:val="12"/>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年度财政拨款支出17,437.83万元，占本年支出合计的44.</w:t>
      </w:r>
      <w:r>
        <w:rPr>
          <w:rFonts w:hint="eastAsia" w:ascii="仿宋_GB2312" w:hAnsi="仿宋_GB2312" w:eastAsia="仿宋_GB2312" w:cs="仿宋_GB2312"/>
          <w:sz w:val="32"/>
          <w:szCs w:val="32"/>
          <w:lang w:val="en-US" w:eastAsia="zh-CN"/>
        </w:rPr>
        <w:t>92</w:t>
      </w:r>
      <w:r>
        <w:rPr>
          <w:rFonts w:hint="eastAsia" w:ascii="仿宋_GB2312" w:hAnsi="仿宋_GB2312" w:eastAsia="仿宋_GB2312" w:cs="仿宋_GB2312"/>
          <w:sz w:val="32"/>
          <w:szCs w:val="32"/>
        </w:rPr>
        <w:t>%，与上年相比，财政拨款支出减少982.58万元</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减少5.33%，主要是因为</w:t>
      </w:r>
      <w:r>
        <w:rPr>
          <w:rFonts w:hint="eastAsia" w:ascii="仿宋_GB2312" w:hAnsi="仿宋_GB2312" w:eastAsia="仿宋_GB2312" w:cs="仿宋_GB2312"/>
          <w:sz w:val="32"/>
          <w:szCs w:val="32"/>
          <w:lang w:eastAsia="zh-CN"/>
        </w:rPr>
        <w:t>单位控制行政运行支出，工资福利及补助支出减少，相关人员经费减少。</w:t>
      </w:r>
    </w:p>
    <w:p>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（二）一般公共预算财政拨款支出决算结构情况</w:t>
      </w:r>
    </w:p>
    <w:p>
      <w:pPr>
        <w:pStyle w:val="12"/>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年度财政拨款支出17,437.83万元，主要用于以下方面：社会保障和就业支出1242.58万元，占7.13%；卫生健康支出588.80万元，占3.38%；节能环保支出14842.1</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万元，占85.11%；住房保障支出764.29万元，占4.38%</w:t>
      </w:r>
      <w:r>
        <w:rPr>
          <w:rFonts w:hint="eastAsia" w:ascii="仿宋_GB2312" w:hAnsi="仿宋_GB2312" w:eastAsia="仿宋_GB2312" w:cs="仿宋_GB2312"/>
          <w:sz w:val="32"/>
          <w:szCs w:val="32"/>
          <w:lang w:eastAsia="zh-CN"/>
        </w:rPr>
        <w:t>。</w:t>
      </w:r>
    </w:p>
    <w:p>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（三）一般公共预算财政拨款支出决算具体情况</w:t>
      </w:r>
    </w:p>
    <w:p>
      <w:pPr>
        <w:pStyle w:val="12"/>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年度财政拨款支出年初预算数为14,393.91万元，支出决算数为17,437.83万元，完成年初预算的121.15%，其中：</w:t>
      </w:r>
    </w:p>
    <w:p>
      <w:pPr>
        <w:pStyle w:val="12"/>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1、社会保障和就业支出（类）行政事业单位养老支出（款）机关事业单位基本养老保险缴费支出（项）</w:t>
      </w:r>
      <w:r>
        <w:rPr>
          <w:rFonts w:hint="eastAsia" w:ascii="仿宋_GB2312" w:hAnsi="仿宋_GB2312" w:eastAsia="仿宋_GB2312" w:cs="仿宋_GB2312"/>
          <w:sz w:val="32"/>
          <w:szCs w:val="32"/>
          <w:lang w:eastAsia="zh-CN"/>
        </w:rPr>
        <w:t>。</w:t>
      </w:r>
    </w:p>
    <w:p>
      <w:pPr>
        <w:pStyle w:val="12"/>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年初预算为764.56万元，支出决算为761.08万元，完成年初预算的99.54%，决算数小于年初预算数的主要原因是：</w:t>
      </w:r>
      <w:r>
        <w:rPr>
          <w:rFonts w:hint="eastAsia" w:ascii="仿宋_GB2312" w:hAnsi="仿宋_GB2312" w:eastAsia="仿宋_GB2312" w:cs="仿宋_GB2312"/>
          <w:sz w:val="32"/>
          <w:szCs w:val="32"/>
          <w:lang w:eastAsia="zh-CN"/>
        </w:rPr>
        <w:t>年内人员变动导致相关人员经费变动。</w:t>
      </w:r>
    </w:p>
    <w:p>
      <w:pPr>
        <w:pStyle w:val="12"/>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2、社会保障和就业支出（类）抚恤（款）其他优抚支出（项）</w:t>
      </w:r>
      <w:r>
        <w:rPr>
          <w:rFonts w:hint="eastAsia" w:ascii="仿宋_GB2312" w:hAnsi="仿宋_GB2312" w:eastAsia="仿宋_GB2312" w:cs="仿宋_GB2312"/>
          <w:sz w:val="32"/>
          <w:szCs w:val="32"/>
          <w:lang w:eastAsia="zh-CN"/>
        </w:rPr>
        <w:t>。</w:t>
      </w:r>
    </w:p>
    <w:p>
      <w:pPr>
        <w:pStyle w:val="12"/>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年初预算为0.00万元，支出决算为39.75万元，决算数</w:t>
      </w:r>
      <w:r>
        <w:rPr>
          <w:rFonts w:hint="eastAsia" w:ascii="仿宋_GB2312" w:hAnsi="仿宋_GB2312" w:eastAsia="仿宋_GB2312" w:cs="仿宋_GB2312"/>
          <w:sz w:val="32"/>
          <w:szCs w:val="32"/>
          <w:lang w:eastAsia="zh-CN"/>
        </w:rPr>
        <w:t>大</w:t>
      </w:r>
      <w:r>
        <w:rPr>
          <w:rFonts w:hint="eastAsia" w:ascii="仿宋_GB2312" w:hAnsi="仿宋_GB2312" w:eastAsia="仿宋_GB2312" w:cs="仿宋_GB2312"/>
          <w:sz w:val="32"/>
          <w:szCs w:val="32"/>
        </w:rPr>
        <w:t>于年初预算数的主要原因是：</w:t>
      </w:r>
      <w:r>
        <w:rPr>
          <w:rFonts w:hint="eastAsia" w:ascii="仿宋_GB2312" w:hAnsi="仿宋_GB2312" w:eastAsia="仿宋_GB2312" w:cs="仿宋_GB2312"/>
          <w:sz w:val="32"/>
          <w:szCs w:val="32"/>
          <w:lang w:eastAsia="zh-CN"/>
        </w:rPr>
        <w:t>年初未做优抚支出预算，年中追加。</w:t>
      </w:r>
    </w:p>
    <w:p>
      <w:pPr>
        <w:pStyle w:val="12"/>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3、社会保障和就业支出（类）其他社会保障和就业支出（款）其他社会保障和就业支出（项）</w:t>
      </w:r>
      <w:r>
        <w:rPr>
          <w:rFonts w:hint="eastAsia" w:ascii="仿宋_GB2312" w:hAnsi="仿宋_GB2312" w:eastAsia="仿宋_GB2312" w:cs="仿宋_GB2312"/>
          <w:sz w:val="32"/>
          <w:szCs w:val="32"/>
          <w:lang w:eastAsia="zh-CN"/>
        </w:rPr>
        <w:t>。</w:t>
      </w:r>
    </w:p>
    <w:p>
      <w:pPr>
        <w:pStyle w:val="12"/>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年初预算为0.15万元，支出决算为441.75万元，完成年初预算的294500.00%，决算数</w:t>
      </w:r>
      <w:r>
        <w:rPr>
          <w:rFonts w:hint="eastAsia" w:ascii="仿宋_GB2312" w:hAnsi="仿宋_GB2312" w:eastAsia="仿宋_GB2312" w:cs="仿宋_GB2312"/>
          <w:sz w:val="32"/>
          <w:szCs w:val="32"/>
          <w:lang w:eastAsia="zh-CN"/>
        </w:rPr>
        <w:t>大</w:t>
      </w:r>
      <w:r>
        <w:rPr>
          <w:rFonts w:hint="eastAsia" w:ascii="仿宋_GB2312" w:hAnsi="仿宋_GB2312" w:eastAsia="仿宋_GB2312" w:cs="仿宋_GB2312"/>
          <w:sz w:val="32"/>
          <w:szCs w:val="32"/>
        </w:rPr>
        <w:t>于年初预算数的主要原因是：</w:t>
      </w:r>
      <w:r>
        <w:rPr>
          <w:rFonts w:hint="eastAsia" w:ascii="仿宋_GB2312" w:hAnsi="仿宋_GB2312" w:eastAsia="仿宋_GB2312" w:cs="仿宋_GB2312"/>
          <w:sz w:val="32"/>
          <w:szCs w:val="32"/>
          <w:lang w:eastAsia="zh-CN"/>
        </w:rPr>
        <w:t>年初大部分二级未做工伤保险方面的预算，年中追加。</w:t>
      </w:r>
    </w:p>
    <w:p>
      <w:pPr>
        <w:pStyle w:val="12"/>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4、卫生健康支出（类）行政事业单位医疗（款）行政单位医疗（项）</w:t>
      </w:r>
      <w:r>
        <w:rPr>
          <w:rFonts w:hint="eastAsia" w:ascii="仿宋_GB2312" w:hAnsi="仿宋_GB2312" w:eastAsia="仿宋_GB2312" w:cs="仿宋_GB2312"/>
          <w:sz w:val="32"/>
          <w:szCs w:val="32"/>
          <w:lang w:eastAsia="zh-CN"/>
        </w:rPr>
        <w:t>。</w:t>
      </w:r>
    </w:p>
    <w:p>
      <w:pPr>
        <w:pStyle w:val="12"/>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年初预算为403.76万元，支出决算为403.38万元，完成年初预算的99.91%，决算数小于年初预算数的主要原因是：</w:t>
      </w:r>
      <w:r>
        <w:rPr>
          <w:rFonts w:hint="eastAsia" w:ascii="仿宋_GB2312" w:hAnsi="仿宋_GB2312" w:eastAsia="仿宋_GB2312" w:cs="仿宋_GB2312"/>
          <w:sz w:val="32"/>
          <w:szCs w:val="32"/>
          <w:lang w:eastAsia="zh-CN"/>
        </w:rPr>
        <w:t>年内人员变动导致相关人员经费变动。</w:t>
      </w:r>
    </w:p>
    <w:p>
      <w:pPr>
        <w:pStyle w:val="12"/>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5、卫生健康支出（类）行政事业单位医疗（款）公务员医疗补助（项）</w:t>
      </w:r>
      <w:r>
        <w:rPr>
          <w:rFonts w:hint="eastAsia" w:ascii="仿宋_GB2312" w:hAnsi="仿宋_GB2312" w:eastAsia="仿宋_GB2312" w:cs="仿宋_GB2312"/>
          <w:sz w:val="32"/>
          <w:szCs w:val="32"/>
          <w:lang w:eastAsia="zh-CN"/>
        </w:rPr>
        <w:t>。</w:t>
      </w:r>
    </w:p>
    <w:p>
      <w:pPr>
        <w:pStyle w:val="12"/>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年初预算为133.26万元，支出决算为24.68万元，完成年初预算的18.52%，决算数小于年初预算数的主要原因是：</w:t>
      </w:r>
      <w:r>
        <w:rPr>
          <w:rFonts w:hint="eastAsia" w:ascii="仿宋_GB2312" w:hAnsi="仿宋_GB2312" w:eastAsia="仿宋_GB2312" w:cs="仿宋_GB2312"/>
          <w:sz w:val="32"/>
          <w:szCs w:val="32"/>
          <w:lang w:eastAsia="zh-CN"/>
        </w:rPr>
        <w:t>年内人员变动导致相关人员经费变动。</w:t>
      </w:r>
    </w:p>
    <w:p>
      <w:pPr>
        <w:pStyle w:val="12"/>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6、卫生健康支出（类）医疗保障管理事务（款）其他医疗保障管理事务支出（项）</w:t>
      </w:r>
      <w:r>
        <w:rPr>
          <w:rFonts w:hint="eastAsia" w:ascii="仿宋_GB2312" w:hAnsi="仿宋_GB2312" w:eastAsia="仿宋_GB2312" w:cs="仿宋_GB2312"/>
          <w:sz w:val="32"/>
          <w:szCs w:val="32"/>
          <w:lang w:eastAsia="zh-CN"/>
        </w:rPr>
        <w:t>。</w:t>
      </w:r>
    </w:p>
    <w:p>
      <w:pPr>
        <w:pStyle w:val="12"/>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年初预算为160.74万元，支出决算为160.74万元，完成年初预算的100.00%，决算数</w:t>
      </w:r>
      <w:r>
        <w:rPr>
          <w:rFonts w:hint="eastAsia" w:ascii="仿宋_GB2312" w:hAnsi="仿宋_GB2312" w:eastAsia="仿宋_GB2312" w:cs="仿宋_GB2312"/>
          <w:sz w:val="32"/>
          <w:szCs w:val="32"/>
          <w:lang w:eastAsia="zh-CN"/>
        </w:rPr>
        <w:t>等</w:t>
      </w:r>
      <w:r>
        <w:rPr>
          <w:rFonts w:hint="eastAsia" w:ascii="仿宋_GB2312" w:hAnsi="仿宋_GB2312" w:eastAsia="仿宋_GB2312" w:cs="仿宋_GB2312"/>
          <w:sz w:val="32"/>
          <w:szCs w:val="32"/>
        </w:rPr>
        <w:t>于年初预算数的主要原因是：</w:t>
      </w:r>
      <w:r>
        <w:rPr>
          <w:rFonts w:hint="eastAsia" w:ascii="仿宋_GB2312" w:hAnsi="仿宋_GB2312" w:eastAsia="仿宋_GB2312" w:cs="仿宋_GB2312"/>
          <w:sz w:val="32"/>
          <w:szCs w:val="32"/>
          <w:lang w:eastAsia="zh-CN"/>
        </w:rPr>
        <w:t>严格按照预算支出。</w:t>
      </w:r>
    </w:p>
    <w:p>
      <w:pPr>
        <w:pStyle w:val="12"/>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7、节能环保支出（类）环境保护管理事务（款）行政运行（项）</w:t>
      </w:r>
      <w:r>
        <w:rPr>
          <w:rFonts w:hint="eastAsia" w:ascii="仿宋_GB2312" w:hAnsi="仿宋_GB2312" w:eastAsia="仿宋_GB2312" w:cs="仿宋_GB2312"/>
          <w:sz w:val="32"/>
          <w:szCs w:val="32"/>
          <w:lang w:eastAsia="zh-CN"/>
        </w:rPr>
        <w:t>。</w:t>
      </w:r>
    </w:p>
    <w:p>
      <w:pPr>
        <w:pStyle w:val="12"/>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年初预算为9499.07万元，支出决算为9152.99万元，完成年初预算的96.36%，决算数小于年初预算数的主要原因是：</w:t>
      </w:r>
      <w:r>
        <w:rPr>
          <w:rFonts w:hint="eastAsia" w:ascii="仿宋_GB2312" w:hAnsi="仿宋_GB2312" w:eastAsia="仿宋_GB2312" w:cs="仿宋_GB2312"/>
          <w:sz w:val="32"/>
          <w:szCs w:val="32"/>
          <w:lang w:eastAsia="zh-CN"/>
        </w:rPr>
        <w:t>控制行政运行支出。</w:t>
      </w:r>
    </w:p>
    <w:p>
      <w:pPr>
        <w:pStyle w:val="12"/>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8、节能环保支出（类）环境保护管理事务（款）一般行政管理事务（项）</w:t>
      </w:r>
      <w:r>
        <w:rPr>
          <w:rFonts w:hint="eastAsia" w:ascii="仿宋_GB2312" w:hAnsi="仿宋_GB2312" w:eastAsia="仿宋_GB2312" w:cs="仿宋_GB2312"/>
          <w:sz w:val="32"/>
          <w:szCs w:val="32"/>
          <w:lang w:eastAsia="zh-CN"/>
        </w:rPr>
        <w:t>。</w:t>
      </w:r>
    </w:p>
    <w:p>
      <w:pPr>
        <w:pStyle w:val="12"/>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年初预算为891.18万元，支出决算为827.68万元，完成年初预算的92.8</w:t>
      </w:r>
      <w:r>
        <w:rPr>
          <w:rFonts w:hint="eastAsia" w:ascii="仿宋_GB2312" w:hAnsi="仿宋_GB2312" w:eastAsia="仿宋_GB2312" w:cs="仿宋_GB2312"/>
          <w:sz w:val="32"/>
          <w:szCs w:val="32"/>
          <w:lang w:val="en-US" w:eastAsia="zh-CN"/>
        </w:rPr>
        <w:t>7</w:t>
      </w:r>
      <w:r>
        <w:rPr>
          <w:rFonts w:hint="eastAsia" w:ascii="仿宋_GB2312" w:hAnsi="仿宋_GB2312" w:eastAsia="仿宋_GB2312" w:cs="仿宋_GB2312"/>
          <w:sz w:val="32"/>
          <w:szCs w:val="32"/>
        </w:rPr>
        <w:t>%，决算数小于年初预算数的主要原因是：</w:t>
      </w:r>
      <w:r>
        <w:rPr>
          <w:rFonts w:hint="eastAsia" w:ascii="仿宋_GB2312" w:hAnsi="仿宋_GB2312" w:eastAsia="仿宋_GB2312" w:cs="仿宋_GB2312"/>
          <w:sz w:val="32"/>
          <w:szCs w:val="32"/>
          <w:lang w:eastAsia="zh-CN"/>
        </w:rPr>
        <w:t>控制</w:t>
      </w:r>
      <w:r>
        <w:rPr>
          <w:rFonts w:hint="eastAsia" w:ascii="仿宋_GB2312" w:hAnsi="仿宋_GB2312" w:eastAsia="仿宋_GB2312" w:cs="仿宋_GB2312"/>
          <w:sz w:val="32"/>
          <w:szCs w:val="32"/>
        </w:rPr>
        <w:t>一般行政管理事务</w:t>
      </w:r>
      <w:r>
        <w:rPr>
          <w:rFonts w:hint="eastAsia" w:ascii="仿宋_GB2312" w:hAnsi="仿宋_GB2312" w:eastAsia="仿宋_GB2312" w:cs="仿宋_GB2312"/>
          <w:sz w:val="32"/>
          <w:szCs w:val="32"/>
          <w:lang w:eastAsia="zh-CN"/>
        </w:rPr>
        <w:t>支出。</w:t>
      </w:r>
    </w:p>
    <w:p>
      <w:pPr>
        <w:pStyle w:val="12"/>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9、节能环保支出（类）环境保护管理事务（款）其他环境保护管理事务支出（项）</w:t>
      </w:r>
      <w:r>
        <w:rPr>
          <w:rFonts w:hint="eastAsia" w:ascii="仿宋_GB2312" w:hAnsi="仿宋_GB2312" w:eastAsia="仿宋_GB2312" w:cs="仿宋_GB2312"/>
          <w:sz w:val="32"/>
          <w:szCs w:val="32"/>
          <w:lang w:eastAsia="zh-CN"/>
        </w:rPr>
        <w:t>。</w:t>
      </w:r>
    </w:p>
    <w:p>
      <w:pPr>
        <w:pStyle w:val="12"/>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年初预算为227.68万元，支出决算为703.90万元，完成年初预算的309.16%，决算数</w:t>
      </w:r>
      <w:r>
        <w:rPr>
          <w:rFonts w:hint="eastAsia" w:ascii="仿宋_GB2312" w:hAnsi="仿宋_GB2312" w:eastAsia="仿宋_GB2312" w:cs="仿宋_GB2312"/>
          <w:sz w:val="32"/>
          <w:szCs w:val="32"/>
          <w:lang w:eastAsia="zh-CN"/>
        </w:rPr>
        <w:t>大</w:t>
      </w:r>
      <w:r>
        <w:rPr>
          <w:rFonts w:hint="eastAsia" w:ascii="仿宋_GB2312" w:hAnsi="仿宋_GB2312" w:eastAsia="仿宋_GB2312" w:cs="仿宋_GB2312"/>
          <w:sz w:val="32"/>
          <w:szCs w:val="32"/>
        </w:rPr>
        <w:t>于年初预算数的主要原因是：</w:t>
      </w:r>
      <w:r>
        <w:rPr>
          <w:rFonts w:hint="eastAsia" w:ascii="仿宋_GB2312" w:hAnsi="仿宋_GB2312" w:eastAsia="仿宋_GB2312" w:cs="仿宋_GB2312"/>
          <w:sz w:val="32"/>
          <w:szCs w:val="32"/>
          <w:lang w:eastAsia="zh-CN"/>
        </w:rPr>
        <w:t>因项目原因，年中追加</w:t>
      </w:r>
      <w:r>
        <w:rPr>
          <w:rFonts w:hint="eastAsia" w:ascii="仿宋_GB2312" w:hAnsi="仿宋_GB2312" w:eastAsia="仿宋_GB2312" w:cs="仿宋_GB2312"/>
          <w:sz w:val="32"/>
          <w:szCs w:val="32"/>
        </w:rPr>
        <w:t>其他环境保护管理事务支出</w:t>
      </w:r>
      <w:r>
        <w:rPr>
          <w:rFonts w:hint="eastAsia" w:ascii="仿宋_GB2312" w:hAnsi="仿宋_GB2312" w:eastAsia="仿宋_GB2312" w:cs="仿宋_GB2312"/>
          <w:sz w:val="32"/>
          <w:szCs w:val="32"/>
          <w:lang w:eastAsia="zh-CN"/>
        </w:rPr>
        <w:t>。</w:t>
      </w:r>
    </w:p>
    <w:p>
      <w:pPr>
        <w:pStyle w:val="12"/>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10、节能环保支出（类）环境监测与监察（款）其他环境监测与监察支出（项）</w:t>
      </w:r>
      <w:r>
        <w:rPr>
          <w:rFonts w:hint="eastAsia" w:ascii="仿宋_GB2312" w:hAnsi="仿宋_GB2312" w:eastAsia="仿宋_GB2312" w:cs="仿宋_GB2312"/>
          <w:sz w:val="32"/>
          <w:szCs w:val="32"/>
          <w:lang w:eastAsia="zh-CN"/>
        </w:rPr>
        <w:t>。</w:t>
      </w:r>
    </w:p>
    <w:p>
      <w:pPr>
        <w:pStyle w:val="12"/>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年初预算为281.00万元，支出决算为367.99万元，完成年初预算的130.96%，决算数</w:t>
      </w:r>
      <w:r>
        <w:rPr>
          <w:rFonts w:hint="eastAsia" w:ascii="仿宋_GB2312" w:hAnsi="仿宋_GB2312" w:eastAsia="仿宋_GB2312" w:cs="仿宋_GB2312"/>
          <w:sz w:val="32"/>
          <w:szCs w:val="32"/>
          <w:lang w:eastAsia="zh-CN"/>
        </w:rPr>
        <w:t>大</w:t>
      </w:r>
      <w:r>
        <w:rPr>
          <w:rFonts w:hint="eastAsia" w:ascii="仿宋_GB2312" w:hAnsi="仿宋_GB2312" w:eastAsia="仿宋_GB2312" w:cs="仿宋_GB2312"/>
          <w:sz w:val="32"/>
          <w:szCs w:val="32"/>
        </w:rPr>
        <w:t>于年初预算数的主要原因是：</w:t>
      </w:r>
      <w:r>
        <w:rPr>
          <w:rFonts w:hint="eastAsia" w:ascii="仿宋_GB2312" w:hAnsi="仿宋_GB2312" w:eastAsia="仿宋_GB2312" w:cs="仿宋_GB2312"/>
          <w:sz w:val="32"/>
          <w:szCs w:val="32"/>
          <w:lang w:eastAsia="zh-CN"/>
        </w:rPr>
        <w:t>因项目原因，年中追加</w:t>
      </w:r>
      <w:r>
        <w:rPr>
          <w:rFonts w:hint="eastAsia" w:ascii="仿宋_GB2312" w:hAnsi="仿宋_GB2312" w:eastAsia="仿宋_GB2312" w:cs="仿宋_GB2312"/>
          <w:sz w:val="32"/>
          <w:szCs w:val="32"/>
        </w:rPr>
        <w:t>其他环境监测与监察支出</w:t>
      </w:r>
      <w:r>
        <w:rPr>
          <w:rFonts w:hint="eastAsia" w:ascii="仿宋_GB2312" w:hAnsi="仿宋_GB2312" w:eastAsia="仿宋_GB2312" w:cs="仿宋_GB2312"/>
          <w:sz w:val="32"/>
          <w:szCs w:val="32"/>
          <w:lang w:eastAsia="zh-CN"/>
        </w:rPr>
        <w:t>。</w:t>
      </w:r>
    </w:p>
    <w:p>
      <w:pPr>
        <w:pStyle w:val="12"/>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11、节能环保支出（类）污染防治（款）大气（项）</w:t>
      </w:r>
      <w:r>
        <w:rPr>
          <w:rFonts w:hint="eastAsia" w:ascii="仿宋_GB2312" w:hAnsi="仿宋_GB2312" w:eastAsia="仿宋_GB2312" w:cs="仿宋_GB2312"/>
          <w:sz w:val="32"/>
          <w:szCs w:val="32"/>
          <w:lang w:eastAsia="zh-CN"/>
        </w:rPr>
        <w:t>。</w:t>
      </w:r>
    </w:p>
    <w:p>
      <w:pPr>
        <w:pStyle w:val="12"/>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年初预算为0.00万元，支出决算为537.67万元，决算数</w:t>
      </w:r>
      <w:r>
        <w:rPr>
          <w:rFonts w:hint="eastAsia" w:ascii="仿宋_GB2312" w:hAnsi="仿宋_GB2312" w:eastAsia="仿宋_GB2312" w:cs="仿宋_GB2312"/>
          <w:sz w:val="32"/>
          <w:szCs w:val="32"/>
          <w:lang w:eastAsia="zh-CN"/>
        </w:rPr>
        <w:t>大</w:t>
      </w:r>
      <w:r>
        <w:rPr>
          <w:rFonts w:hint="eastAsia" w:ascii="仿宋_GB2312" w:hAnsi="仿宋_GB2312" w:eastAsia="仿宋_GB2312" w:cs="仿宋_GB2312"/>
          <w:sz w:val="32"/>
          <w:szCs w:val="32"/>
        </w:rPr>
        <w:t>于年初预算数的主要原因是：</w:t>
      </w:r>
      <w:r>
        <w:rPr>
          <w:rFonts w:hint="eastAsia" w:ascii="仿宋_GB2312" w:hAnsi="仿宋_GB2312" w:eastAsia="仿宋_GB2312" w:cs="仿宋_GB2312"/>
          <w:sz w:val="32"/>
          <w:szCs w:val="32"/>
          <w:lang w:eastAsia="zh-CN"/>
        </w:rPr>
        <w:t>年初未做预算，年中追加项目相关支出。</w:t>
      </w:r>
    </w:p>
    <w:p>
      <w:pPr>
        <w:pStyle w:val="12"/>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12、节能环保支出（类）污染防治（款）水体（项）</w:t>
      </w:r>
      <w:r>
        <w:rPr>
          <w:rFonts w:hint="eastAsia" w:ascii="仿宋_GB2312" w:hAnsi="仿宋_GB2312" w:eastAsia="仿宋_GB2312" w:cs="仿宋_GB2312"/>
          <w:sz w:val="32"/>
          <w:szCs w:val="32"/>
          <w:lang w:eastAsia="zh-CN"/>
        </w:rPr>
        <w:t>。</w:t>
      </w:r>
    </w:p>
    <w:p>
      <w:pPr>
        <w:pStyle w:val="12"/>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年初预算为0.00万元，支出决算为27.10万元，决算数</w:t>
      </w:r>
      <w:r>
        <w:rPr>
          <w:rFonts w:hint="eastAsia" w:ascii="仿宋_GB2312" w:hAnsi="仿宋_GB2312" w:eastAsia="仿宋_GB2312" w:cs="仿宋_GB2312"/>
          <w:sz w:val="32"/>
          <w:szCs w:val="32"/>
          <w:lang w:eastAsia="zh-CN"/>
        </w:rPr>
        <w:t>大</w:t>
      </w:r>
      <w:r>
        <w:rPr>
          <w:rFonts w:hint="eastAsia" w:ascii="仿宋_GB2312" w:hAnsi="仿宋_GB2312" w:eastAsia="仿宋_GB2312" w:cs="仿宋_GB2312"/>
          <w:sz w:val="32"/>
          <w:szCs w:val="32"/>
        </w:rPr>
        <w:t>于年初预算数的主要原因是：</w:t>
      </w:r>
      <w:r>
        <w:rPr>
          <w:rFonts w:hint="eastAsia" w:ascii="仿宋_GB2312" w:hAnsi="仿宋_GB2312" w:eastAsia="仿宋_GB2312" w:cs="仿宋_GB2312"/>
          <w:sz w:val="32"/>
          <w:szCs w:val="32"/>
          <w:lang w:eastAsia="zh-CN"/>
        </w:rPr>
        <w:t>年初未做预算，年中追加项目相关支出。</w:t>
      </w:r>
    </w:p>
    <w:p>
      <w:pPr>
        <w:pStyle w:val="12"/>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13、节能环保支出（类）污染防治（款）其他污染防治支出（项）</w:t>
      </w:r>
      <w:r>
        <w:rPr>
          <w:rFonts w:hint="eastAsia" w:ascii="仿宋_GB2312" w:hAnsi="仿宋_GB2312" w:eastAsia="仿宋_GB2312" w:cs="仿宋_GB2312"/>
          <w:sz w:val="32"/>
          <w:szCs w:val="32"/>
          <w:lang w:eastAsia="zh-CN"/>
        </w:rPr>
        <w:t>。</w:t>
      </w:r>
    </w:p>
    <w:p>
      <w:pPr>
        <w:pStyle w:val="12"/>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年初预算为345.00万元，支出决算为993.62万元，完成年初预算的288.01%，决算数</w:t>
      </w:r>
      <w:r>
        <w:rPr>
          <w:rFonts w:hint="eastAsia" w:ascii="仿宋_GB2312" w:hAnsi="仿宋_GB2312" w:eastAsia="仿宋_GB2312" w:cs="仿宋_GB2312"/>
          <w:sz w:val="32"/>
          <w:szCs w:val="32"/>
          <w:lang w:eastAsia="zh-CN"/>
        </w:rPr>
        <w:t>大</w:t>
      </w:r>
      <w:r>
        <w:rPr>
          <w:rFonts w:hint="eastAsia" w:ascii="仿宋_GB2312" w:hAnsi="仿宋_GB2312" w:eastAsia="仿宋_GB2312" w:cs="仿宋_GB2312"/>
          <w:sz w:val="32"/>
          <w:szCs w:val="32"/>
        </w:rPr>
        <w:t>于年初预算数的主要原因是：</w:t>
      </w:r>
      <w:r>
        <w:rPr>
          <w:rFonts w:hint="eastAsia" w:ascii="仿宋_GB2312" w:hAnsi="仿宋_GB2312" w:eastAsia="仿宋_GB2312" w:cs="仿宋_GB2312"/>
          <w:sz w:val="32"/>
          <w:szCs w:val="32"/>
          <w:lang w:eastAsia="zh-CN"/>
        </w:rPr>
        <w:t>因项目原因，年中追加</w:t>
      </w:r>
      <w:r>
        <w:rPr>
          <w:rFonts w:hint="eastAsia" w:ascii="仿宋_GB2312" w:hAnsi="仿宋_GB2312" w:eastAsia="仿宋_GB2312" w:cs="仿宋_GB2312"/>
          <w:sz w:val="32"/>
          <w:szCs w:val="32"/>
        </w:rPr>
        <w:t>其他污染防治支出</w:t>
      </w:r>
      <w:r>
        <w:rPr>
          <w:rFonts w:hint="eastAsia" w:ascii="仿宋_GB2312" w:hAnsi="仿宋_GB2312" w:eastAsia="仿宋_GB2312" w:cs="仿宋_GB2312"/>
          <w:sz w:val="32"/>
          <w:szCs w:val="32"/>
          <w:lang w:eastAsia="zh-CN"/>
        </w:rPr>
        <w:t>。</w:t>
      </w:r>
    </w:p>
    <w:p>
      <w:pPr>
        <w:pStyle w:val="12"/>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14、节能环保支出（类）自然生态保护（款）农村环境保护（项）</w:t>
      </w:r>
      <w:r>
        <w:rPr>
          <w:rFonts w:hint="eastAsia" w:ascii="仿宋_GB2312" w:hAnsi="仿宋_GB2312" w:eastAsia="仿宋_GB2312" w:cs="仿宋_GB2312"/>
          <w:sz w:val="32"/>
          <w:szCs w:val="32"/>
          <w:lang w:eastAsia="zh-CN"/>
        </w:rPr>
        <w:t>。</w:t>
      </w:r>
    </w:p>
    <w:p>
      <w:pPr>
        <w:pStyle w:val="12"/>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年初预算为0.00万元，支出决算为815.15万元，决算数</w:t>
      </w:r>
      <w:r>
        <w:rPr>
          <w:rFonts w:hint="eastAsia" w:ascii="仿宋_GB2312" w:hAnsi="仿宋_GB2312" w:eastAsia="仿宋_GB2312" w:cs="仿宋_GB2312"/>
          <w:sz w:val="32"/>
          <w:szCs w:val="32"/>
          <w:lang w:eastAsia="zh-CN"/>
        </w:rPr>
        <w:t>大</w:t>
      </w:r>
      <w:r>
        <w:rPr>
          <w:rFonts w:hint="eastAsia" w:ascii="仿宋_GB2312" w:hAnsi="仿宋_GB2312" w:eastAsia="仿宋_GB2312" w:cs="仿宋_GB2312"/>
          <w:sz w:val="32"/>
          <w:szCs w:val="32"/>
        </w:rPr>
        <w:t>于年初预算数的主要原因是：</w:t>
      </w:r>
      <w:r>
        <w:rPr>
          <w:rFonts w:hint="eastAsia" w:ascii="仿宋_GB2312" w:hAnsi="仿宋_GB2312" w:eastAsia="仿宋_GB2312" w:cs="仿宋_GB2312"/>
          <w:sz w:val="32"/>
          <w:szCs w:val="32"/>
          <w:lang w:eastAsia="zh-CN"/>
        </w:rPr>
        <w:t>年初未做预算，年中追加项目相关支出。</w:t>
      </w:r>
    </w:p>
    <w:p>
      <w:pPr>
        <w:pStyle w:val="12"/>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15、节能环保支出（类）污染减排（款）生态环境执法监察（项）</w:t>
      </w:r>
      <w:r>
        <w:rPr>
          <w:rFonts w:hint="eastAsia" w:ascii="仿宋_GB2312" w:hAnsi="仿宋_GB2312" w:eastAsia="仿宋_GB2312" w:cs="仿宋_GB2312"/>
          <w:sz w:val="32"/>
          <w:szCs w:val="32"/>
          <w:lang w:eastAsia="zh-CN"/>
        </w:rPr>
        <w:t>。</w:t>
      </w:r>
    </w:p>
    <w:p>
      <w:pPr>
        <w:pStyle w:val="12"/>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年初预算为891.73万元，支出决算为820.87万元，完成年初预算的92.05%，决算数</w:t>
      </w:r>
      <w:r>
        <w:rPr>
          <w:rFonts w:hint="eastAsia" w:ascii="仿宋_GB2312" w:hAnsi="仿宋_GB2312" w:eastAsia="仿宋_GB2312" w:cs="仿宋_GB2312"/>
          <w:sz w:val="32"/>
          <w:szCs w:val="32"/>
          <w:lang w:eastAsia="zh-CN"/>
        </w:rPr>
        <w:t>小</w:t>
      </w:r>
      <w:r>
        <w:rPr>
          <w:rFonts w:hint="eastAsia" w:ascii="仿宋_GB2312" w:hAnsi="仿宋_GB2312" w:eastAsia="仿宋_GB2312" w:cs="仿宋_GB2312"/>
          <w:sz w:val="32"/>
          <w:szCs w:val="32"/>
        </w:rPr>
        <w:t>于年初预算数的主要原因是：</w:t>
      </w:r>
      <w:r>
        <w:rPr>
          <w:rFonts w:hint="eastAsia" w:ascii="仿宋_GB2312" w:hAnsi="仿宋_GB2312" w:eastAsia="仿宋_GB2312" w:cs="仿宋_GB2312"/>
          <w:sz w:val="32"/>
          <w:szCs w:val="32"/>
          <w:lang w:eastAsia="zh-CN"/>
        </w:rPr>
        <w:t>控制项目费用支出。</w:t>
      </w:r>
    </w:p>
    <w:p>
      <w:pPr>
        <w:pStyle w:val="12"/>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16、节能环保支出（类）其他节能环保支出（款）其他节能环保支出（项）</w:t>
      </w:r>
      <w:r>
        <w:rPr>
          <w:rFonts w:hint="eastAsia" w:ascii="仿宋_GB2312" w:hAnsi="仿宋_GB2312" w:eastAsia="仿宋_GB2312" w:cs="仿宋_GB2312"/>
          <w:sz w:val="32"/>
          <w:szCs w:val="32"/>
          <w:lang w:eastAsia="zh-CN"/>
        </w:rPr>
        <w:t>。</w:t>
      </w:r>
    </w:p>
    <w:p>
      <w:pPr>
        <w:pStyle w:val="12"/>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年初预算为31.00万元，支出决算为595.17万元，完成年初预算的1919.90%，决算数</w:t>
      </w:r>
      <w:r>
        <w:rPr>
          <w:rFonts w:hint="eastAsia" w:ascii="仿宋_GB2312" w:hAnsi="仿宋_GB2312" w:eastAsia="仿宋_GB2312" w:cs="仿宋_GB2312"/>
          <w:sz w:val="32"/>
          <w:szCs w:val="32"/>
          <w:lang w:eastAsia="zh-CN"/>
        </w:rPr>
        <w:t>大</w:t>
      </w:r>
      <w:r>
        <w:rPr>
          <w:rFonts w:hint="eastAsia" w:ascii="仿宋_GB2312" w:hAnsi="仿宋_GB2312" w:eastAsia="仿宋_GB2312" w:cs="仿宋_GB2312"/>
          <w:sz w:val="32"/>
          <w:szCs w:val="32"/>
        </w:rPr>
        <w:t>于年初预算数的主要原因是：</w:t>
      </w:r>
      <w:r>
        <w:rPr>
          <w:rFonts w:hint="eastAsia" w:ascii="仿宋_GB2312" w:hAnsi="仿宋_GB2312" w:eastAsia="仿宋_GB2312" w:cs="仿宋_GB2312"/>
          <w:sz w:val="32"/>
          <w:szCs w:val="32"/>
          <w:lang w:eastAsia="zh-CN"/>
        </w:rPr>
        <w:t>因项目原因，年中追加</w:t>
      </w:r>
      <w:r>
        <w:rPr>
          <w:rFonts w:hint="eastAsia" w:ascii="仿宋_GB2312" w:hAnsi="仿宋_GB2312" w:eastAsia="仿宋_GB2312" w:cs="仿宋_GB2312"/>
          <w:sz w:val="32"/>
          <w:szCs w:val="32"/>
        </w:rPr>
        <w:t>其他节能环保支出</w:t>
      </w:r>
      <w:r>
        <w:rPr>
          <w:rFonts w:hint="eastAsia" w:ascii="仿宋_GB2312" w:hAnsi="仿宋_GB2312" w:eastAsia="仿宋_GB2312" w:cs="仿宋_GB2312"/>
          <w:sz w:val="32"/>
          <w:szCs w:val="32"/>
          <w:lang w:eastAsia="zh-CN"/>
        </w:rPr>
        <w:t>。</w:t>
      </w:r>
    </w:p>
    <w:p>
      <w:pPr>
        <w:pStyle w:val="12"/>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17、住房保障支出（类）住房改革支出（款）住房公积金（项）</w:t>
      </w:r>
      <w:r>
        <w:rPr>
          <w:rFonts w:hint="eastAsia" w:ascii="仿宋_GB2312" w:hAnsi="仿宋_GB2312" w:eastAsia="仿宋_GB2312" w:cs="仿宋_GB2312"/>
          <w:sz w:val="32"/>
          <w:szCs w:val="32"/>
          <w:lang w:eastAsia="zh-CN"/>
        </w:rPr>
        <w:t>。</w:t>
      </w:r>
    </w:p>
    <w:p>
      <w:pPr>
        <w:pStyle w:val="12"/>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年初预算为764.78万元，支出决算为764.29万元，完成年初预算的99.94%，决算数</w:t>
      </w:r>
      <w:r>
        <w:rPr>
          <w:rFonts w:hint="eastAsia" w:ascii="仿宋_GB2312" w:hAnsi="仿宋_GB2312" w:eastAsia="仿宋_GB2312" w:cs="仿宋_GB2312"/>
          <w:sz w:val="32"/>
          <w:szCs w:val="32"/>
          <w:lang w:eastAsia="zh-CN"/>
        </w:rPr>
        <w:t>小</w:t>
      </w:r>
      <w:r>
        <w:rPr>
          <w:rFonts w:hint="eastAsia" w:ascii="仿宋_GB2312" w:hAnsi="仿宋_GB2312" w:eastAsia="仿宋_GB2312" w:cs="仿宋_GB2312"/>
          <w:sz w:val="32"/>
          <w:szCs w:val="32"/>
        </w:rPr>
        <w:t>于年初预算数的主要原因是：</w:t>
      </w:r>
      <w:r>
        <w:rPr>
          <w:rFonts w:hint="eastAsia" w:ascii="仿宋_GB2312" w:hAnsi="仿宋_GB2312" w:eastAsia="仿宋_GB2312" w:cs="仿宋_GB2312"/>
          <w:sz w:val="32"/>
          <w:szCs w:val="32"/>
          <w:lang w:eastAsia="zh-CN"/>
        </w:rPr>
        <w:t>年内人员变动导致相关人员经费变动。</w:t>
      </w:r>
    </w:p>
    <w:p>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六、一般公共预算财政拨款基本支出决算情况说明</w:t>
      </w:r>
    </w:p>
    <w:p>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年度财政拨款基本支出12,571.30万元，其中：</w:t>
      </w:r>
    </w:p>
    <w:p>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color w:val="FF0000"/>
          <w:sz w:val="32"/>
          <w:szCs w:val="32"/>
          <w:lang w:eastAsia="zh-CN"/>
        </w:rPr>
      </w:pPr>
      <w:r>
        <w:rPr>
          <w:rFonts w:hint="eastAsia" w:ascii="仿宋_GB2312" w:hAnsi="仿宋_GB2312" w:eastAsia="仿宋_GB2312" w:cs="仿宋_GB2312"/>
          <w:b/>
          <w:bCs/>
          <w:sz w:val="32"/>
          <w:szCs w:val="32"/>
        </w:rPr>
        <w:t>人员经费</w:t>
      </w:r>
      <w:r>
        <w:rPr>
          <w:rFonts w:hint="eastAsia" w:ascii="仿宋_GB2312" w:hAnsi="仿宋_GB2312" w:eastAsia="仿宋_GB2312" w:cs="仿宋_GB2312"/>
          <w:sz w:val="32"/>
          <w:szCs w:val="32"/>
        </w:rPr>
        <w:t>10,692.69万元，占基本支出的85.06%</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主要包括基本工资</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津贴补贴</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奖金</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伙食补助费</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绩效工资</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机关事业单位基本养老保险缴费</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职业年金缴费</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职工基本医疗保险缴费</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其他社会保障缴费</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住房公积金</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医疗费</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其他工资福利支出</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退休费</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抚恤金</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生活补助</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医疗费补助</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奖励金</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其他对个人和家庭的补助</w:t>
      </w:r>
      <w:r>
        <w:rPr>
          <w:rFonts w:hint="eastAsia" w:ascii="仿宋_GB2312" w:hAnsi="仿宋_GB2312" w:eastAsia="仿宋_GB2312" w:cs="仿宋_GB2312"/>
          <w:sz w:val="32"/>
          <w:szCs w:val="32"/>
          <w:lang w:eastAsia="zh-CN"/>
        </w:rPr>
        <w:t>。</w:t>
      </w:r>
    </w:p>
    <w:p>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textAlignment w:val="auto"/>
        <w:rPr>
          <w:rFonts w:hint="eastAsia" w:ascii="仿宋_GB2312" w:hAnsi="仿宋_GB2312" w:eastAsia="仿宋_GB2312" w:cs="仿宋_GB2312"/>
          <w:b w:val="0"/>
          <w:bCs/>
          <w:sz w:val="32"/>
          <w:szCs w:val="32"/>
          <w:lang w:eastAsia="zh-CN"/>
        </w:rPr>
      </w:pPr>
      <w:r>
        <w:rPr>
          <w:rFonts w:hint="eastAsia" w:ascii="仿宋_GB2312" w:hAnsi="仿宋_GB2312" w:eastAsia="仿宋_GB2312" w:cs="仿宋_GB2312"/>
          <w:b/>
          <w:bCs/>
          <w:sz w:val="32"/>
          <w:szCs w:val="32"/>
        </w:rPr>
        <w:t>公用经费</w:t>
      </w:r>
      <w:r>
        <w:rPr>
          <w:rFonts w:hint="eastAsia" w:ascii="仿宋_GB2312" w:hAnsi="仿宋_GB2312" w:eastAsia="仿宋_GB2312" w:cs="仿宋_GB2312"/>
          <w:sz w:val="32"/>
          <w:szCs w:val="32"/>
        </w:rPr>
        <w:t>1,878.61万元，占基本支出的14.94%，主要包括办公费</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印刷费</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咨询费</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水费</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电费</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邮电费</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物业管理费</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差旅费</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维修（护）费</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租赁费</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会议费</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培训费</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公务接待费</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专用材料费</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专用燃料费</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劳务费</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委托业务费</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工会经费</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福利费</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公务用车运行维护费</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其他交通费用</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税金及附加费用</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其他商品和服务支出</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办公设备购置</w:t>
      </w:r>
      <w:r>
        <w:rPr>
          <w:rFonts w:hint="eastAsia" w:ascii="仿宋_GB2312" w:hAnsi="仿宋_GB2312" w:eastAsia="仿宋_GB2312" w:cs="仿宋_GB2312"/>
          <w:sz w:val="32"/>
          <w:szCs w:val="32"/>
          <w:lang w:eastAsia="zh-CN"/>
        </w:rPr>
        <w:t>。</w:t>
      </w:r>
    </w:p>
    <w:p>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七、政府性基金预算收入支出决算情况</w:t>
      </w:r>
    </w:p>
    <w:p>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textAlignment w:val="auto"/>
        <w:rPr>
          <w:rFonts w:hint="eastAsia" w:ascii="黑体" w:hAnsi="黑体" w:eastAsia="黑体" w:cs="黑体"/>
          <w:b w:val="0"/>
          <w:bCs/>
          <w:color w:val="000000"/>
          <w:kern w:val="0"/>
          <w:sz w:val="32"/>
          <w:szCs w:val="32"/>
          <w:highlight w:val="none"/>
          <w:lang w:val="en-US" w:eastAsia="zh-CN" w:bidi="ar-SA"/>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年度政府性基金预算财政拨款收入</w:t>
      </w:r>
      <w:r>
        <w:rPr>
          <w:rFonts w:hint="eastAsia" w:ascii="仿宋_GB2312" w:hAnsi="仿宋_GB2312" w:eastAsia="仿宋_GB2312" w:cs="仿宋_GB2312"/>
          <w:sz w:val="32"/>
          <w:szCs w:val="32"/>
          <w:lang w:eastAsia="zh-CN"/>
        </w:rPr>
        <w:t>0.00</w:t>
      </w:r>
      <w:r>
        <w:rPr>
          <w:rFonts w:hint="eastAsia" w:ascii="仿宋_GB2312" w:hAnsi="仿宋_GB2312" w:eastAsia="仿宋_GB2312" w:cs="仿宋_GB2312"/>
          <w:sz w:val="32"/>
          <w:szCs w:val="32"/>
        </w:rPr>
        <w:t>万元；年初结转和结余</w:t>
      </w:r>
      <w:r>
        <w:rPr>
          <w:rFonts w:hint="eastAsia" w:ascii="仿宋_GB2312" w:hAnsi="仿宋_GB2312" w:eastAsia="仿宋_GB2312" w:cs="仿宋_GB2312"/>
          <w:sz w:val="32"/>
          <w:szCs w:val="32"/>
          <w:lang w:eastAsia="zh-CN"/>
        </w:rPr>
        <w:t>0.00</w:t>
      </w:r>
      <w:r>
        <w:rPr>
          <w:rFonts w:hint="eastAsia" w:ascii="仿宋_GB2312" w:hAnsi="仿宋_GB2312" w:eastAsia="仿宋_GB2312" w:cs="仿宋_GB2312"/>
          <w:sz w:val="32"/>
          <w:szCs w:val="32"/>
        </w:rPr>
        <w:t>万元；支出</w:t>
      </w:r>
      <w:r>
        <w:rPr>
          <w:rFonts w:hint="eastAsia" w:ascii="仿宋_GB2312" w:hAnsi="仿宋_GB2312" w:eastAsia="仿宋_GB2312" w:cs="仿宋_GB2312"/>
          <w:sz w:val="32"/>
          <w:szCs w:val="32"/>
          <w:lang w:eastAsia="zh-CN"/>
        </w:rPr>
        <w:t>0.00</w:t>
      </w:r>
      <w:r>
        <w:rPr>
          <w:rFonts w:hint="eastAsia" w:ascii="仿宋_GB2312" w:hAnsi="仿宋_GB2312" w:eastAsia="仿宋_GB2312" w:cs="仿宋_GB2312"/>
          <w:sz w:val="32"/>
          <w:szCs w:val="32"/>
        </w:rPr>
        <w:t>万元，其中基本支出</w:t>
      </w:r>
      <w:r>
        <w:rPr>
          <w:rFonts w:hint="eastAsia" w:ascii="仿宋_GB2312" w:hAnsi="仿宋_GB2312" w:eastAsia="仿宋_GB2312" w:cs="仿宋_GB2312"/>
          <w:sz w:val="32"/>
          <w:szCs w:val="32"/>
          <w:lang w:eastAsia="zh-CN"/>
        </w:rPr>
        <w:t>0.00</w:t>
      </w:r>
      <w:r>
        <w:rPr>
          <w:rFonts w:hint="eastAsia" w:ascii="仿宋_GB2312" w:hAnsi="仿宋_GB2312" w:eastAsia="仿宋_GB2312" w:cs="仿宋_GB2312"/>
          <w:sz w:val="32"/>
          <w:szCs w:val="32"/>
        </w:rPr>
        <w:t>万元，项目支出</w:t>
      </w:r>
      <w:r>
        <w:rPr>
          <w:rFonts w:hint="eastAsia" w:ascii="仿宋_GB2312" w:hAnsi="仿宋_GB2312" w:eastAsia="仿宋_GB2312" w:cs="仿宋_GB2312"/>
          <w:sz w:val="32"/>
          <w:szCs w:val="32"/>
          <w:lang w:eastAsia="zh-CN"/>
        </w:rPr>
        <w:t>0.00</w:t>
      </w:r>
      <w:r>
        <w:rPr>
          <w:rFonts w:hint="eastAsia" w:ascii="仿宋_GB2312" w:hAnsi="仿宋_GB2312" w:eastAsia="仿宋_GB2312" w:cs="仿宋_GB2312"/>
          <w:sz w:val="32"/>
          <w:szCs w:val="32"/>
        </w:rPr>
        <w:t>万元；年末结转和结余</w:t>
      </w:r>
      <w:r>
        <w:rPr>
          <w:rFonts w:hint="eastAsia" w:ascii="仿宋_GB2312" w:hAnsi="仿宋_GB2312" w:eastAsia="仿宋_GB2312" w:cs="仿宋_GB2312"/>
          <w:sz w:val="32"/>
          <w:szCs w:val="32"/>
          <w:lang w:eastAsia="zh-CN"/>
        </w:rPr>
        <w:t>0.00</w:t>
      </w:r>
      <w:r>
        <w:rPr>
          <w:rFonts w:hint="eastAsia" w:ascii="仿宋_GB2312" w:hAnsi="仿宋_GB2312" w:eastAsia="仿宋_GB2312" w:cs="仿宋_GB2312"/>
          <w:sz w:val="32"/>
          <w:szCs w:val="32"/>
        </w:rPr>
        <w:t>万元。</w:t>
      </w:r>
    </w:p>
    <w:p>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textAlignment w:val="auto"/>
        <w:rPr>
          <w:rFonts w:hint="eastAsia" w:ascii="黑体" w:hAnsi="黑体" w:eastAsia="黑体" w:cs="黑体"/>
          <w:b w:val="0"/>
          <w:bCs/>
          <w:color w:val="000000"/>
          <w:kern w:val="0"/>
          <w:sz w:val="32"/>
          <w:szCs w:val="32"/>
          <w:lang w:val="en-US" w:eastAsia="zh-CN" w:bidi="ar-SA"/>
        </w:rPr>
      </w:pPr>
      <w:r>
        <w:rPr>
          <w:rFonts w:hint="eastAsia" w:ascii="黑体" w:hAnsi="黑体" w:eastAsia="黑体" w:cs="黑体"/>
          <w:b w:val="0"/>
          <w:bCs/>
          <w:color w:val="000000"/>
          <w:kern w:val="0"/>
          <w:sz w:val="32"/>
          <w:szCs w:val="32"/>
          <w:lang w:val="en-US" w:eastAsia="zh-CN" w:bidi="ar-SA"/>
        </w:rPr>
        <w:t>八、国有资本经营预算财政拨款支出决算情况</w:t>
      </w:r>
    </w:p>
    <w:p>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2023年度国有资本经营预算财政拨款收入0.00万元；年初结转和结余0.00万元；支出0.00万元；年末结转和结余0.00万元。</w:t>
      </w:r>
    </w:p>
    <w:p>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ascii="Times New Roman" w:hAnsi="Times New Roman" w:eastAsia="仿宋_GB2312"/>
          <w:b/>
          <w:sz w:val="32"/>
          <w:szCs w:val="32"/>
        </w:rPr>
      </w:pPr>
      <w:r>
        <w:rPr>
          <w:rFonts w:hint="eastAsia" w:hAnsi="黑体" w:cs="黑体"/>
          <w:b w:val="0"/>
          <w:bCs/>
          <w:sz w:val="32"/>
          <w:szCs w:val="32"/>
          <w:lang w:eastAsia="zh-CN"/>
        </w:rPr>
        <w:t>九、</w:t>
      </w:r>
      <w:r>
        <w:rPr>
          <w:rFonts w:hint="eastAsia" w:ascii="黑体" w:hAnsi="黑体" w:eastAsia="黑体" w:cs="黑体"/>
          <w:b w:val="0"/>
          <w:bCs/>
          <w:sz w:val="32"/>
          <w:szCs w:val="32"/>
        </w:rPr>
        <w:t>财政拨款三公经费支出决算情况说明</w:t>
      </w:r>
    </w:p>
    <w:p>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楷体" w:hAnsi="楷体" w:eastAsia="楷体" w:cs="楷体"/>
          <w:b/>
          <w:bCs w:val="0"/>
          <w:sz w:val="32"/>
          <w:szCs w:val="32"/>
        </w:rPr>
      </w:pPr>
      <w:r>
        <w:rPr>
          <w:rFonts w:hint="eastAsia" w:ascii="楷体" w:hAnsi="楷体" w:eastAsia="楷体" w:cs="楷体"/>
          <w:b/>
          <w:bCs w:val="0"/>
          <w:sz w:val="32"/>
          <w:szCs w:val="32"/>
        </w:rPr>
        <w:t>（一）“三公”经费财政拨款支出决算总体情况说明</w:t>
      </w:r>
    </w:p>
    <w:p>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sz w:val="32"/>
          <w:szCs w:val="32"/>
        </w:rPr>
        <w:t>“三公”经费财政拨款支出预算为</w:t>
      </w:r>
      <w:r>
        <w:rPr>
          <w:rFonts w:hint="eastAsia" w:ascii="仿宋_GB2312" w:hAnsi="仿宋_GB2312" w:eastAsia="仿宋_GB2312" w:cs="仿宋_GB2312"/>
          <w:sz w:val="32"/>
          <w:szCs w:val="32"/>
          <w:lang w:val="en-US" w:eastAsia="zh-CN"/>
        </w:rPr>
        <w:t>73.56</w:t>
      </w:r>
      <w:r>
        <w:rPr>
          <w:rFonts w:hint="eastAsia" w:ascii="仿宋_GB2312" w:hAnsi="仿宋_GB2312" w:eastAsia="仿宋_GB2312" w:cs="仿宋_GB2312"/>
          <w:sz w:val="32"/>
          <w:szCs w:val="32"/>
        </w:rPr>
        <w:t>万元，支出决算为70.75万元，</w:t>
      </w:r>
      <w:r>
        <w:rPr>
          <w:rFonts w:hint="eastAsia" w:ascii="仿宋_GB2312" w:hAnsi="仿宋_GB2312" w:eastAsia="仿宋_GB2312" w:cs="仿宋_GB2312"/>
          <w:color w:val="auto"/>
          <w:sz w:val="32"/>
          <w:szCs w:val="32"/>
        </w:rPr>
        <w:t>完成预算的</w:t>
      </w:r>
      <w:r>
        <w:rPr>
          <w:rFonts w:hint="eastAsia" w:ascii="仿宋_GB2312" w:hAnsi="仿宋_GB2312" w:eastAsia="仿宋_GB2312" w:cs="仿宋_GB2312"/>
          <w:color w:val="auto"/>
          <w:sz w:val="32"/>
          <w:szCs w:val="32"/>
          <w:lang w:val="en-US" w:eastAsia="zh-CN"/>
        </w:rPr>
        <w:t>96.18</w:t>
      </w:r>
      <w:r>
        <w:rPr>
          <w:rFonts w:hint="eastAsia" w:ascii="仿宋_GB2312" w:hAnsi="仿宋_GB2312" w:eastAsia="仿宋_GB2312" w:cs="仿宋_GB2312"/>
          <w:color w:val="auto"/>
          <w:sz w:val="32"/>
          <w:szCs w:val="32"/>
        </w:rPr>
        <w:t>%，决算数小于预算数的主要</w:t>
      </w:r>
      <w:r>
        <w:rPr>
          <w:rFonts w:hint="eastAsia" w:ascii="仿宋_GB2312" w:hAnsi="仿宋_GB2312" w:eastAsia="仿宋_GB2312" w:cs="仿宋_GB2312"/>
          <w:color w:val="auto"/>
          <w:sz w:val="32"/>
          <w:szCs w:val="32"/>
          <w:lang w:eastAsia="zh-CN"/>
        </w:rPr>
        <w:t>原因是</w:t>
      </w:r>
      <w:r>
        <w:rPr>
          <w:rFonts w:hint="eastAsia" w:ascii="仿宋_GB2312" w:hAnsi="仿宋_GB2312" w:eastAsia="仿宋_GB2312" w:cs="仿宋_GB2312"/>
          <w:color w:val="auto"/>
          <w:sz w:val="32"/>
          <w:szCs w:val="32"/>
        </w:rPr>
        <w:t>严格执行中央八项规定</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与上年相比减少49.6</w:t>
      </w:r>
      <w:r>
        <w:rPr>
          <w:rFonts w:hint="eastAsia" w:ascii="仿宋_GB2312" w:hAnsi="仿宋_GB2312" w:eastAsia="仿宋_GB2312" w:cs="仿宋_GB2312"/>
          <w:color w:val="auto"/>
          <w:sz w:val="32"/>
          <w:szCs w:val="32"/>
          <w:lang w:val="en-US" w:eastAsia="zh-CN"/>
        </w:rPr>
        <w:t>0</w:t>
      </w:r>
      <w:r>
        <w:rPr>
          <w:rFonts w:hint="eastAsia" w:ascii="仿宋_GB2312" w:hAnsi="仿宋_GB2312" w:eastAsia="仿宋_GB2312" w:cs="仿宋_GB2312"/>
          <w:color w:val="auto"/>
          <w:sz w:val="32"/>
          <w:szCs w:val="32"/>
        </w:rPr>
        <w:t>万元，减少41.21%</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减少的主要原因是按有关政策厉行节约，严控</w:t>
      </w:r>
      <w:r>
        <w:rPr>
          <w:rFonts w:hint="eastAsia" w:ascii="仿宋_GB2312" w:hAnsi="仿宋_GB2312" w:eastAsia="仿宋_GB2312" w:cs="仿宋_GB2312"/>
          <w:color w:val="auto"/>
          <w:sz w:val="32"/>
          <w:szCs w:val="32"/>
          <w:lang w:eastAsia="zh-CN"/>
        </w:rPr>
        <w:t>“三公”经费支出</w:t>
      </w:r>
      <w:r>
        <w:rPr>
          <w:rFonts w:hint="eastAsia" w:ascii="仿宋_GB2312" w:hAnsi="仿宋_GB2312" w:eastAsia="仿宋_GB2312" w:cs="仿宋_GB2312"/>
          <w:color w:val="auto"/>
          <w:sz w:val="32"/>
          <w:szCs w:val="32"/>
        </w:rPr>
        <w:t>。其中：</w:t>
      </w:r>
    </w:p>
    <w:p>
      <w:pPr>
        <w:keepNext w:val="0"/>
        <w:keepLines w:val="0"/>
        <w:pageBreakBefore w:val="0"/>
        <w:widowControl w:val="0"/>
        <w:numPr>
          <w:ilvl w:val="0"/>
          <w:numId w:val="0"/>
        </w:numPr>
        <w:kinsoku/>
        <w:wordWrap/>
        <w:overflowPunct/>
        <w:topLinePunct w:val="0"/>
        <w:autoSpaceDE w:val="0"/>
        <w:autoSpaceDN w:val="0"/>
        <w:bidi w:val="0"/>
        <w:adjustRightInd w:val="0"/>
        <w:snapToGrid/>
        <w:spacing w:line="600" w:lineRule="exact"/>
        <w:ind w:firstLine="640" w:firstLineChars="200"/>
        <w:textAlignment w:val="auto"/>
        <w:rPr>
          <w:rFonts w:hint="eastAsia" w:ascii="仿宋_GB2312" w:hAnsi="仿宋_GB2312" w:eastAsia="仿宋_GB2312" w:cs="仿宋_GB2312"/>
          <w:b w:val="0"/>
          <w:bCs/>
          <w:color w:val="auto"/>
          <w:kern w:val="0"/>
          <w:sz w:val="32"/>
          <w:szCs w:val="32"/>
          <w:lang w:val="en-US" w:eastAsia="zh-CN" w:bidi="ar-SA"/>
        </w:rPr>
      </w:pPr>
      <w:r>
        <w:rPr>
          <w:rFonts w:hint="eastAsia" w:ascii="仿宋_GB2312" w:hAnsi="仿宋_GB2312" w:eastAsia="仿宋_GB2312" w:cs="仿宋_GB2312"/>
          <w:color w:val="auto"/>
          <w:sz w:val="32"/>
          <w:szCs w:val="32"/>
        </w:rPr>
        <w:t>因公出国（境）费支出预算为</w:t>
      </w:r>
      <w:r>
        <w:rPr>
          <w:rFonts w:hint="eastAsia" w:ascii="仿宋_GB2312" w:hAnsi="仿宋_GB2312" w:eastAsia="仿宋_GB2312" w:cs="仿宋_GB2312"/>
          <w:color w:val="auto"/>
          <w:sz w:val="32"/>
          <w:szCs w:val="32"/>
          <w:lang w:eastAsia="zh-CN"/>
        </w:rPr>
        <w:t>0.00</w:t>
      </w:r>
      <w:r>
        <w:rPr>
          <w:rFonts w:hint="eastAsia" w:ascii="仿宋_GB2312" w:hAnsi="仿宋_GB2312" w:eastAsia="仿宋_GB2312" w:cs="仿宋_GB2312"/>
          <w:color w:val="auto"/>
          <w:sz w:val="32"/>
          <w:szCs w:val="32"/>
        </w:rPr>
        <w:t>万元，支出决算为</w:t>
      </w:r>
      <w:r>
        <w:rPr>
          <w:rFonts w:hint="eastAsia" w:ascii="仿宋_GB2312" w:hAnsi="仿宋_GB2312" w:eastAsia="仿宋_GB2312" w:cs="仿宋_GB2312"/>
          <w:color w:val="auto"/>
          <w:sz w:val="32"/>
          <w:szCs w:val="32"/>
          <w:lang w:eastAsia="zh-CN"/>
        </w:rPr>
        <w:t>0.00</w:t>
      </w:r>
      <w:r>
        <w:rPr>
          <w:rFonts w:hint="eastAsia" w:ascii="仿宋_GB2312" w:hAnsi="仿宋_GB2312" w:eastAsia="仿宋_GB2312" w:cs="仿宋_GB2312"/>
          <w:color w:val="auto"/>
          <w:sz w:val="32"/>
          <w:szCs w:val="32"/>
        </w:rPr>
        <w:t>万元，</w:t>
      </w:r>
      <w:r>
        <w:rPr>
          <w:rFonts w:hint="eastAsia" w:ascii="仿宋_GB2312" w:hAnsi="仿宋_GB2312" w:eastAsia="仿宋_GB2312" w:cs="仿宋_GB2312"/>
          <w:b w:val="0"/>
          <w:bCs/>
          <w:color w:val="auto"/>
          <w:kern w:val="0"/>
          <w:sz w:val="32"/>
          <w:szCs w:val="32"/>
          <w:lang w:val="en-US" w:eastAsia="zh-CN" w:bidi="ar-SA"/>
        </w:rPr>
        <w:t>决算数等于预算数的主要原因是未安排因公出国（境）活动；与上年一致，无增减变动，主要原因是近两年未安排因公出国（境）活动。</w:t>
      </w:r>
    </w:p>
    <w:p>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公务接待费支出预算为</w:t>
      </w:r>
      <w:r>
        <w:rPr>
          <w:rFonts w:hint="eastAsia" w:ascii="仿宋_GB2312" w:hAnsi="仿宋_GB2312" w:eastAsia="仿宋_GB2312" w:cs="仿宋_GB2312"/>
          <w:sz w:val="32"/>
          <w:szCs w:val="32"/>
          <w:lang w:val="en-US" w:eastAsia="zh-CN"/>
        </w:rPr>
        <w:t>34.45</w:t>
      </w:r>
      <w:r>
        <w:rPr>
          <w:rFonts w:hint="eastAsia" w:ascii="仿宋_GB2312" w:hAnsi="仿宋_GB2312" w:eastAsia="仿宋_GB2312" w:cs="仿宋_GB2312"/>
          <w:sz w:val="32"/>
          <w:szCs w:val="32"/>
        </w:rPr>
        <w:t>万元，支出决算为</w:t>
      </w:r>
      <w:r>
        <w:rPr>
          <w:rFonts w:hint="eastAsia" w:ascii="仿宋_GB2312" w:hAnsi="仿宋_GB2312" w:eastAsia="仿宋_GB2312" w:cs="仿宋_GB2312"/>
          <w:sz w:val="32"/>
          <w:szCs w:val="32"/>
          <w:lang w:val="en-US" w:eastAsia="zh-CN"/>
        </w:rPr>
        <w:t>33.68</w:t>
      </w:r>
      <w:r>
        <w:rPr>
          <w:rFonts w:hint="eastAsia" w:ascii="仿宋_GB2312" w:hAnsi="仿宋_GB2312" w:eastAsia="仿宋_GB2312" w:cs="仿宋_GB2312"/>
          <w:sz w:val="32"/>
          <w:szCs w:val="32"/>
        </w:rPr>
        <w:t>万元，完成预算的</w:t>
      </w:r>
      <w:r>
        <w:rPr>
          <w:rFonts w:hint="eastAsia" w:ascii="仿宋_GB2312" w:hAnsi="仿宋_GB2312" w:eastAsia="仿宋_GB2312" w:cs="仿宋_GB2312"/>
          <w:sz w:val="32"/>
          <w:szCs w:val="32"/>
          <w:lang w:val="en-US" w:eastAsia="zh-CN"/>
        </w:rPr>
        <w:t>97.76</w:t>
      </w:r>
      <w:r>
        <w:rPr>
          <w:rFonts w:hint="eastAsia" w:ascii="仿宋_GB2312" w:hAnsi="仿宋_GB2312" w:eastAsia="仿宋_GB2312" w:cs="仿宋_GB2312"/>
          <w:sz w:val="32"/>
          <w:szCs w:val="32"/>
        </w:rPr>
        <w:t>%，决算数小于预算数的主要原因是严格执行中央八项规定，与上年相比减少1.6</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万元，减少4.54%</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减少的主要原因是按有关政策厉行节约，严控公务接待支出。</w:t>
      </w:r>
    </w:p>
    <w:p>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color w:val="auto"/>
          <w:sz w:val="32"/>
          <w:szCs w:val="32"/>
        </w:rPr>
        <w:t>公务用车购置费支出预算为</w:t>
      </w:r>
      <w:r>
        <w:rPr>
          <w:rFonts w:hint="eastAsia" w:ascii="仿宋_GB2312" w:hAnsi="仿宋_GB2312" w:eastAsia="仿宋_GB2312" w:cs="仿宋_GB2312"/>
          <w:color w:val="auto"/>
          <w:sz w:val="32"/>
          <w:szCs w:val="32"/>
          <w:lang w:eastAsia="zh-CN"/>
        </w:rPr>
        <w:t>0.00</w:t>
      </w:r>
      <w:r>
        <w:rPr>
          <w:rFonts w:hint="eastAsia" w:ascii="仿宋_GB2312" w:hAnsi="仿宋_GB2312" w:eastAsia="仿宋_GB2312" w:cs="仿宋_GB2312"/>
          <w:color w:val="auto"/>
          <w:sz w:val="32"/>
          <w:szCs w:val="32"/>
        </w:rPr>
        <w:t>万元，支出决算为</w:t>
      </w:r>
      <w:r>
        <w:rPr>
          <w:rFonts w:hint="eastAsia" w:ascii="仿宋_GB2312" w:hAnsi="仿宋_GB2312" w:eastAsia="仿宋_GB2312" w:cs="仿宋_GB2312"/>
          <w:color w:val="auto"/>
          <w:sz w:val="32"/>
          <w:szCs w:val="32"/>
          <w:lang w:eastAsia="zh-CN"/>
        </w:rPr>
        <w:t>0.00</w:t>
      </w:r>
      <w:r>
        <w:rPr>
          <w:rFonts w:hint="eastAsia" w:ascii="仿宋_GB2312" w:hAnsi="仿宋_GB2312" w:eastAsia="仿宋_GB2312" w:cs="仿宋_GB2312"/>
          <w:color w:val="auto"/>
          <w:sz w:val="32"/>
          <w:szCs w:val="32"/>
        </w:rPr>
        <w:t>万元，决算数</w:t>
      </w:r>
      <w:r>
        <w:rPr>
          <w:rFonts w:hint="eastAsia" w:ascii="仿宋_GB2312" w:hAnsi="仿宋_GB2312" w:eastAsia="仿宋_GB2312" w:cs="仿宋_GB2312"/>
          <w:color w:val="auto"/>
          <w:sz w:val="32"/>
          <w:szCs w:val="32"/>
          <w:lang w:val="en-US" w:eastAsia="zh-CN"/>
        </w:rPr>
        <w:t>等于</w:t>
      </w:r>
      <w:r>
        <w:rPr>
          <w:rFonts w:hint="eastAsia" w:ascii="仿宋_GB2312" w:hAnsi="仿宋_GB2312" w:eastAsia="仿宋_GB2312" w:cs="仿宋_GB2312"/>
          <w:color w:val="auto"/>
          <w:sz w:val="32"/>
          <w:szCs w:val="32"/>
        </w:rPr>
        <w:t>预算数的主要原因是</w:t>
      </w:r>
      <w:r>
        <w:rPr>
          <w:rFonts w:hint="eastAsia" w:ascii="仿宋_GB2312" w:hAnsi="仿宋_GB2312" w:eastAsia="仿宋_GB2312" w:cs="仿宋_GB2312"/>
          <w:color w:val="auto"/>
          <w:sz w:val="32"/>
          <w:szCs w:val="32"/>
          <w:lang w:val="en-US" w:eastAsia="zh-CN"/>
        </w:rPr>
        <w:t>本年</w:t>
      </w:r>
      <w:r>
        <w:rPr>
          <w:rFonts w:hint="eastAsia" w:ascii="仿宋_GB2312" w:hAnsi="仿宋_GB2312" w:eastAsia="仿宋_GB2312" w:cs="仿宋_GB2312"/>
          <w:b w:val="0"/>
          <w:bCs/>
          <w:color w:val="auto"/>
          <w:kern w:val="0"/>
          <w:sz w:val="32"/>
          <w:szCs w:val="32"/>
          <w:lang w:val="en-US" w:eastAsia="zh-CN" w:bidi="ar-SA"/>
        </w:rPr>
        <w:t>未购置公务用车</w:t>
      </w:r>
      <w:r>
        <w:rPr>
          <w:rFonts w:hint="eastAsia" w:ascii="仿宋_GB2312" w:hAnsi="仿宋_GB2312" w:eastAsia="仿宋_GB2312" w:cs="仿宋_GB2312"/>
          <w:color w:val="auto"/>
          <w:sz w:val="32"/>
          <w:szCs w:val="32"/>
        </w:rPr>
        <w:t>，与上年相比减少20.84万元，减少</w:t>
      </w:r>
      <w:r>
        <w:rPr>
          <w:rFonts w:hint="eastAsia" w:ascii="仿宋_GB2312" w:hAnsi="仿宋_GB2312" w:eastAsia="仿宋_GB2312" w:cs="仿宋_GB2312"/>
          <w:color w:val="auto"/>
          <w:sz w:val="32"/>
          <w:szCs w:val="32"/>
          <w:lang w:val="en-US" w:eastAsia="zh-CN"/>
        </w:rPr>
        <w:t>100</w:t>
      </w:r>
      <w:r>
        <w:rPr>
          <w:rFonts w:hint="eastAsia" w:ascii="仿宋_GB2312" w:hAnsi="仿宋_GB2312" w:eastAsia="仿宋_GB2312" w:cs="仿宋_GB2312"/>
          <w:color w:val="auto"/>
          <w:sz w:val="32"/>
          <w:szCs w:val="32"/>
        </w:rPr>
        <w:t>%</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减少的主要原因是</w:t>
      </w:r>
      <w:r>
        <w:rPr>
          <w:rFonts w:hint="eastAsia" w:ascii="仿宋_GB2312" w:hAnsi="仿宋_GB2312" w:eastAsia="仿宋_GB2312" w:cs="仿宋_GB2312"/>
          <w:color w:val="auto"/>
          <w:sz w:val="32"/>
          <w:szCs w:val="32"/>
          <w:lang w:val="en-US" w:eastAsia="zh-CN"/>
        </w:rPr>
        <w:t>本年</w:t>
      </w:r>
      <w:r>
        <w:rPr>
          <w:rFonts w:hint="eastAsia" w:ascii="仿宋_GB2312" w:hAnsi="仿宋_GB2312" w:eastAsia="仿宋_GB2312" w:cs="仿宋_GB2312"/>
          <w:b w:val="0"/>
          <w:bCs/>
          <w:color w:val="auto"/>
          <w:kern w:val="0"/>
          <w:sz w:val="32"/>
          <w:szCs w:val="32"/>
          <w:lang w:val="en-US" w:eastAsia="zh-CN" w:bidi="ar-SA"/>
        </w:rPr>
        <w:t>未购置公务用车</w:t>
      </w:r>
      <w:r>
        <w:rPr>
          <w:rFonts w:hint="eastAsia" w:ascii="仿宋_GB2312" w:hAnsi="仿宋_GB2312" w:eastAsia="仿宋_GB2312" w:cs="仿宋_GB2312"/>
          <w:color w:val="auto"/>
          <w:sz w:val="32"/>
          <w:szCs w:val="32"/>
        </w:rPr>
        <w:t>。</w:t>
      </w:r>
    </w:p>
    <w:p>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公务用车运行维护费支出预算为</w:t>
      </w:r>
      <w:r>
        <w:rPr>
          <w:rFonts w:hint="eastAsia" w:ascii="仿宋_GB2312" w:hAnsi="仿宋_GB2312" w:eastAsia="仿宋_GB2312" w:cs="仿宋_GB2312"/>
          <w:sz w:val="32"/>
          <w:szCs w:val="32"/>
          <w:lang w:val="en-US" w:eastAsia="zh-CN"/>
        </w:rPr>
        <w:t>39.11</w:t>
      </w:r>
      <w:r>
        <w:rPr>
          <w:rFonts w:hint="eastAsia" w:ascii="仿宋_GB2312" w:hAnsi="仿宋_GB2312" w:eastAsia="仿宋_GB2312" w:cs="仿宋_GB2312"/>
          <w:sz w:val="32"/>
          <w:szCs w:val="32"/>
        </w:rPr>
        <w:t>万元，支出决算为</w:t>
      </w:r>
      <w:r>
        <w:rPr>
          <w:rFonts w:hint="eastAsia" w:ascii="仿宋_GB2312" w:hAnsi="仿宋_GB2312" w:eastAsia="仿宋_GB2312" w:cs="仿宋_GB2312"/>
          <w:sz w:val="32"/>
          <w:szCs w:val="32"/>
          <w:lang w:val="en-US" w:eastAsia="zh-CN"/>
        </w:rPr>
        <w:t>37.07</w:t>
      </w:r>
      <w:r>
        <w:rPr>
          <w:rFonts w:hint="eastAsia" w:ascii="仿宋_GB2312" w:hAnsi="仿宋_GB2312" w:eastAsia="仿宋_GB2312" w:cs="仿宋_GB2312"/>
          <w:sz w:val="32"/>
          <w:szCs w:val="32"/>
        </w:rPr>
        <w:t>万元，完成预算的</w:t>
      </w:r>
      <w:r>
        <w:rPr>
          <w:rFonts w:hint="eastAsia" w:ascii="仿宋_GB2312" w:hAnsi="仿宋_GB2312" w:eastAsia="仿宋_GB2312" w:cs="仿宋_GB2312"/>
          <w:sz w:val="32"/>
          <w:szCs w:val="32"/>
          <w:lang w:val="en-US" w:eastAsia="zh-CN"/>
        </w:rPr>
        <w:t>94.78</w:t>
      </w:r>
      <w:r>
        <w:rPr>
          <w:rFonts w:hint="eastAsia" w:ascii="仿宋_GB2312" w:hAnsi="仿宋_GB2312" w:eastAsia="仿宋_GB2312" w:cs="仿宋_GB2312"/>
          <w:sz w:val="32"/>
          <w:szCs w:val="32"/>
        </w:rPr>
        <w:t>%，决算数小于预算数的主要原因是严格执行中央八项规定，与上年相比减少27.17万元，减少42.29%</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减少的主要原因是按有关政策厉行节约，公务用车运行维护费</w:t>
      </w:r>
      <w:r>
        <w:rPr>
          <w:rFonts w:hint="eastAsia" w:ascii="仿宋_GB2312" w:hAnsi="仿宋_GB2312" w:eastAsia="仿宋_GB2312" w:cs="仿宋_GB2312"/>
          <w:sz w:val="32"/>
          <w:szCs w:val="32"/>
          <w:lang w:eastAsia="zh-CN"/>
        </w:rPr>
        <w:t>减少</w:t>
      </w:r>
      <w:r>
        <w:rPr>
          <w:rFonts w:hint="eastAsia" w:ascii="仿宋_GB2312" w:hAnsi="仿宋_GB2312" w:eastAsia="仿宋_GB2312" w:cs="仿宋_GB2312"/>
          <w:sz w:val="32"/>
          <w:szCs w:val="32"/>
        </w:rPr>
        <w:t>。</w:t>
      </w:r>
    </w:p>
    <w:p>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楷体" w:hAnsi="楷体" w:eastAsia="楷体" w:cs="楷体"/>
          <w:b/>
          <w:bCs w:val="0"/>
          <w:sz w:val="32"/>
          <w:szCs w:val="32"/>
        </w:rPr>
      </w:pPr>
      <w:r>
        <w:rPr>
          <w:rFonts w:hint="eastAsia" w:ascii="楷体" w:hAnsi="楷体" w:eastAsia="楷体" w:cs="楷体"/>
          <w:b/>
          <w:bCs w:val="0"/>
          <w:sz w:val="32"/>
          <w:szCs w:val="32"/>
        </w:rPr>
        <w:t>（二）“三公”经费财政拨款支出决算具体情况说明</w:t>
      </w:r>
    </w:p>
    <w:p>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Times New Roman" w:hAnsi="Times New Roman" w:eastAsia="仿宋_GB2312"/>
          <w:sz w:val="32"/>
          <w:szCs w:val="32"/>
        </w:rPr>
        <w:t>2</w:t>
      </w:r>
      <w:r>
        <w:rPr>
          <w:rFonts w:hint="eastAsia" w:ascii="仿宋_GB2312" w:hAnsi="仿宋_GB2312" w:eastAsia="仿宋_GB2312" w:cs="仿宋_GB2312"/>
          <w:sz w:val="32"/>
          <w:szCs w:val="32"/>
        </w:rPr>
        <w:t>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年度“三公”经费</w:t>
      </w:r>
      <w:bookmarkStart w:id="0" w:name="_GoBack"/>
      <w:bookmarkEnd w:id="0"/>
      <w:r>
        <w:rPr>
          <w:rFonts w:hint="eastAsia" w:ascii="仿宋_GB2312" w:hAnsi="仿宋_GB2312" w:eastAsia="仿宋_GB2312" w:cs="仿宋_GB2312"/>
          <w:sz w:val="32"/>
          <w:szCs w:val="32"/>
        </w:rPr>
        <w:t>财政拨款支出决算中，公务接待费支出决算</w:t>
      </w:r>
      <w:r>
        <w:rPr>
          <w:rFonts w:hint="eastAsia" w:ascii="仿宋_GB2312" w:hAnsi="仿宋_GB2312" w:eastAsia="仿宋_GB2312" w:cs="仿宋_GB2312"/>
          <w:sz w:val="32"/>
          <w:szCs w:val="32"/>
          <w:lang w:val="en-US" w:eastAsia="zh-CN"/>
        </w:rPr>
        <w:t>33.68</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47.60</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因公出国（境）费支出决算</w:t>
      </w:r>
      <w:r>
        <w:rPr>
          <w:rFonts w:hint="eastAsia" w:ascii="仿宋_GB2312" w:hAnsi="仿宋_GB2312" w:eastAsia="仿宋_GB2312" w:cs="仿宋_GB2312"/>
          <w:sz w:val="32"/>
          <w:szCs w:val="32"/>
          <w:lang w:eastAsia="zh-CN"/>
        </w:rPr>
        <w:t>0.00</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eastAsia="zh-CN"/>
        </w:rPr>
        <w:t>0.00</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公务用车购置费及运行维护费支出决算</w:t>
      </w:r>
      <w:r>
        <w:rPr>
          <w:rFonts w:hint="eastAsia" w:ascii="仿宋_GB2312" w:hAnsi="仿宋_GB2312" w:eastAsia="仿宋_GB2312" w:cs="仿宋_GB2312"/>
          <w:sz w:val="32"/>
          <w:szCs w:val="32"/>
          <w:lang w:val="en-US" w:eastAsia="zh-CN"/>
        </w:rPr>
        <w:t>37.07</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52.40</w:t>
      </w:r>
      <w:r>
        <w:rPr>
          <w:rFonts w:hint="eastAsia" w:ascii="仿宋_GB2312" w:hAnsi="仿宋_GB2312" w:eastAsia="仿宋_GB2312" w:cs="仿宋_GB2312"/>
          <w:sz w:val="32"/>
          <w:szCs w:val="32"/>
        </w:rPr>
        <w:t>%。其中：</w:t>
      </w:r>
    </w:p>
    <w:p>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因公出国（境）费支出决算为</w:t>
      </w:r>
      <w:r>
        <w:rPr>
          <w:rFonts w:hint="eastAsia" w:ascii="仿宋_GB2312" w:hAnsi="仿宋_GB2312" w:eastAsia="仿宋_GB2312" w:cs="仿宋_GB2312"/>
          <w:sz w:val="32"/>
          <w:szCs w:val="32"/>
          <w:lang w:eastAsia="zh-CN"/>
        </w:rPr>
        <w:t>0.00</w:t>
      </w:r>
      <w:r>
        <w:rPr>
          <w:rFonts w:hint="eastAsia" w:ascii="仿宋_GB2312" w:hAnsi="仿宋_GB2312" w:eastAsia="仿宋_GB2312" w:cs="仿宋_GB2312"/>
          <w:sz w:val="32"/>
          <w:szCs w:val="32"/>
        </w:rPr>
        <w:t>万元，全年安排因公出国（境）团组</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个，累计</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人次</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我单位2023年度无因公出国（境）费支出。</w:t>
      </w:r>
    </w:p>
    <w:p>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2、公务接待费支出决算为</w:t>
      </w:r>
      <w:r>
        <w:rPr>
          <w:rFonts w:hint="eastAsia" w:ascii="仿宋_GB2312" w:hAnsi="仿宋_GB2312" w:eastAsia="仿宋_GB2312" w:cs="仿宋_GB2312"/>
          <w:sz w:val="32"/>
          <w:szCs w:val="32"/>
          <w:lang w:val="en-US" w:eastAsia="zh-CN"/>
        </w:rPr>
        <w:t>33.68</w:t>
      </w:r>
      <w:r>
        <w:rPr>
          <w:rFonts w:hint="eastAsia" w:ascii="仿宋_GB2312" w:hAnsi="仿宋_GB2312" w:eastAsia="仿宋_GB2312" w:cs="仿宋_GB2312"/>
          <w:sz w:val="32"/>
          <w:szCs w:val="32"/>
        </w:rPr>
        <w:t>万元，全年共接待来访团组</w:t>
      </w:r>
      <w:r>
        <w:rPr>
          <w:rFonts w:hint="eastAsia" w:ascii="仿宋_GB2312" w:hAnsi="仿宋_GB2312" w:eastAsia="仿宋_GB2312" w:cs="仿宋_GB2312"/>
          <w:sz w:val="32"/>
          <w:szCs w:val="32"/>
          <w:lang w:val="en-US" w:eastAsia="zh-CN"/>
        </w:rPr>
        <w:t>287</w:t>
      </w:r>
      <w:r>
        <w:rPr>
          <w:rFonts w:hint="eastAsia" w:ascii="仿宋_GB2312" w:hAnsi="仿宋_GB2312" w:eastAsia="仿宋_GB2312" w:cs="仿宋_GB2312"/>
          <w:sz w:val="32"/>
          <w:szCs w:val="32"/>
        </w:rPr>
        <w:t>个、来宾</w:t>
      </w:r>
      <w:r>
        <w:rPr>
          <w:rFonts w:hint="eastAsia" w:ascii="仿宋_GB2312" w:hAnsi="仿宋_GB2312" w:eastAsia="仿宋_GB2312" w:cs="仿宋_GB2312"/>
          <w:sz w:val="32"/>
          <w:szCs w:val="32"/>
          <w:lang w:eastAsia="zh-CN"/>
        </w:rPr>
        <w:t>2892</w:t>
      </w:r>
      <w:r>
        <w:rPr>
          <w:rFonts w:hint="eastAsia" w:ascii="仿宋_GB2312" w:hAnsi="仿宋_GB2312" w:eastAsia="仿宋_GB2312" w:cs="仿宋_GB2312"/>
          <w:sz w:val="32"/>
          <w:szCs w:val="32"/>
        </w:rPr>
        <w:t>人次，主要是与有关单位交流工作情况及接受相关部门检查指导工作发生的接待支出。</w:t>
      </w:r>
    </w:p>
    <w:p>
      <w:pPr>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b/>
          <w:bCs/>
          <w:i/>
          <w:color w:val="auto"/>
          <w:kern w:val="0"/>
          <w:sz w:val="32"/>
          <w:szCs w:val="32"/>
          <w:lang w:val="en-US" w:eastAsia="zh-CN" w:bidi="ar-SA"/>
        </w:rPr>
      </w:pPr>
      <w:r>
        <w:rPr>
          <w:rFonts w:hint="eastAsia" w:ascii="仿宋_GB2312" w:hAnsi="仿宋_GB2312" w:eastAsia="仿宋_GB2312" w:cs="仿宋_GB2312"/>
          <w:sz w:val="32"/>
          <w:szCs w:val="32"/>
        </w:rPr>
        <w:t>3、公务用车购置费及运行维护费支出决算为</w:t>
      </w:r>
      <w:r>
        <w:rPr>
          <w:rFonts w:hint="eastAsia" w:ascii="仿宋_GB2312" w:hAnsi="仿宋_GB2312" w:eastAsia="仿宋_GB2312" w:cs="仿宋_GB2312"/>
          <w:sz w:val="32"/>
          <w:szCs w:val="32"/>
          <w:lang w:val="en-US" w:eastAsia="zh-CN"/>
        </w:rPr>
        <w:t>37.07</w:t>
      </w:r>
      <w:r>
        <w:rPr>
          <w:rFonts w:hint="eastAsia" w:ascii="仿宋_GB2312" w:hAnsi="仿宋_GB2312" w:eastAsia="仿宋_GB2312" w:cs="仿宋_GB2312"/>
          <w:sz w:val="32"/>
          <w:szCs w:val="32"/>
        </w:rPr>
        <w:t>万元，其中：公务用车购置费0万元，当年没有购置公务用车</w:t>
      </w:r>
      <w:r>
        <w:rPr>
          <w:rFonts w:hint="eastAsia" w:ascii="仿宋_GB2312" w:hAnsi="仿宋_GB2312" w:eastAsia="仿宋_GB2312" w:cs="仿宋_GB2312"/>
          <w:color w:val="000000" w:themeColor="text1"/>
          <w:sz w:val="32"/>
          <w:szCs w:val="32"/>
          <w14:textFill>
            <w14:solidFill>
              <w14:schemeClr w14:val="tx1"/>
            </w14:solidFill>
          </w14:textFill>
        </w:rPr>
        <w:t>。</w:t>
      </w:r>
      <w:r>
        <w:rPr>
          <w:rFonts w:hint="eastAsia" w:ascii="仿宋_GB2312" w:hAnsi="仿宋_GB2312" w:eastAsia="仿宋_GB2312" w:cs="仿宋_GB2312"/>
          <w:sz w:val="32"/>
          <w:szCs w:val="32"/>
        </w:rPr>
        <w:t>公务用车运行维护费37.07万元，主要是按规定保留的公务用车的燃料费、维修费、过桥过路费、保险费、安全奖励费用等支出，</w:t>
      </w:r>
      <w:r>
        <w:rPr>
          <w:rFonts w:hint="eastAsia" w:ascii="仿宋_GB2312" w:hAnsi="仿宋_GB2312" w:eastAsia="仿宋_GB2312" w:cs="仿宋_GB2312"/>
          <w:sz w:val="32"/>
          <w:szCs w:val="32"/>
          <w:lang w:eastAsia="zh-CN"/>
        </w:rPr>
        <w:t>截至2023年</w:t>
      </w:r>
      <w:r>
        <w:rPr>
          <w:rFonts w:hint="eastAsia" w:ascii="仿宋_GB2312" w:hAnsi="仿宋_GB2312" w:eastAsia="仿宋_GB2312" w:cs="仿宋_GB2312"/>
          <w:sz w:val="32"/>
          <w:szCs w:val="32"/>
        </w:rPr>
        <w:t>12月31日，我单位开支财政拨款的公务用车保有量为</w:t>
      </w:r>
      <w:r>
        <w:rPr>
          <w:rFonts w:hint="eastAsia" w:ascii="仿宋_GB2312" w:hAnsi="仿宋_GB2312" w:eastAsia="仿宋_GB2312" w:cs="仿宋_GB2312"/>
          <w:sz w:val="32"/>
          <w:szCs w:val="32"/>
          <w:lang w:val="en-US" w:eastAsia="zh-CN"/>
        </w:rPr>
        <w:t>18</w:t>
      </w:r>
      <w:r>
        <w:rPr>
          <w:rFonts w:hint="eastAsia" w:ascii="仿宋_GB2312" w:hAnsi="仿宋_GB2312" w:eastAsia="仿宋_GB2312" w:cs="仿宋_GB2312"/>
          <w:sz w:val="32"/>
          <w:szCs w:val="32"/>
        </w:rPr>
        <w:t>辆。</w:t>
      </w:r>
    </w:p>
    <w:p>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ascii="Times New Roman" w:hAnsi="Times New Roman" w:eastAsia="仿宋_GB2312"/>
          <w:b/>
          <w:color w:val="auto"/>
          <w:sz w:val="32"/>
          <w:szCs w:val="32"/>
        </w:rPr>
      </w:pPr>
      <w:r>
        <w:rPr>
          <w:rFonts w:hint="eastAsia" w:ascii="Times New Roman" w:hAnsi="Times New Roman" w:eastAsia="仿宋_GB2312"/>
          <w:b/>
          <w:color w:val="auto"/>
          <w:sz w:val="32"/>
          <w:szCs w:val="32"/>
          <w:lang w:eastAsia="zh-CN"/>
        </w:rPr>
        <w:t>十</w:t>
      </w:r>
      <w:r>
        <w:rPr>
          <w:rFonts w:hint="eastAsia" w:ascii="Times New Roman" w:hAnsi="Times New Roman" w:eastAsia="仿宋_GB2312"/>
          <w:b/>
          <w:color w:val="auto"/>
          <w:sz w:val="32"/>
          <w:szCs w:val="32"/>
        </w:rPr>
        <w:t>、关于机关运行经费支出说明</w:t>
      </w:r>
    </w:p>
    <w:p>
      <w:pPr>
        <w:pStyle w:val="12"/>
        <w:ind w:firstLine="640" w:firstLineChars="200"/>
        <w:rPr>
          <w:rFonts w:ascii="Times New Roman" w:hAnsi="Times New Roman" w:eastAsia="仿宋_GB2312"/>
          <w:sz w:val="32"/>
          <w:szCs w:val="32"/>
        </w:rPr>
      </w:pPr>
      <w:r>
        <w:rPr>
          <w:rFonts w:hint="eastAsia" w:ascii="仿宋_GB2312" w:hAnsi="仿宋_GB2312" w:eastAsia="仿宋_GB2312" w:cs="仿宋_GB2312"/>
          <w:sz w:val="32"/>
          <w:szCs w:val="32"/>
        </w:rPr>
        <w:t>本部门202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年度机关运行经费支出1,878.61万元，比上年决算数减少467.52万元，降低</w:t>
      </w:r>
      <w:r>
        <w:rPr>
          <w:rFonts w:hint="eastAsia" w:ascii="仿宋_GB2312" w:hAnsi="仿宋_GB2312" w:eastAsia="仿宋_GB2312" w:cs="仿宋_GB2312"/>
          <w:sz w:val="32"/>
          <w:szCs w:val="32"/>
          <w:lang w:val="en-US" w:eastAsia="zh-CN"/>
        </w:rPr>
        <w:t>19.93</w:t>
      </w:r>
      <w:r>
        <w:rPr>
          <w:rFonts w:hint="eastAsia" w:ascii="仿宋_GB2312" w:hAnsi="仿宋_GB2312" w:eastAsia="仿宋_GB2312" w:cs="仿宋_GB2312"/>
          <w:sz w:val="32"/>
          <w:szCs w:val="32"/>
        </w:rPr>
        <w:t>%。主要原因是：</w:t>
      </w:r>
      <w:r>
        <w:rPr>
          <w:rFonts w:hint="eastAsia" w:ascii="仿宋_GB2312" w:hAnsi="仿宋_GB2312" w:eastAsia="仿宋_GB2312" w:cs="仿宋_GB2312"/>
          <w:sz w:val="32"/>
          <w:szCs w:val="32"/>
          <w:lang w:eastAsia="zh-CN"/>
        </w:rPr>
        <w:t>控制办公经费，维修（护）费、劳务费、委托业务费、其他交通费用减少</w:t>
      </w:r>
      <w:r>
        <w:rPr>
          <w:rFonts w:hint="eastAsia" w:ascii="楷体" w:hAnsi="楷体" w:eastAsia="楷体" w:cs="楷体"/>
          <w:sz w:val="32"/>
          <w:szCs w:val="32"/>
        </w:rPr>
        <w:t>。</w:t>
      </w:r>
    </w:p>
    <w:p>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十</w:t>
      </w:r>
      <w:r>
        <w:rPr>
          <w:rFonts w:hint="eastAsia" w:hAnsi="黑体" w:cs="黑体"/>
          <w:b w:val="0"/>
          <w:bCs/>
          <w:sz w:val="32"/>
          <w:szCs w:val="32"/>
          <w:lang w:eastAsia="zh-CN"/>
        </w:rPr>
        <w:t>一</w:t>
      </w:r>
      <w:r>
        <w:rPr>
          <w:rFonts w:hint="eastAsia" w:ascii="黑体" w:hAnsi="黑体" w:eastAsia="黑体" w:cs="黑体"/>
          <w:b w:val="0"/>
          <w:bCs/>
          <w:sz w:val="32"/>
          <w:szCs w:val="32"/>
        </w:rPr>
        <w:t>、一般性支出情况说明</w:t>
      </w:r>
    </w:p>
    <w:p>
      <w:pPr>
        <w:pStyle w:val="12"/>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3年度，会议费年初预算11.00万元，支出决算为9.52万元，完成年初预算的86.55%。用于召开60次会议，</w:t>
      </w:r>
      <w:r>
        <w:rPr>
          <w:rFonts w:hint="eastAsia" w:ascii="仿宋_GB2312" w:hAnsi="仿宋_GB2312" w:eastAsia="仿宋_GB2312" w:cs="仿宋_GB2312"/>
          <w:sz w:val="32"/>
          <w:szCs w:val="32"/>
        </w:rPr>
        <w:t>人数</w:t>
      </w:r>
      <w:r>
        <w:rPr>
          <w:rFonts w:hint="eastAsia" w:ascii="仿宋_GB2312" w:hAnsi="仿宋_GB2312" w:eastAsia="仿宋_GB2312" w:cs="仿宋_GB2312"/>
          <w:sz w:val="32"/>
          <w:szCs w:val="32"/>
          <w:lang w:val="en-US" w:eastAsia="zh-CN"/>
        </w:rPr>
        <w:t>1650</w:t>
      </w:r>
      <w:r>
        <w:rPr>
          <w:rFonts w:hint="eastAsia" w:ascii="仿宋_GB2312" w:hAnsi="仿宋_GB2312" w:eastAsia="仿宋_GB2312" w:cs="仿宋_GB2312"/>
          <w:sz w:val="32"/>
          <w:szCs w:val="32"/>
        </w:rPr>
        <w:t>人，内容为开展全市污染防治攻坚调度会、全市蓝天保卫战相关会议、中央及省级环保督查相关会议、全市生态环境保护工作会议、主城区大气污染防治工作紧急会议</w:t>
      </w:r>
      <w:r>
        <w:rPr>
          <w:rFonts w:hint="eastAsia" w:ascii="仿宋_GB2312" w:hAnsi="仿宋_GB2312" w:eastAsia="仿宋_GB2312" w:cs="仿宋_GB2312"/>
          <w:sz w:val="32"/>
          <w:szCs w:val="32"/>
          <w:lang w:eastAsia="zh-CN"/>
        </w:rPr>
        <w:t>等。</w:t>
      </w:r>
    </w:p>
    <w:p>
      <w:pPr>
        <w:widowControl w:val="0"/>
        <w:autoSpaceDE w:val="0"/>
        <w:autoSpaceDN w:val="0"/>
        <w:adjustRightInd w:val="0"/>
        <w:ind w:firstLine="640" w:firstLineChars="200"/>
        <w:rPr>
          <w:rFonts w:hint="eastAsia" w:ascii="仿宋_GB2312" w:hAnsi="仿宋_GB2312" w:eastAsia="仿宋_GB2312" w:cs="仿宋_GB2312"/>
          <w:color w:val="000000"/>
          <w:kern w:val="0"/>
          <w:sz w:val="32"/>
          <w:szCs w:val="32"/>
          <w:lang w:val="en-US" w:eastAsia="zh-CN" w:bidi="ar-SA"/>
        </w:rPr>
      </w:pPr>
      <w:r>
        <w:rPr>
          <w:rFonts w:hint="eastAsia" w:ascii="仿宋_GB2312" w:hAnsi="仿宋_GB2312" w:eastAsia="仿宋_GB2312" w:cs="仿宋_GB2312"/>
          <w:color w:val="000000"/>
          <w:kern w:val="0"/>
          <w:sz w:val="32"/>
          <w:szCs w:val="32"/>
          <w:lang w:val="en-US" w:eastAsia="zh-CN" w:bidi="ar-SA"/>
        </w:rPr>
        <w:t>培训费年初预算15.00万元，支出决算为15.07万元，完成年初预算的100.47%。用于开展80</w:t>
      </w:r>
      <w:r>
        <w:rPr>
          <w:rFonts w:hint="eastAsia" w:ascii="仿宋_GB2312" w:hAnsi="仿宋_GB2312" w:eastAsia="仿宋_GB2312" w:cs="仿宋_GB2312"/>
          <w:sz w:val="32"/>
          <w:szCs w:val="32"/>
          <w:lang w:val="en-US" w:eastAsia="zh-CN"/>
        </w:rPr>
        <w:t>次</w:t>
      </w:r>
      <w:r>
        <w:rPr>
          <w:rFonts w:hint="eastAsia" w:ascii="仿宋_GB2312" w:hAnsi="仿宋_GB2312" w:eastAsia="仿宋_GB2312" w:cs="仿宋_GB2312"/>
          <w:color w:val="000000"/>
          <w:kern w:val="0"/>
          <w:sz w:val="32"/>
          <w:szCs w:val="32"/>
          <w:lang w:val="en-US" w:eastAsia="zh-CN" w:bidi="ar-SA"/>
        </w:rPr>
        <w:t>培训，人数600余人，内容为党校培训、重点企业清洁生产审核管理培训、内审集中培训、环境统计及产业统计培训等相关工作培训。</w:t>
      </w:r>
    </w:p>
    <w:p>
      <w:pPr>
        <w:widowControl w:val="0"/>
        <w:autoSpaceDE w:val="0"/>
        <w:autoSpaceDN w:val="0"/>
        <w:adjustRightInd w:val="0"/>
        <w:ind w:firstLine="640" w:firstLineChars="200"/>
        <w:rPr>
          <w:rFonts w:hint="eastAsia" w:ascii="仿宋_GB2312" w:hAnsi="仿宋_GB2312" w:eastAsia="仿宋_GB2312" w:cs="仿宋_GB2312"/>
          <w:color w:val="000000"/>
          <w:kern w:val="0"/>
          <w:sz w:val="32"/>
          <w:szCs w:val="32"/>
          <w:lang w:val="en-US" w:eastAsia="zh-CN" w:bidi="ar-SA"/>
        </w:rPr>
      </w:pPr>
      <w:r>
        <w:rPr>
          <w:rFonts w:hint="eastAsia" w:ascii="仿宋_GB2312" w:hAnsi="仿宋_GB2312" w:eastAsia="仿宋_GB2312" w:cs="仿宋_GB2312"/>
          <w:color w:val="000000"/>
          <w:kern w:val="0"/>
          <w:sz w:val="32"/>
          <w:szCs w:val="32"/>
          <w:lang w:val="en-US" w:eastAsia="zh-CN" w:bidi="ar-SA"/>
        </w:rPr>
        <w:t>举办节庆、晚会、论坛、赛事活动年初预算9.00万元，支出决算为7.00万元，完成年初预算的77.78%,主要是象棋比赛、跑步比赛、足球赛、篮球赛、六五环境日活动等。</w:t>
      </w:r>
    </w:p>
    <w:p>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十</w:t>
      </w:r>
      <w:r>
        <w:rPr>
          <w:rFonts w:hint="eastAsia" w:hAnsi="黑体" w:cs="黑体"/>
          <w:b w:val="0"/>
          <w:bCs/>
          <w:sz w:val="32"/>
          <w:szCs w:val="32"/>
          <w:lang w:eastAsia="zh-CN"/>
        </w:rPr>
        <w:t>二</w:t>
      </w:r>
      <w:r>
        <w:rPr>
          <w:rFonts w:hint="eastAsia" w:ascii="黑体" w:hAnsi="黑体" w:eastAsia="黑体" w:cs="黑体"/>
          <w:b w:val="0"/>
          <w:bCs/>
          <w:sz w:val="32"/>
          <w:szCs w:val="32"/>
        </w:rPr>
        <w:t>、关于政府采购支出说明</w:t>
      </w:r>
    </w:p>
    <w:p>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sz w:val="32"/>
          <w:szCs w:val="32"/>
        </w:rPr>
        <w:t>本部门202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年度政府采购支出总额</w:t>
      </w:r>
      <w:r>
        <w:rPr>
          <w:rFonts w:hint="eastAsia" w:ascii="仿宋_GB2312" w:hAnsi="仿宋_GB2312" w:eastAsia="仿宋_GB2312" w:cs="仿宋_GB2312"/>
          <w:sz w:val="32"/>
          <w:szCs w:val="32"/>
          <w:lang w:eastAsia="zh-CN"/>
        </w:rPr>
        <w:t xml:space="preserve">   5,902.25 </w:t>
      </w:r>
      <w:r>
        <w:rPr>
          <w:rFonts w:hint="eastAsia" w:ascii="仿宋_GB2312" w:hAnsi="仿宋_GB2312" w:eastAsia="仿宋_GB2312" w:cs="仿宋_GB2312"/>
          <w:sz w:val="32"/>
          <w:szCs w:val="32"/>
        </w:rPr>
        <w:t>万元，其中：政府采购货物支出</w:t>
      </w:r>
      <w:r>
        <w:rPr>
          <w:rFonts w:hint="eastAsia" w:ascii="仿宋_GB2312" w:hAnsi="仿宋_GB2312" w:eastAsia="仿宋_GB2312" w:cs="仿宋_GB2312"/>
          <w:sz w:val="32"/>
          <w:szCs w:val="32"/>
          <w:lang w:eastAsia="zh-CN"/>
        </w:rPr>
        <w:t xml:space="preserve">1,218.64 </w:t>
      </w:r>
      <w:r>
        <w:rPr>
          <w:rFonts w:hint="eastAsia" w:ascii="仿宋_GB2312" w:hAnsi="仿宋_GB2312" w:eastAsia="仿宋_GB2312" w:cs="仿宋_GB2312"/>
          <w:sz w:val="32"/>
          <w:szCs w:val="32"/>
        </w:rPr>
        <w:t>万元、政府采购工程支出</w:t>
      </w:r>
      <w:r>
        <w:rPr>
          <w:rFonts w:hint="eastAsia" w:ascii="仿宋_GB2312" w:hAnsi="仿宋_GB2312" w:eastAsia="仿宋_GB2312" w:cs="仿宋_GB2312"/>
          <w:sz w:val="32"/>
          <w:szCs w:val="32"/>
          <w:lang w:eastAsia="zh-CN"/>
        </w:rPr>
        <w:t xml:space="preserve">798.56  </w:t>
      </w:r>
      <w:r>
        <w:rPr>
          <w:rFonts w:hint="eastAsia" w:ascii="仿宋_GB2312" w:hAnsi="仿宋_GB2312" w:eastAsia="仿宋_GB2312" w:cs="仿宋_GB2312"/>
          <w:sz w:val="32"/>
          <w:szCs w:val="32"/>
        </w:rPr>
        <w:t>万元、政府采购服务支出</w:t>
      </w:r>
      <w:r>
        <w:rPr>
          <w:rFonts w:hint="eastAsia" w:ascii="仿宋_GB2312" w:hAnsi="仿宋_GB2312" w:eastAsia="仿宋_GB2312" w:cs="仿宋_GB2312"/>
          <w:sz w:val="32"/>
          <w:szCs w:val="32"/>
          <w:lang w:eastAsia="zh-CN"/>
        </w:rPr>
        <w:t xml:space="preserve">3,885.05 </w:t>
      </w:r>
      <w:r>
        <w:rPr>
          <w:rFonts w:hint="eastAsia" w:ascii="仿宋_GB2312" w:hAnsi="仿宋_GB2312" w:eastAsia="仿宋_GB2312" w:cs="仿宋_GB2312"/>
          <w:sz w:val="32"/>
          <w:szCs w:val="32"/>
        </w:rPr>
        <w:t>万元。授予中小企业合同金额</w:t>
      </w:r>
      <w:r>
        <w:rPr>
          <w:rFonts w:hint="eastAsia" w:ascii="仿宋_GB2312" w:hAnsi="仿宋_GB2312" w:eastAsia="仿宋_GB2312" w:cs="仿宋_GB2312"/>
          <w:sz w:val="32"/>
          <w:szCs w:val="32"/>
          <w:lang w:eastAsia="zh-CN"/>
        </w:rPr>
        <w:t xml:space="preserve">5,902.25 </w:t>
      </w:r>
      <w:r>
        <w:rPr>
          <w:rFonts w:hint="eastAsia" w:ascii="仿宋_GB2312" w:hAnsi="仿宋_GB2312" w:eastAsia="仿宋_GB2312" w:cs="仿宋_GB2312"/>
          <w:sz w:val="32"/>
          <w:szCs w:val="32"/>
        </w:rPr>
        <w:t>万元，占政府采购支出总额的</w:t>
      </w:r>
      <w:r>
        <w:rPr>
          <w:rFonts w:hint="eastAsia" w:ascii="仿宋_GB2312" w:hAnsi="仿宋_GB2312" w:eastAsia="仿宋_GB2312" w:cs="仿宋_GB2312"/>
          <w:sz w:val="32"/>
          <w:szCs w:val="32"/>
          <w:lang w:val="en-US" w:eastAsia="zh-CN"/>
        </w:rPr>
        <w:t>10</w:t>
      </w:r>
      <w:r>
        <w:rPr>
          <w:rFonts w:hint="eastAsia" w:ascii="仿宋_GB2312" w:hAnsi="仿宋_GB2312" w:eastAsia="仿宋_GB2312" w:cs="仿宋_GB2312"/>
          <w:sz w:val="32"/>
          <w:szCs w:val="32"/>
          <w:lang w:eastAsia="zh-CN"/>
        </w:rPr>
        <w:t>0.00</w:t>
      </w:r>
      <w:r>
        <w:rPr>
          <w:rFonts w:hint="eastAsia" w:ascii="仿宋_GB2312" w:hAnsi="仿宋_GB2312" w:eastAsia="仿宋_GB2312" w:cs="仿宋_GB2312"/>
          <w:sz w:val="32"/>
          <w:szCs w:val="32"/>
        </w:rPr>
        <w:t>%，其中：授予小微企业合同金额</w:t>
      </w:r>
      <w:r>
        <w:rPr>
          <w:rFonts w:hint="eastAsia" w:ascii="仿宋_GB2312" w:hAnsi="仿宋_GB2312" w:eastAsia="仿宋_GB2312" w:cs="仿宋_GB2312"/>
          <w:sz w:val="32"/>
          <w:szCs w:val="32"/>
          <w:lang w:eastAsia="zh-CN"/>
        </w:rPr>
        <w:t>5,902.25</w:t>
      </w:r>
      <w:r>
        <w:rPr>
          <w:rFonts w:hint="eastAsia" w:ascii="仿宋_GB2312" w:hAnsi="仿宋_GB2312" w:eastAsia="仿宋_GB2312" w:cs="仿宋_GB2312"/>
          <w:sz w:val="32"/>
          <w:szCs w:val="32"/>
        </w:rPr>
        <w:t>万元，</w:t>
      </w:r>
      <w:r>
        <w:rPr>
          <w:rFonts w:hint="eastAsia" w:ascii="仿宋_GB2312" w:hAnsi="仿宋_GB2312" w:eastAsia="仿宋_GB2312" w:cs="仿宋_GB2312"/>
          <w:color w:val="auto"/>
          <w:sz w:val="32"/>
          <w:szCs w:val="32"/>
        </w:rPr>
        <w:t>占</w:t>
      </w:r>
      <w:r>
        <w:rPr>
          <w:rFonts w:hint="eastAsia" w:ascii="仿宋_GB2312" w:hAnsi="仿宋_GB2312" w:eastAsia="仿宋_GB2312" w:cs="仿宋_GB2312"/>
          <w:color w:val="auto"/>
          <w:sz w:val="32"/>
          <w:szCs w:val="32"/>
          <w:lang w:eastAsia="zh-CN"/>
        </w:rPr>
        <w:t>授予中小企业合同金额</w:t>
      </w:r>
      <w:r>
        <w:rPr>
          <w:rFonts w:hint="eastAsia" w:ascii="仿宋_GB2312" w:hAnsi="仿宋_GB2312" w:eastAsia="仿宋_GB2312" w:cs="仿宋_GB2312"/>
          <w:color w:val="auto"/>
          <w:sz w:val="32"/>
          <w:szCs w:val="32"/>
        </w:rPr>
        <w:t>的</w:t>
      </w:r>
      <w:r>
        <w:rPr>
          <w:rFonts w:hint="eastAsia" w:ascii="仿宋_GB2312" w:hAnsi="仿宋_GB2312" w:eastAsia="仿宋_GB2312" w:cs="仿宋_GB2312"/>
          <w:color w:val="auto"/>
          <w:sz w:val="32"/>
          <w:szCs w:val="32"/>
          <w:lang w:val="en-US" w:eastAsia="zh-CN"/>
        </w:rPr>
        <w:t>10</w:t>
      </w:r>
      <w:r>
        <w:rPr>
          <w:rFonts w:hint="eastAsia" w:ascii="仿宋_GB2312" w:hAnsi="仿宋_GB2312" w:eastAsia="仿宋_GB2312" w:cs="仿宋_GB2312"/>
          <w:color w:val="auto"/>
          <w:sz w:val="32"/>
          <w:szCs w:val="32"/>
          <w:lang w:eastAsia="zh-CN"/>
        </w:rPr>
        <w:t>0.00</w:t>
      </w:r>
      <w:r>
        <w:rPr>
          <w:rFonts w:hint="eastAsia" w:ascii="仿宋_GB2312" w:hAnsi="仿宋_GB2312" w:eastAsia="仿宋_GB2312" w:cs="仿宋_GB2312"/>
          <w:color w:val="auto"/>
          <w:sz w:val="32"/>
          <w:szCs w:val="32"/>
        </w:rPr>
        <w:t>%。货物采购授予中小</w:t>
      </w:r>
      <w:r>
        <w:rPr>
          <w:rFonts w:hint="eastAsia" w:ascii="Times New Roman" w:hAnsi="Times New Roman" w:eastAsia="仿宋_GB2312"/>
          <w:color w:val="auto"/>
          <w:sz w:val="32"/>
          <w:szCs w:val="32"/>
        </w:rPr>
        <w:t>企业合同金</w:t>
      </w:r>
      <w:r>
        <w:rPr>
          <w:rFonts w:hint="eastAsia" w:ascii="仿宋_GB2312" w:hAnsi="仿宋_GB2312" w:eastAsia="仿宋_GB2312" w:cs="仿宋_GB2312"/>
          <w:color w:val="auto"/>
          <w:sz w:val="32"/>
          <w:szCs w:val="32"/>
        </w:rPr>
        <w:t>额占货物支出金额的</w:t>
      </w:r>
      <w:r>
        <w:rPr>
          <w:rFonts w:hint="eastAsia" w:ascii="仿宋_GB2312" w:hAnsi="仿宋_GB2312" w:eastAsia="仿宋_GB2312" w:cs="仿宋_GB2312"/>
          <w:color w:val="auto"/>
          <w:sz w:val="32"/>
          <w:szCs w:val="32"/>
          <w:lang w:val="en-US" w:eastAsia="zh-CN"/>
        </w:rPr>
        <w:t>10</w:t>
      </w:r>
      <w:r>
        <w:rPr>
          <w:rFonts w:hint="eastAsia" w:ascii="仿宋_GB2312" w:hAnsi="仿宋_GB2312" w:eastAsia="仿宋_GB2312" w:cs="仿宋_GB2312"/>
          <w:color w:val="auto"/>
          <w:sz w:val="32"/>
          <w:szCs w:val="32"/>
          <w:lang w:eastAsia="zh-CN"/>
        </w:rPr>
        <w:t>0.00</w:t>
      </w:r>
      <w:r>
        <w:rPr>
          <w:rFonts w:hint="eastAsia" w:ascii="仿宋_GB2312" w:hAnsi="仿宋_GB2312" w:eastAsia="仿宋_GB2312" w:cs="仿宋_GB2312"/>
          <w:color w:val="auto"/>
          <w:sz w:val="32"/>
          <w:szCs w:val="32"/>
        </w:rPr>
        <w:t>%，工程采购授予中小企业合同金额占工程支出金额的</w:t>
      </w:r>
      <w:r>
        <w:rPr>
          <w:rFonts w:hint="eastAsia" w:ascii="仿宋_GB2312" w:hAnsi="仿宋_GB2312" w:eastAsia="仿宋_GB2312" w:cs="仿宋_GB2312"/>
          <w:color w:val="auto"/>
          <w:sz w:val="32"/>
          <w:szCs w:val="32"/>
          <w:lang w:val="en-US" w:eastAsia="zh-CN"/>
        </w:rPr>
        <w:t>10</w:t>
      </w:r>
      <w:r>
        <w:rPr>
          <w:rFonts w:hint="eastAsia" w:ascii="仿宋_GB2312" w:hAnsi="仿宋_GB2312" w:eastAsia="仿宋_GB2312" w:cs="仿宋_GB2312"/>
          <w:color w:val="auto"/>
          <w:sz w:val="32"/>
          <w:szCs w:val="32"/>
          <w:lang w:eastAsia="zh-CN"/>
        </w:rPr>
        <w:t>0.00</w:t>
      </w:r>
      <w:r>
        <w:rPr>
          <w:rFonts w:hint="eastAsia" w:ascii="仿宋_GB2312" w:hAnsi="仿宋_GB2312" w:eastAsia="仿宋_GB2312" w:cs="仿宋_GB2312"/>
          <w:color w:val="auto"/>
          <w:sz w:val="32"/>
          <w:szCs w:val="32"/>
        </w:rPr>
        <w:t>%，服务采购授予中小企业合同金额占服务支出金额的</w:t>
      </w:r>
      <w:r>
        <w:rPr>
          <w:rFonts w:hint="eastAsia" w:ascii="仿宋_GB2312" w:hAnsi="仿宋_GB2312" w:eastAsia="仿宋_GB2312" w:cs="仿宋_GB2312"/>
          <w:color w:val="auto"/>
          <w:sz w:val="32"/>
          <w:szCs w:val="32"/>
          <w:lang w:val="en-US" w:eastAsia="zh-CN"/>
        </w:rPr>
        <w:t>10</w:t>
      </w:r>
      <w:r>
        <w:rPr>
          <w:rFonts w:hint="eastAsia" w:ascii="仿宋_GB2312" w:hAnsi="仿宋_GB2312" w:eastAsia="仿宋_GB2312" w:cs="仿宋_GB2312"/>
          <w:color w:val="auto"/>
          <w:sz w:val="32"/>
          <w:szCs w:val="32"/>
          <w:lang w:eastAsia="zh-CN"/>
        </w:rPr>
        <w:t>0.00</w:t>
      </w:r>
      <w:r>
        <w:rPr>
          <w:rFonts w:hint="eastAsia" w:ascii="仿宋_GB2312" w:hAnsi="仿宋_GB2312" w:eastAsia="仿宋_GB2312" w:cs="仿宋_GB2312"/>
          <w:color w:val="auto"/>
          <w:sz w:val="32"/>
          <w:szCs w:val="32"/>
        </w:rPr>
        <w:t>%。</w:t>
      </w:r>
    </w:p>
    <w:p>
      <w:pPr>
        <w:pStyle w:val="12"/>
        <w:keepNext w:val="0"/>
        <w:keepLines w:val="0"/>
        <w:pageBreakBefore w:val="0"/>
        <w:widowControl w:val="0"/>
        <w:kinsoku/>
        <w:wordWrap/>
        <w:overflowPunct/>
        <w:topLinePunct w:val="0"/>
        <w:autoSpaceDE w:val="0"/>
        <w:autoSpaceDN w:val="0"/>
        <w:bidi w:val="0"/>
        <w:adjustRightInd w:val="0"/>
        <w:snapToGrid/>
        <w:spacing w:line="580" w:lineRule="exact"/>
        <w:ind w:firstLine="640" w:firstLineChars="200"/>
        <w:textAlignment w:val="auto"/>
        <w:rPr>
          <w:rFonts w:hint="eastAsia" w:ascii="黑体" w:hAnsi="黑体" w:eastAsia="黑体" w:cs="黑体"/>
          <w:b w:val="0"/>
          <w:bCs/>
          <w:color w:val="auto"/>
          <w:sz w:val="32"/>
          <w:szCs w:val="32"/>
        </w:rPr>
      </w:pPr>
      <w:r>
        <w:rPr>
          <w:rFonts w:hint="eastAsia" w:ascii="黑体" w:hAnsi="黑体" w:eastAsia="黑体" w:cs="黑体"/>
          <w:b w:val="0"/>
          <w:bCs/>
          <w:color w:val="auto"/>
          <w:sz w:val="32"/>
          <w:szCs w:val="32"/>
        </w:rPr>
        <w:t>十</w:t>
      </w:r>
      <w:r>
        <w:rPr>
          <w:rFonts w:hint="eastAsia" w:hAnsi="黑体" w:cs="黑体"/>
          <w:b w:val="0"/>
          <w:bCs/>
          <w:color w:val="auto"/>
          <w:sz w:val="32"/>
          <w:szCs w:val="32"/>
          <w:lang w:eastAsia="zh-CN"/>
        </w:rPr>
        <w:t>三</w:t>
      </w:r>
      <w:r>
        <w:rPr>
          <w:rFonts w:hint="eastAsia" w:ascii="黑体" w:hAnsi="黑体" w:eastAsia="黑体" w:cs="黑体"/>
          <w:b w:val="0"/>
          <w:bCs/>
          <w:color w:val="auto"/>
          <w:sz w:val="32"/>
          <w:szCs w:val="32"/>
        </w:rPr>
        <w:t>、关于国有资产占用情况说明</w:t>
      </w:r>
    </w:p>
    <w:p>
      <w:pPr>
        <w:pStyle w:val="12"/>
        <w:keepNext w:val="0"/>
        <w:keepLines w:val="0"/>
        <w:pageBreakBefore w:val="0"/>
        <w:widowControl w:val="0"/>
        <w:kinsoku/>
        <w:wordWrap/>
        <w:overflowPunct/>
        <w:topLinePunct w:val="0"/>
        <w:autoSpaceDE w:val="0"/>
        <w:autoSpaceDN w:val="0"/>
        <w:bidi w:val="0"/>
        <w:adjustRightInd w:val="0"/>
        <w:snapToGrid/>
        <w:spacing w:line="58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截至202</w:t>
      </w:r>
      <w:r>
        <w:rPr>
          <w:rFonts w:hint="eastAsia" w:ascii="仿宋_GB2312" w:hAnsi="仿宋_GB2312" w:eastAsia="仿宋_GB2312" w:cs="仿宋_GB2312"/>
          <w:color w:val="auto"/>
          <w:sz w:val="32"/>
          <w:szCs w:val="32"/>
          <w:lang w:val="en-US" w:eastAsia="zh-CN"/>
        </w:rPr>
        <w:t>3</w:t>
      </w:r>
      <w:r>
        <w:rPr>
          <w:rFonts w:hint="eastAsia" w:ascii="仿宋_GB2312" w:hAnsi="仿宋_GB2312" w:eastAsia="仿宋_GB2312" w:cs="仿宋_GB2312"/>
          <w:color w:val="auto"/>
          <w:sz w:val="32"/>
          <w:szCs w:val="32"/>
        </w:rPr>
        <w:t>年12月31日，</w:t>
      </w:r>
      <w:r>
        <w:rPr>
          <w:rFonts w:hint="eastAsia" w:ascii="仿宋_GB2312" w:hAnsi="仿宋_GB2312" w:eastAsia="仿宋_GB2312" w:cs="仿宋_GB2312"/>
          <w:color w:val="auto"/>
          <w:sz w:val="32"/>
          <w:szCs w:val="32"/>
          <w:lang w:eastAsia="zh-CN"/>
        </w:rPr>
        <w:t>部门</w:t>
      </w:r>
      <w:r>
        <w:rPr>
          <w:rFonts w:hint="eastAsia" w:ascii="仿宋_GB2312" w:hAnsi="仿宋_GB2312" w:eastAsia="仿宋_GB2312" w:cs="仿宋_GB2312"/>
          <w:color w:val="auto"/>
          <w:sz w:val="32"/>
          <w:szCs w:val="32"/>
        </w:rPr>
        <w:t>共有车辆</w:t>
      </w:r>
      <w:r>
        <w:rPr>
          <w:rFonts w:hint="eastAsia" w:ascii="仿宋_GB2312" w:hAnsi="仿宋_GB2312" w:eastAsia="仿宋_GB2312" w:cs="仿宋_GB2312"/>
          <w:color w:val="auto"/>
          <w:sz w:val="32"/>
          <w:szCs w:val="32"/>
          <w:lang w:val="en-US" w:eastAsia="zh-CN"/>
        </w:rPr>
        <w:t>22</w:t>
      </w:r>
      <w:r>
        <w:rPr>
          <w:rFonts w:hint="eastAsia" w:ascii="仿宋_GB2312" w:hAnsi="仿宋_GB2312" w:eastAsia="仿宋_GB2312" w:cs="仿宋_GB2312"/>
          <w:color w:val="auto"/>
          <w:sz w:val="32"/>
          <w:szCs w:val="32"/>
        </w:rPr>
        <w:t>辆，其中</w:t>
      </w:r>
      <w:r>
        <w:rPr>
          <w:rFonts w:hint="eastAsia" w:ascii="仿宋_GB2312" w:hAnsi="仿宋_GB2312" w:eastAsia="仿宋_GB2312" w:cs="仿宋_GB2312"/>
          <w:color w:val="auto"/>
          <w:sz w:val="32"/>
          <w:szCs w:val="32"/>
          <w:lang w:eastAsia="zh-CN"/>
        </w:rPr>
        <w:t>，副部（省）级及以上领导用车0</w:t>
      </w:r>
      <w:r>
        <w:rPr>
          <w:rFonts w:hint="eastAsia" w:ascii="仿宋_GB2312" w:hAnsi="仿宋_GB2312" w:eastAsia="仿宋_GB2312" w:cs="仿宋_GB2312"/>
          <w:color w:val="auto"/>
          <w:sz w:val="32"/>
          <w:szCs w:val="32"/>
        </w:rPr>
        <w:t>辆</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主要</w:t>
      </w:r>
      <w:r>
        <w:rPr>
          <w:rFonts w:hint="eastAsia" w:ascii="仿宋_GB2312" w:hAnsi="仿宋_GB2312" w:eastAsia="仿宋_GB2312" w:cs="仿宋_GB2312"/>
          <w:color w:val="auto"/>
          <w:sz w:val="32"/>
          <w:szCs w:val="32"/>
          <w:lang w:eastAsia="zh-CN"/>
        </w:rPr>
        <w:t>负责人</w:t>
      </w:r>
      <w:r>
        <w:rPr>
          <w:rFonts w:hint="eastAsia" w:ascii="仿宋_GB2312" w:hAnsi="仿宋_GB2312" w:eastAsia="仿宋_GB2312" w:cs="仿宋_GB2312"/>
          <w:color w:val="auto"/>
          <w:sz w:val="32"/>
          <w:szCs w:val="32"/>
        </w:rPr>
        <w:t>用车</w:t>
      </w:r>
      <w:r>
        <w:rPr>
          <w:rFonts w:hint="eastAsia" w:ascii="仿宋_GB2312" w:hAnsi="仿宋_GB2312" w:eastAsia="仿宋_GB2312" w:cs="仿宋_GB2312"/>
          <w:color w:val="auto"/>
          <w:sz w:val="32"/>
          <w:szCs w:val="32"/>
          <w:lang w:eastAsia="zh-CN"/>
        </w:rPr>
        <w:t>0</w:t>
      </w:r>
      <w:r>
        <w:rPr>
          <w:rFonts w:hint="eastAsia" w:ascii="仿宋_GB2312" w:hAnsi="仿宋_GB2312" w:eastAsia="仿宋_GB2312" w:cs="仿宋_GB2312"/>
          <w:color w:val="auto"/>
          <w:sz w:val="32"/>
          <w:szCs w:val="32"/>
        </w:rPr>
        <w:t>辆</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机要通信用车</w:t>
      </w:r>
      <w:r>
        <w:rPr>
          <w:rFonts w:hint="eastAsia" w:ascii="仿宋_GB2312" w:hAnsi="仿宋_GB2312" w:eastAsia="仿宋_GB2312" w:cs="仿宋_GB2312"/>
          <w:color w:val="auto"/>
          <w:sz w:val="32"/>
          <w:szCs w:val="32"/>
          <w:lang w:eastAsia="zh-CN"/>
        </w:rPr>
        <w:t>0</w:t>
      </w:r>
      <w:r>
        <w:rPr>
          <w:rFonts w:hint="eastAsia" w:ascii="仿宋_GB2312" w:hAnsi="仿宋_GB2312" w:eastAsia="仿宋_GB2312" w:cs="仿宋_GB2312"/>
          <w:color w:val="auto"/>
          <w:sz w:val="32"/>
          <w:szCs w:val="32"/>
        </w:rPr>
        <w:t>辆、应急保障用车</w:t>
      </w:r>
      <w:r>
        <w:rPr>
          <w:rFonts w:hint="eastAsia" w:ascii="仿宋_GB2312" w:hAnsi="仿宋_GB2312" w:eastAsia="仿宋_GB2312" w:cs="仿宋_GB2312"/>
          <w:color w:val="auto"/>
          <w:sz w:val="32"/>
          <w:szCs w:val="32"/>
          <w:lang w:val="en-US" w:eastAsia="zh-CN"/>
        </w:rPr>
        <w:t>4</w:t>
      </w:r>
      <w:r>
        <w:rPr>
          <w:rFonts w:hint="eastAsia" w:ascii="仿宋_GB2312" w:hAnsi="仿宋_GB2312" w:eastAsia="仿宋_GB2312" w:cs="仿宋_GB2312"/>
          <w:color w:val="auto"/>
          <w:sz w:val="32"/>
          <w:szCs w:val="32"/>
        </w:rPr>
        <w:t>辆、执法执勤用车</w:t>
      </w:r>
      <w:r>
        <w:rPr>
          <w:rFonts w:hint="eastAsia" w:ascii="仿宋_GB2312" w:hAnsi="仿宋_GB2312" w:eastAsia="仿宋_GB2312" w:cs="仿宋_GB2312"/>
          <w:color w:val="auto"/>
          <w:sz w:val="32"/>
          <w:szCs w:val="32"/>
          <w:lang w:val="en-US" w:eastAsia="zh-CN"/>
        </w:rPr>
        <w:t>1</w:t>
      </w:r>
      <w:r>
        <w:rPr>
          <w:rFonts w:hint="eastAsia" w:ascii="仿宋_GB2312" w:hAnsi="仿宋_GB2312" w:eastAsia="仿宋_GB2312" w:cs="仿宋_GB2312"/>
          <w:color w:val="auto"/>
          <w:sz w:val="32"/>
          <w:szCs w:val="32"/>
        </w:rPr>
        <w:t>辆、特种专业技术用车</w:t>
      </w:r>
      <w:r>
        <w:rPr>
          <w:rFonts w:hint="eastAsia" w:ascii="仿宋_GB2312" w:hAnsi="仿宋_GB2312" w:eastAsia="仿宋_GB2312" w:cs="仿宋_GB2312"/>
          <w:color w:val="auto"/>
          <w:sz w:val="32"/>
          <w:szCs w:val="32"/>
          <w:lang w:val="en-US" w:eastAsia="zh-CN"/>
        </w:rPr>
        <w:t>5</w:t>
      </w:r>
      <w:r>
        <w:rPr>
          <w:rFonts w:hint="eastAsia" w:ascii="仿宋_GB2312" w:hAnsi="仿宋_GB2312" w:eastAsia="仿宋_GB2312" w:cs="仿宋_GB2312"/>
          <w:color w:val="auto"/>
          <w:sz w:val="32"/>
          <w:szCs w:val="32"/>
        </w:rPr>
        <w:t>辆、</w:t>
      </w:r>
      <w:r>
        <w:rPr>
          <w:rFonts w:hint="eastAsia" w:ascii="仿宋_GB2312" w:hAnsi="仿宋_GB2312" w:eastAsia="仿宋_GB2312" w:cs="仿宋_GB2312"/>
          <w:color w:val="auto"/>
          <w:sz w:val="32"/>
          <w:szCs w:val="32"/>
          <w:lang w:eastAsia="zh-CN"/>
        </w:rPr>
        <w:t>离退休干部服务用车0</w:t>
      </w:r>
      <w:r>
        <w:rPr>
          <w:rFonts w:hint="eastAsia" w:ascii="仿宋_GB2312" w:hAnsi="仿宋_GB2312" w:eastAsia="仿宋_GB2312" w:cs="仿宋_GB2312"/>
          <w:color w:val="auto"/>
          <w:sz w:val="32"/>
          <w:szCs w:val="32"/>
        </w:rPr>
        <w:t>辆、其他用车</w:t>
      </w:r>
      <w:r>
        <w:rPr>
          <w:rFonts w:hint="eastAsia" w:ascii="仿宋_GB2312" w:hAnsi="仿宋_GB2312" w:eastAsia="仿宋_GB2312" w:cs="仿宋_GB2312"/>
          <w:color w:val="auto"/>
          <w:sz w:val="32"/>
          <w:szCs w:val="32"/>
          <w:lang w:val="en-US" w:eastAsia="zh-CN"/>
        </w:rPr>
        <w:t>12</w:t>
      </w:r>
      <w:r>
        <w:rPr>
          <w:rFonts w:hint="eastAsia" w:ascii="仿宋_GB2312" w:hAnsi="仿宋_GB2312" w:eastAsia="仿宋_GB2312" w:cs="仿宋_GB2312"/>
          <w:color w:val="auto"/>
          <w:sz w:val="32"/>
          <w:szCs w:val="32"/>
        </w:rPr>
        <w:t>辆，其他用车主要是用于机要通信和应急保障之外公务用途的车辆；单位价值100万元以上设备</w:t>
      </w:r>
      <w:r>
        <w:rPr>
          <w:rFonts w:hint="eastAsia" w:ascii="仿宋_GB2312" w:hAnsi="仿宋_GB2312" w:eastAsia="仿宋_GB2312" w:cs="仿宋_GB2312"/>
          <w:color w:val="auto"/>
          <w:sz w:val="32"/>
          <w:szCs w:val="32"/>
          <w:lang w:eastAsia="zh-CN"/>
        </w:rPr>
        <w:t>（不含车辆）</w:t>
      </w:r>
      <w:r>
        <w:rPr>
          <w:rFonts w:hint="eastAsia" w:ascii="仿宋_GB2312" w:hAnsi="仿宋_GB2312" w:eastAsia="仿宋_GB2312" w:cs="仿宋_GB2312"/>
          <w:color w:val="auto"/>
          <w:sz w:val="32"/>
          <w:szCs w:val="32"/>
          <w:lang w:val="en-US" w:eastAsia="zh-CN"/>
        </w:rPr>
        <w:t>9</w:t>
      </w:r>
      <w:r>
        <w:rPr>
          <w:rFonts w:hint="eastAsia" w:ascii="仿宋_GB2312" w:hAnsi="仿宋_GB2312" w:eastAsia="仿宋_GB2312" w:cs="仿宋_GB2312"/>
          <w:color w:val="auto"/>
          <w:sz w:val="32"/>
          <w:szCs w:val="32"/>
        </w:rPr>
        <w:t>台（套）。</w:t>
      </w:r>
    </w:p>
    <w:p>
      <w:pPr>
        <w:pStyle w:val="12"/>
        <w:keepNext w:val="0"/>
        <w:keepLines w:val="0"/>
        <w:pageBreakBefore w:val="0"/>
        <w:widowControl w:val="0"/>
        <w:kinsoku/>
        <w:wordWrap/>
        <w:overflowPunct/>
        <w:topLinePunct w:val="0"/>
        <w:autoSpaceDE w:val="0"/>
        <w:autoSpaceDN w:val="0"/>
        <w:bidi w:val="0"/>
        <w:adjustRightInd w:val="0"/>
        <w:snapToGrid/>
        <w:spacing w:line="580" w:lineRule="exact"/>
        <w:ind w:firstLine="640" w:firstLineChars="200"/>
        <w:textAlignment w:val="auto"/>
        <w:rPr>
          <w:rFonts w:hint="eastAsia" w:ascii="黑体" w:hAnsi="黑体" w:eastAsia="黑体" w:cs="黑体"/>
          <w:b w:val="0"/>
          <w:bCs/>
          <w:color w:val="auto"/>
          <w:sz w:val="32"/>
          <w:szCs w:val="32"/>
        </w:rPr>
      </w:pPr>
      <w:r>
        <w:rPr>
          <w:rFonts w:hint="eastAsia" w:ascii="黑体" w:hAnsi="黑体" w:eastAsia="黑体" w:cs="黑体"/>
          <w:b w:val="0"/>
          <w:bCs/>
          <w:color w:val="auto"/>
          <w:sz w:val="32"/>
          <w:szCs w:val="32"/>
        </w:rPr>
        <w:t>十</w:t>
      </w:r>
      <w:r>
        <w:rPr>
          <w:rFonts w:hint="eastAsia" w:hAnsi="黑体" w:cs="黑体"/>
          <w:b w:val="0"/>
          <w:bCs/>
          <w:color w:val="auto"/>
          <w:sz w:val="32"/>
          <w:szCs w:val="32"/>
          <w:lang w:eastAsia="zh-CN"/>
        </w:rPr>
        <w:t>四</w:t>
      </w:r>
      <w:r>
        <w:rPr>
          <w:rFonts w:hint="eastAsia" w:ascii="黑体" w:hAnsi="黑体" w:eastAsia="黑体" w:cs="黑体"/>
          <w:b w:val="0"/>
          <w:bCs/>
          <w:color w:val="auto"/>
          <w:sz w:val="32"/>
          <w:szCs w:val="32"/>
        </w:rPr>
        <w:t>、关于</w:t>
      </w:r>
      <w:r>
        <w:rPr>
          <w:rFonts w:hint="eastAsia" w:ascii="Times New Roman" w:hAnsi="Times New Roman" w:eastAsia="仿宋_GB2312"/>
          <w:color w:val="auto"/>
          <w:sz w:val="32"/>
          <w:szCs w:val="32"/>
        </w:rPr>
        <w:t>202</w:t>
      </w:r>
      <w:r>
        <w:rPr>
          <w:rFonts w:hint="eastAsia" w:ascii="Times New Roman" w:hAnsi="Times New Roman" w:eastAsia="仿宋_GB2312"/>
          <w:color w:val="auto"/>
          <w:sz w:val="32"/>
          <w:szCs w:val="32"/>
          <w:lang w:val="en-US" w:eastAsia="zh-CN"/>
        </w:rPr>
        <w:t>3</w:t>
      </w:r>
      <w:r>
        <w:rPr>
          <w:rFonts w:hint="eastAsia" w:ascii="黑体" w:hAnsi="黑体" w:eastAsia="黑体" w:cs="黑体"/>
          <w:b w:val="0"/>
          <w:bCs/>
          <w:color w:val="auto"/>
          <w:sz w:val="32"/>
          <w:szCs w:val="32"/>
        </w:rPr>
        <w:t>年度</w:t>
      </w:r>
      <w:r>
        <w:rPr>
          <w:rFonts w:hint="eastAsia" w:hAnsi="黑体" w:cs="黑体"/>
          <w:b w:val="0"/>
          <w:bCs/>
          <w:color w:val="auto"/>
          <w:sz w:val="32"/>
          <w:szCs w:val="32"/>
          <w:lang w:eastAsia="zh-CN"/>
        </w:rPr>
        <w:t>预算</w:t>
      </w:r>
      <w:r>
        <w:rPr>
          <w:rFonts w:hint="eastAsia" w:ascii="黑体" w:hAnsi="黑体" w:eastAsia="黑体" w:cs="黑体"/>
          <w:b w:val="0"/>
          <w:bCs/>
          <w:color w:val="auto"/>
          <w:sz w:val="32"/>
          <w:szCs w:val="32"/>
        </w:rPr>
        <w:t>绩效情况的说明</w:t>
      </w:r>
    </w:p>
    <w:p>
      <w:pPr>
        <w:pStyle w:val="12"/>
        <w:keepNext w:val="0"/>
        <w:keepLines w:val="0"/>
        <w:pageBreakBefore w:val="0"/>
        <w:widowControl w:val="0"/>
        <w:kinsoku/>
        <w:wordWrap/>
        <w:overflowPunct/>
        <w:topLinePunct w:val="0"/>
        <w:autoSpaceDE w:val="0"/>
        <w:autoSpaceDN w:val="0"/>
        <w:bidi w:val="0"/>
        <w:adjustRightInd w:val="0"/>
        <w:snapToGrid/>
        <w:spacing w:line="580" w:lineRule="exact"/>
        <w:ind w:firstLine="640" w:firstLineChars="200"/>
        <w:jc w:val="left"/>
        <w:textAlignment w:val="auto"/>
        <w:rPr>
          <w:rFonts w:hint="eastAsia" w:ascii="楷体" w:hAnsi="楷体" w:eastAsia="楷体" w:cs="楷体"/>
          <w:b/>
          <w:bCs/>
          <w:sz w:val="32"/>
          <w:szCs w:val="32"/>
          <w:lang w:eastAsia="zh-CN"/>
        </w:rPr>
      </w:pPr>
      <w:r>
        <w:rPr>
          <w:rFonts w:hint="eastAsia" w:ascii="楷体" w:hAnsi="楷体" w:eastAsia="楷体" w:cs="楷体"/>
          <w:b/>
          <w:bCs/>
          <w:sz w:val="32"/>
          <w:szCs w:val="32"/>
          <w:lang w:eastAsia="zh-CN"/>
        </w:rPr>
        <w:t>（一）绩效管理工作开展情况</w:t>
      </w:r>
    </w:p>
    <w:p>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jc w:val="left"/>
        <w:textAlignment w:val="auto"/>
        <w:rPr>
          <w:rFonts w:hint="eastAsia" w:ascii="仿宋_GB2312" w:hAnsi="仿宋_GB2312" w:eastAsia="仿宋_GB2312" w:cs="仿宋_GB2312"/>
          <w:b w:val="0"/>
          <w:bCs w:val="0"/>
          <w:color w:val="000000"/>
          <w:kern w:val="0"/>
          <w:sz w:val="32"/>
          <w:szCs w:val="32"/>
          <w:lang w:val="en-US" w:eastAsia="zh-CN" w:bidi="ar-SA"/>
        </w:rPr>
      </w:pPr>
      <w:r>
        <w:rPr>
          <w:rFonts w:hint="eastAsia" w:ascii="仿宋_GB2312" w:hAnsi="仿宋_GB2312" w:eastAsia="仿宋_GB2312" w:cs="仿宋_GB2312"/>
          <w:b w:val="0"/>
          <w:bCs w:val="0"/>
          <w:color w:val="000000"/>
          <w:kern w:val="0"/>
          <w:sz w:val="32"/>
          <w:szCs w:val="32"/>
          <w:lang w:val="en-US" w:eastAsia="zh-CN" w:bidi="ar-SA"/>
        </w:rPr>
        <w:t>根据预算绩效管理要求，我们组织对2023年度整体支出和项目资金实施了全覆盖性的绩效评价，撰写了绩效自评报告。</w:t>
      </w:r>
    </w:p>
    <w:p>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jc w:val="left"/>
        <w:textAlignment w:val="auto"/>
        <w:rPr>
          <w:rFonts w:hint="eastAsia" w:ascii="仿宋_GB2312" w:hAnsi="仿宋_GB2312" w:eastAsia="仿宋_GB2312" w:cs="仿宋_GB2312"/>
          <w:b w:val="0"/>
          <w:bCs w:val="0"/>
          <w:color w:val="000000"/>
          <w:kern w:val="0"/>
          <w:sz w:val="32"/>
          <w:szCs w:val="32"/>
          <w:lang w:val="en-US" w:eastAsia="zh-CN" w:bidi="ar-SA"/>
        </w:rPr>
      </w:pPr>
      <w:r>
        <w:rPr>
          <w:rFonts w:hint="eastAsia" w:ascii="仿宋_GB2312" w:hAnsi="仿宋_GB2312" w:eastAsia="仿宋_GB2312" w:cs="仿宋_GB2312"/>
          <w:b w:val="0"/>
          <w:bCs w:val="0"/>
          <w:color w:val="000000"/>
          <w:kern w:val="0"/>
          <w:sz w:val="32"/>
          <w:szCs w:val="32"/>
          <w:lang w:val="en-US" w:eastAsia="zh-CN" w:bidi="ar-SA"/>
        </w:rPr>
        <w:t>组织开展整体支出绩效评价，涉及一般公共预算支出17,437.83万元，政府性基金预算支出0.00万元，国有资本经营预算支出0.00万元。从评价情况来看，整体支出绩效评价中，2023年整体支出39,307.83万元，其中：基本支出13,421.85万元，项目支出25,397.52万元，本单位整体支出绩效自评综合评分99.83分，评价结果等次为良好。</w:t>
      </w:r>
    </w:p>
    <w:p>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jc w:val="left"/>
        <w:textAlignment w:val="auto"/>
        <w:rPr>
          <w:rFonts w:hint="eastAsia" w:ascii="仿宋_GB2312" w:hAnsi="仿宋_GB2312" w:eastAsia="仿宋_GB2312" w:cs="仿宋_GB2312"/>
          <w:b/>
          <w:bCs/>
          <w:sz w:val="32"/>
          <w:szCs w:val="32"/>
          <w:lang w:eastAsia="zh-CN"/>
        </w:rPr>
      </w:pPr>
      <w:r>
        <w:rPr>
          <w:rFonts w:hint="eastAsia" w:ascii="仿宋_GB2312" w:hAnsi="仿宋_GB2312" w:eastAsia="仿宋_GB2312" w:cs="仿宋_GB2312"/>
          <w:b w:val="0"/>
          <w:bCs w:val="0"/>
          <w:color w:val="000000"/>
          <w:kern w:val="0"/>
          <w:sz w:val="32"/>
          <w:szCs w:val="32"/>
          <w:lang w:val="en-US" w:eastAsia="zh-CN" w:bidi="ar-SA"/>
        </w:rPr>
        <w:t>组织对一般公共预算项目支出全面开展绩效自评，项目2个，共涉及资金588.17万元（仅本级），占一般公共预算项目支出总额的12.09%。组织对政府性基金预算项目支出开展绩效自评，项目0个，共涉及资金0.00万元，占政府性基金预算项目支出总额的0.00%。组织对国有资本经营预算项目支出开展绩效自评，项目0个，共涉及资金0.00万元，占国有资本经营预算项目支出总额的0.00%。从评价情况来看，项目绩效自评得分100分，评价结果等次为优秀。</w:t>
      </w:r>
    </w:p>
    <w:p>
      <w:pPr>
        <w:pStyle w:val="12"/>
        <w:keepNext w:val="0"/>
        <w:keepLines w:val="0"/>
        <w:pageBreakBefore w:val="0"/>
        <w:widowControl w:val="0"/>
        <w:kinsoku/>
        <w:wordWrap/>
        <w:overflowPunct/>
        <w:topLinePunct w:val="0"/>
        <w:autoSpaceDE w:val="0"/>
        <w:autoSpaceDN w:val="0"/>
        <w:bidi w:val="0"/>
        <w:adjustRightInd w:val="0"/>
        <w:snapToGrid/>
        <w:spacing w:line="580" w:lineRule="exact"/>
        <w:ind w:firstLine="640" w:firstLineChars="200"/>
        <w:jc w:val="left"/>
        <w:textAlignment w:val="auto"/>
        <w:rPr>
          <w:rFonts w:hint="eastAsia" w:ascii="楷体" w:hAnsi="楷体" w:eastAsia="楷体" w:cs="楷体"/>
          <w:b/>
          <w:bCs/>
          <w:sz w:val="32"/>
          <w:szCs w:val="32"/>
        </w:rPr>
      </w:pPr>
      <w:r>
        <w:rPr>
          <w:rFonts w:hint="eastAsia" w:ascii="楷体" w:hAnsi="楷体" w:eastAsia="楷体" w:cs="楷体"/>
          <w:b/>
          <w:bCs/>
          <w:sz w:val="32"/>
          <w:szCs w:val="32"/>
          <w:lang w:eastAsia="zh-CN"/>
        </w:rPr>
        <w:t>（二）</w:t>
      </w:r>
      <w:r>
        <w:rPr>
          <w:rFonts w:hint="eastAsia" w:ascii="楷体" w:hAnsi="楷体" w:eastAsia="楷体" w:cs="楷体"/>
          <w:b/>
          <w:bCs/>
          <w:sz w:val="32"/>
          <w:szCs w:val="32"/>
        </w:rPr>
        <w:t>部门</w:t>
      </w:r>
      <w:r>
        <w:rPr>
          <w:rFonts w:hint="eastAsia" w:ascii="楷体" w:hAnsi="楷体" w:eastAsia="楷体" w:cs="楷体"/>
          <w:b/>
          <w:bCs/>
          <w:sz w:val="32"/>
          <w:szCs w:val="32"/>
          <w:lang w:eastAsia="zh-CN"/>
        </w:rPr>
        <w:t>（单位）</w:t>
      </w:r>
      <w:r>
        <w:rPr>
          <w:rFonts w:hint="eastAsia" w:ascii="楷体" w:hAnsi="楷体" w:eastAsia="楷体" w:cs="楷体"/>
          <w:b/>
          <w:bCs/>
          <w:sz w:val="32"/>
          <w:szCs w:val="32"/>
        </w:rPr>
        <w:t>整体支出绩效情况</w:t>
      </w:r>
    </w:p>
    <w:p>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val="0"/>
          <w:bCs w:val="0"/>
          <w:color w:val="000000"/>
          <w:kern w:val="0"/>
          <w:sz w:val="32"/>
          <w:szCs w:val="32"/>
          <w:lang w:val="en-US" w:eastAsia="zh-CN" w:bidi="ar-SA"/>
        </w:rPr>
        <w:t>根据年初设定的绩效目标，绩效自评得分为99.83分。全年预算数为39,307.83万元，执行数为39,307.83万元，完成预算的100.00%。绩效目标完成情况：一是生态环境质量持续改善；二是污染防治攻坚扎实推进；三是生态环境安全有效保障；四是全力营造生态环保氛围。</w:t>
      </w:r>
    </w:p>
    <w:p>
      <w:pPr>
        <w:pStyle w:val="12"/>
        <w:keepNext w:val="0"/>
        <w:keepLines w:val="0"/>
        <w:pageBreakBefore w:val="0"/>
        <w:widowControl w:val="0"/>
        <w:kinsoku/>
        <w:wordWrap/>
        <w:overflowPunct/>
        <w:topLinePunct w:val="0"/>
        <w:autoSpaceDE w:val="0"/>
        <w:autoSpaceDN w:val="0"/>
        <w:bidi w:val="0"/>
        <w:adjustRightInd w:val="0"/>
        <w:snapToGrid/>
        <w:spacing w:line="580" w:lineRule="exact"/>
        <w:ind w:firstLine="640" w:firstLineChars="200"/>
        <w:jc w:val="left"/>
        <w:textAlignment w:val="auto"/>
        <w:rPr>
          <w:rFonts w:hint="eastAsia" w:ascii="楷体" w:hAnsi="楷体" w:eastAsia="楷体" w:cs="楷体"/>
          <w:b/>
          <w:bCs/>
          <w:sz w:val="32"/>
          <w:szCs w:val="32"/>
        </w:rPr>
      </w:pPr>
      <w:r>
        <w:rPr>
          <w:rFonts w:hint="eastAsia" w:ascii="楷体" w:hAnsi="楷体" w:eastAsia="楷体" w:cs="楷体"/>
          <w:b/>
          <w:bCs/>
          <w:sz w:val="32"/>
          <w:szCs w:val="32"/>
          <w:lang w:eastAsia="zh-CN"/>
        </w:rPr>
        <w:t>（三）</w:t>
      </w:r>
      <w:r>
        <w:rPr>
          <w:rFonts w:hint="eastAsia" w:ascii="楷体" w:hAnsi="楷体" w:eastAsia="楷体" w:cs="楷体"/>
          <w:b/>
          <w:bCs/>
          <w:sz w:val="32"/>
          <w:szCs w:val="32"/>
        </w:rPr>
        <w:t>存在的问题及原因分析</w:t>
      </w:r>
    </w:p>
    <w:p>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jc w:val="left"/>
        <w:textAlignment w:val="auto"/>
        <w:rPr>
          <w:rFonts w:hint="eastAsia" w:ascii="仿宋_GB2312" w:hAnsi="仿宋_GB2312" w:eastAsia="仿宋_GB2312" w:cs="仿宋_GB2312"/>
          <w:b w:val="0"/>
          <w:bCs w:val="0"/>
          <w:color w:val="000000"/>
          <w:kern w:val="0"/>
          <w:sz w:val="32"/>
          <w:szCs w:val="32"/>
          <w:lang w:val="en-US" w:eastAsia="zh-CN" w:bidi="ar-SA"/>
        </w:rPr>
      </w:pPr>
      <w:r>
        <w:rPr>
          <w:rFonts w:hint="eastAsia" w:ascii="仿宋_GB2312" w:hAnsi="仿宋_GB2312" w:eastAsia="仿宋_GB2312" w:cs="仿宋_GB2312"/>
          <w:color w:val="auto"/>
          <w:sz w:val="32"/>
          <w:szCs w:val="32"/>
          <w:lang w:eastAsia="zh-CN"/>
        </w:rPr>
        <w:t>存在的</w:t>
      </w:r>
      <w:r>
        <w:rPr>
          <w:rFonts w:hint="eastAsia" w:ascii="仿宋_GB2312" w:hAnsi="仿宋_GB2312" w:eastAsia="仿宋_GB2312" w:cs="仿宋_GB2312"/>
          <w:b w:val="0"/>
          <w:bCs w:val="0"/>
          <w:color w:val="000000"/>
          <w:kern w:val="0"/>
          <w:sz w:val="32"/>
          <w:szCs w:val="32"/>
          <w:lang w:val="en-US" w:eastAsia="zh-CN" w:bidi="ar-SA"/>
        </w:rPr>
        <w:t>主要问题及原因：一是生态环境质量稳步改善较难。近几年我市环境空气质量和水环境质量均处于历史高位，但受输入性环境污染和极端气象条件、结构性减排空间压减等因素影响，实现持续改善的空间小、难度大；二是重难点工作任务推进较难。通过努力，近几年我市整改了一大批环境问题，但剩下的都是投入资金较大、短时间内难整改的“硬骨头”，比如城乡生活污水收集、农业面源污染治理、秋冬季秸秆焚烧、入河湖排污口整治等等，虽一直在推进，但仍需久久为功。</w:t>
      </w:r>
    </w:p>
    <w:p>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val="0"/>
          <w:bCs w:val="0"/>
          <w:color w:val="000000"/>
          <w:kern w:val="0"/>
          <w:sz w:val="32"/>
          <w:szCs w:val="32"/>
          <w:lang w:val="en-US" w:eastAsia="zh-CN" w:bidi="ar-SA"/>
        </w:rPr>
        <w:t>下一步改进措施：一是加强项目执行和跟踪管理，提高资金的执行进度和使用效率；二是加强制度建设，提高预算编制和项目申报的科学性和精细化。</w:t>
      </w:r>
    </w:p>
    <w:p>
      <w:pPr>
        <w:autoSpaceDE w:val="0"/>
        <w:autoSpaceDN w:val="0"/>
        <w:adjustRightInd w:val="0"/>
        <w:ind w:firstLine="640" w:firstLineChars="200"/>
        <w:jc w:val="left"/>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预算绩效管理开展情况、绩效目标和绩效评价报告等，已在市政府部门财政预决算公开平台上向社会公开，详见附件。</w:t>
      </w:r>
    </w:p>
    <w:p>
      <w:pPr>
        <w:numPr>
          <w:ilvl w:val="0"/>
          <w:numId w:val="0"/>
        </w:numPr>
        <w:autoSpaceDE w:val="0"/>
        <w:autoSpaceDN w:val="0"/>
        <w:adjustRightInd w:val="0"/>
        <w:jc w:val="left"/>
        <w:rPr>
          <w:rFonts w:hint="eastAsia" w:ascii="楷体" w:hAnsi="楷体" w:eastAsia="楷体" w:cs="楷体"/>
          <w:b/>
          <w:bCs/>
          <w:i w:val="0"/>
          <w:iCs w:val="0"/>
          <w:color w:val="FF0000"/>
          <w:kern w:val="0"/>
          <w:sz w:val="36"/>
          <w:szCs w:val="36"/>
          <w:lang w:val="en-US" w:eastAsia="zh-CN"/>
        </w:rPr>
      </w:pPr>
    </w:p>
    <w:p>
      <w:pPr>
        <w:pStyle w:val="12"/>
        <w:jc w:val="both"/>
        <w:rPr>
          <w:sz w:val="72"/>
          <w:szCs w:val="72"/>
        </w:rPr>
      </w:pPr>
    </w:p>
    <w:p>
      <w:pPr>
        <w:pStyle w:val="12"/>
        <w:jc w:val="center"/>
        <w:rPr>
          <w:sz w:val="72"/>
          <w:szCs w:val="72"/>
        </w:rPr>
      </w:pPr>
    </w:p>
    <w:p>
      <w:pPr>
        <w:pStyle w:val="12"/>
        <w:jc w:val="center"/>
        <w:rPr>
          <w:rFonts w:hint="eastAsia" w:ascii="方正小标宋_GBK" w:hAnsi="方正小标宋_GBK" w:eastAsia="方正小标宋_GBK" w:cs="方正小标宋_GBK"/>
          <w:sz w:val="70"/>
          <w:szCs w:val="70"/>
          <w:lang w:eastAsia="zh-CN"/>
        </w:rPr>
      </w:pPr>
    </w:p>
    <w:p>
      <w:pPr>
        <w:pStyle w:val="12"/>
        <w:jc w:val="center"/>
        <w:rPr>
          <w:rFonts w:hint="eastAsia" w:ascii="方正小标宋_GBK" w:hAnsi="方正小标宋_GBK" w:eastAsia="方正小标宋_GBK" w:cs="方正小标宋_GBK"/>
          <w:sz w:val="70"/>
          <w:szCs w:val="70"/>
          <w:lang w:eastAsia="zh-CN"/>
        </w:rPr>
      </w:pPr>
    </w:p>
    <w:p>
      <w:pPr>
        <w:pStyle w:val="12"/>
        <w:jc w:val="center"/>
        <w:rPr>
          <w:rFonts w:hint="eastAsia" w:ascii="方正小标宋_GBK" w:hAnsi="方正小标宋_GBK" w:eastAsia="方正小标宋_GBK" w:cs="方正小标宋_GBK"/>
          <w:sz w:val="72"/>
          <w:szCs w:val="72"/>
        </w:rPr>
      </w:pPr>
    </w:p>
    <w:p>
      <w:pPr>
        <w:pStyle w:val="12"/>
        <w:jc w:val="center"/>
        <w:rPr>
          <w:rFonts w:hint="eastAsia" w:ascii="方正小标宋_GBK" w:hAnsi="方正小标宋_GBK" w:eastAsia="方正小标宋_GBK" w:cs="方正小标宋_GBK"/>
          <w:sz w:val="72"/>
          <w:szCs w:val="72"/>
        </w:rPr>
      </w:pPr>
    </w:p>
    <w:p>
      <w:pPr>
        <w:pStyle w:val="12"/>
        <w:jc w:val="center"/>
        <w:rPr>
          <w:rFonts w:hint="eastAsia" w:ascii="方正小标宋_GBK" w:hAnsi="方正小标宋_GBK" w:eastAsia="方正小标宋_GBK" w:cs="方正小标宋_GBK"/>
          <w:sz w:val="72"/>
          <w:szCs w:val="72"/>
        </w:rPr>
      </w:pPr>
      <w:r>
        <w:rPr>
          <w:rFonts w:hint="eastAsia" w:ascii="方正小标宋_GBK" w:hAnsi="方正小标宋_GBK" w:eastAsia="方正小标宋_GBK" w:cs="方正小标宋_GBK"/>
          <w:sz w:val="72"/>
          <w:szCs w:val="72"/>
        </w:rPr>
        <w:t>第四部分</w:t>
      </w:r>
    </w:p>
    <w:p>
      <w:pPr>
        <w:jc w:val="center"/>
        <w:rPr>
          <w:rFonts w:hint="eastAsia" w:ascii="方正小标宋_GBK" w:hAnsi="方正小标宋_GBK" w:eastAsia="方正小标宋_GBK" w:cs="方正小标宋_GBK"/>
          <w:color w:val="000000"/>
          <w:kern w:val="0"/>
          <w:sz w:val="70"/>
          <w:szCs w:val="70"/>
        </w:rPr>
      </w:pPr>
    </w:p>
    <w:p>
      <w:pPr>
        <w:pStyle w:val="12"/>
        <w:jc w:val="center"/>
        <w:rPr>
          <w:rFonts w:hint="eastAsia" w:ascii="方正小标宋_GBK" w:hAnsi="方正小标宋_GBK" w:eastAsia="方正小标宋_GBK" w:cs="方正小标宋_GBK"/>
          <w:sz w:val="70"/>
          <w:szCs w:val="70"/>
          <w:lang w:eastAsia="zh-CN"/>
        </w:rPr>
      </w:pPr>
      <w:r>
        <w:rPr>
          <w:rFonts w:hint="eastAsia" w:ascii="方正小标宋_GBK" w:hAnsi="方正小标宋_GBK" w:eastAsia="方正小标宋_GBK" w:cs="方正小标宋_GBK"/>
          <w:color w:val="000000"/>
          <w:kern w:val="0"/>
          <w:sz w:val="70"/>
          <w:szCs w:val="70"/>
        </w:rPr>
        <w:t>名词解释</w:t>
      </w:r>
    </w:p>
    <w:p>
      <w:pPr>
        <w:pStyle w:val="7"/>
      </w:pPr>
    </w:p>
    <w:p>
      <w:pPr>
        <w:pStyle w:val="3"/>
      </w:pPr>
    </w:p>
    <w:p/>
    <w:p>
      <w:pPr>
        <w:pStyle w:val="7"/>
      </w:pPr>
    </w:p>
    <w:p>
      <w:pPr>
        <w:pStyle w:val="3"/>
      </w:pPr>
    </w:p>
    <w:p/>
    <w:p>
      <w:pPr>
        <w:pStyle w:val="7"/>
      </w:pPr>
    </w:p>
    <w:p>
      <w:pPr>
        <w:pStyle w:val="3"/>
      </w:pPr>
    </w:p>
    <w:p/>
    <w:p>
      <w:pPr>
        <w:pStyle w:val="7"/>
      </w:pPr>
    </w:p>
    <w:p>
      <w:pPr>
        <w:pStyle w:val="3"/>
      </w:pPr>
    </w:p>
    <w:p/>
    <w:p>
      <w:pPr>
        <w:pStyle w:val="7"/>
      </w:pPr>
    </w:p>
    <w:p>
      <w:pPr>
        <w:pStyle w:val="3"/>
      </w:pPr>
    </w:p>
    <w:p/>
    <w:p>
      <w:pPr>
        <w:pStyle w:val="7"/>
      </w:pPr>
    </w:p>
    <w:p>
      <w:pPr>
        <w:pStyle w:val="3"/>
      </w:pPr>
    </w:p>
    <w:p/>
    <w:p>
      <w:pPr>
        <w:pStyle w:val="7"/>
      </w:pPr>
    </w:p>
    <w:p>
      <w:pPr>
        <w:pStyle w:val="3"/>
      </w:pPr>
    </w:p>
    <w:p/>
    <w:p>
      <w:pPr>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br w:type="page"/>
      </w:r>
    </w:p>
    <w:p>
      <w:pPr>
        <w:ind w:firstLine="640" w:firstLineChars="200"/>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一、“三公”经费：指用财政拨款安排的因公出国（境）费、公务用车购置及运行费和公务接待费。其中，因公出国（境）费反映出国（境）的住宿费、旅费、伙食补助费、杂费、培训费等支出；公务用车购置及运行费反映单位公务用车购置费及租用费、燃料费、维修费、过路过桥费、保险费、安全奖励费用等支出；公务接待费反映单位按规定开支的各类公务接待（含外宾接待）支出</w:t>
      </w:r>
    </w:p>
    <w:p>
      <w:pPr>
        <w:ind w:firstLine="640" w:firstLineChars="200"/>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二、机关运行经费，指为保障行政单位（包括参照公务员法管理的事业单位）运行用于购买货物和服务的各项资金，包括办公费、印刷费、邮电费、差旅费、会议费、日常维修费、专用材料及一般设备购置费、办公用房水电费、办公用房取暖费、办公用房物业管理费、公务用车运行维护费以及其他费用</w:t>
      </w:r>
    </w:p>
    <w:p>
      <w:pPr>
        <w:ind w:firstLine="640" w:firstLineChars="200"/>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三、财政拨款收入：指本级财政当年拨付的资金</w:t>
      </w:r>
    </w:p>
    <w:p>
      <w:pPr>
        <w:ind w:firstLine="640" w:firstLineChars="200"/>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四、其他收入：指除上述“财政拨款收入”、“上级补助收入”、“事业收入”、“经营收入”、“附属单位上缴收入”等以外的收入</w:t>
      </w:r>
    </w:p>
    <w:p>
      <w:pPr>
        <w:ind w:firstLine="640" w:firstLineChars="200"/>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五、上年结转和结余：指以前年度尚未完成、结转到本年按有关规定继续使用的资金。社会保障和就业支出（类）：是指用于社会保障和就业方面的支出，包括保障机构正常运转、完成日常和特定的工作任务或事业发展目标的支出。归口管理的行政单位离退休，指离退休人员管理机构统一管理的机关离退休人员的经费</w:t>
      </w:r>
    </w:p>
    <w:p>
      <w:pPr>
        <w:ind w:firstLine="640" w:firstLineChars="200"/>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六、社会保障和就业支出（类）：是指用于社会保障和就业方面的支出，包括保障机构正常运转、完成日常和特定的工作任务或事业发展目标的支出。归口管理的行政单位离退休，指离退休人员管理机构统一管理的机关离退休人员的经费</w:t>
      </w:r>
    </w:p>
    <w:p>
      <w:pPr>
        <w:ind w:firstLine="640" w:firstLineChars="200"/>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七、卫生健康支出（类）：是指用于医疗卫生与计划生育方面的支出，包括保障机构正常运转、完成日常和特定的工作任务或事业发展目标的支出</w:t>
      </w:r>
    </w:p>
    <w:p>
      <w:pPr>
        <w:ind w:firstLine="640" w:firstLineChars="200"/>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八、节能环保支出（类）：是指用于节能环保支出，包括保障机构正常运转、完成日常和特定的工作任务或事业发展目标的支出</w:t>
      </w:r>
    </w:p>
    <w:p>
      <w:pPr>
        <w:ind w:firstLine="640" w:firstLineChars="200"/>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九、其他支出（类）：是指用于反映除上述项目以外其他不能划分到具体功能科目中的支出项目，包括保障机构正常运转、完成日常和特定的工作任务或事业发展目标的支出</w:t>
      </w:r>
    </w:p>
    <w:p>
      <w:pPr>
        <w:ind w:firstLine="640" w:firstLineChars="200"/>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十、基本支出：指保障机构正常运转、完成支日常工作任务而发生的人员支出和公用支出</w:t>
      </w:r>
    </w:p>
    <w:p>
      <w:pPr>
        <w:ind w:firstLine="640" w:firstLineChars="200"/>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十一、项目支出：指在基本支出之外为完成特定行政任务和事业发展目标所发生的支出</w:t>
      </w:r>
    </w:p>
    <w:p>
      <w:pPr>
        <w:ind w:firstLine="640" w:firstLineChars="200"/>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十二、政府采购 ：是指国家各级政府为从事日常的政务活动或为了满足公共服务的目的，利用国家财政性资金和政府借款购买货物、工程和服务的行为。政府采购不仅是指具体的采购过程，而且是采购政策、采购程序、采购过程及采购管理的总称，是一种对公共采购管理的制度</w:t>
      </w:r>
    </w:p>
    <w:p>
      <w:pPr>
        <w:ind w:firstLine="640" w:firstLineChars="200"/>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十三、工资福利支出：反映单位开支的在职职工和编制外长期聘用人员的各类劳动报酬，以及为上述人员缴纳的各项社会保险费等</w:t>
      </w:r>
    </w:p>
    <w:p>
      <w:pPr>
        <w:ind w:firstLine="640" w:firstLineChars="200"/>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十四、基本工资：反映按规定发放的基本工资，包括公务员的职务工资、级别工资；机关工人的岗位工资、技术等级工资；事业单位工作人员的岗位工资、薪级工资；各类学校毕业生试用期(见习期)工资、新参加工作工人学徒期、熟练期工资；军队（武警）军官、文职干部的职务（专业技术等级）工资、军衔（级别）工资、基础工资和军龄工资；军队士官的军衔等级工资、基础工资和军龄工资等</w:t>
      </w:r>
    </w:p>
    <w:p>
      <w:pPr>
        <w:ind w:firstLine="640" w:firstLineChars="200"/>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十五、津贴补贴：反映经国家批准建立的机关事业单位艰苦边远地区津贴、机关工作人员地区附加津贴、机关工作人员岗位津贴、事业单位工作人员特殊岗位津贴补贴等</w:t>
      </w:r>
    </w:p>
    <w:p>
      <w:pPr>
        <w:ind w:firstLine="640" w:firstLineChars="200"/>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十六、奖金：反映机关工作人员年终一次性奖金</w:t>
      </w:r>
    </w:p>
    <w:p>
      <w:pPr>
        <w:ind w:firstLine="640" w:firstLineChars="200"/>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十七、伙食补助费：反映单位发给职工的伙食补助费，如误餐补助等</w:t>
      </w:r>
    </w:p>
    <w:p>
      <w:pPr>
        <w:ind w:firstLine="640" w:firstLineChars="200"/>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十八、绩效工资：反映事业单位工作人员的绩效工资</w:t>
      </w:r>
    </w:p>
    <w:p>
      <w:pPr>
        <w:ind w:firstLine="640" w:firstLineChars="200"/>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十九、机关事业单位基本养老保险缴费：反映机关事业单位缴纳的基本养老保险费。由单位代扣的工作人员基本养老保险缴费，不在此科目反映</w:t>
      </w:r>
    </w:p>
    <w:p>
      <w:pPr>
        <w:ind w:firstLine="640" w:firstLineChars="200"/>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二十、职业年金缴费：反映机关事业单位实际缴纳的职业年金支出。由单位代扣的工作人员职业年金缴费，不在此科目反映</w:t>
      </w:r>
    </w:p>
    <w:p>
      <w:pPr>
        <w:ind w:firstLine="640" w:firstLineChars="200"/>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二十一、职工基本医疗保险缴费：反映单位为职工缴纳的基本医疗保险费</w:t>
      </w:r>
    </w:p>
    <w:p>
      <w:pPr>
        <w:ind w:firstLine="640" w:firstLineChars="200"/>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二十二、公务员医疗补助缴费：反映按规定可享受公务员医疗补助单位为职工缴纳的公务员医疗补助费</w:t>
      </w:r>
    </w:p>
    <w:p>
      <w:pPr>
        <w:ind w:firstLine="640" w:firstLineChars="200"/>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二十三、其他社会保障缴费：反映单位为职工缴纳的基本医疗、失业、工伤、生育等社会保险费，残疾人就业保障金，军队（含武警）为军人缴纳的伤亡、退役医疗等社会保险费</w:t>
      </w:r>
    </w:p>
    <w:p>
      <w:pPr>
        <w:ind w:firstLine="640" w:firstLineChars="200"/>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二十四、住房公积金：反映行政事业单位按人力资源和社会保障部、财政部规定的基本工资和津贴补贴以及规定比例为职工缴纳的住房公积金</w:t>
      </w:r>
    </w:p>
    <w:p>
      <w:pPr>
        <w:ind w:firstLine="640" w:firstLineChars="200"/>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二十五、医疗费：反映未参加医疗保险单位的医疗经费和单位按规定为职工支出的其他医疗费用</w:t>
      </w:r>
    </w:p>
    <w:p>
      <w:pPr>
        <w:ind w:firstLine="640" w:firstLineChars="200"/>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二十六、其他工资福利支出：反映上述项目未包括的人员支出，如各种加班工资、病假两个月以上期间的人员工资、编制外长期聘用人员，公务员及参照和依照公务员制度管理的单位工作人员转入企业工作并按规定参加企业职工基本养老保险后给予的一次性补贴等</w:t>
      </w:r>
    </w:p>
    <w:p>
      <w:pPr>
        <w:ind w:firstLine="640" w:firstLineChars="200"/>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二十七、商品和服务支出：反映单位购买商品和服务的支出（不包括用于购置固定资产的支出、战略性和应急储备支出）</w:t>
      </w:r>
    </w:p>
    <w:p>
      <w:pPr>
        <w:ind w:firstLine="640" w:firstLineChars="200"/>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二十八、办公费：反映单位购买按财务会计制度规定不符合固定资产确认标准的日常办公用品、书报杂志等支出</w:t>
      </w:r>
    </w:p>
    <w:p>
      <w:pPr>
        <w:ind w:firstLine="640" w:firstLineChars="200"/>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二十九、印刷费：反映单位的印刷费支出</w:t>
      </w:r>
    </w:p>
    <w:p>
      <w:pPr>
        <w:ind w:firstLine="640" w:firstLineChars="200"/>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三十、咨询费：反映单位咨询方面的支出</w:t>
      </w:r>
    </w:p>
    <w:p>
      <w:pPr>
        <w:ind w:firstLine="640" w:firstLineChars="200"/>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三十一、手续费：反映单位支付的各类手续费支出</w:t>
      </w:r>
    </w:p>
    <w:p>
      <w:pPr>
        <w:ind w:firstLine="640" w:firstLineChars="200"/>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三十二、水费：反映单位支付的水费、污水处理费等支出</w:t>
      </w:r>
    </w:p>
    <w:p>
      <w:pPr>
        <w:ind w:firstLine="640" w:firstLineChars="200"/>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三十三、电费：反映单位的电费支出</w:t>
      </w:r>
    </w:p>
    <w:p>
      <w:pPr>
        <w:ind w:firstLine="640" w:firstLineChars="200"/>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三十四、邮电费：反映单位开支的信函、包裹、货物等物品的邮寄费及电话费、电报费、传真费、网络通讯费等</w:t>
      </w:r>
    </w:p>
    <w:p>
      <w:pPr>
        <w:ind w:firstLine="640" w:firstLineChars="200"/>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三十五、物业管理费：反映单位开支的办公用房以及未实行职工住宅物业服务改革的在职职工和离退休人员宿舍等的物业管理费，包括综合治理、绿化、卫生等方面的支出</w:t>
      </w:r>
    </w:p>
    <w:p>
      <w:pPr>
        <w:ind w:firstLine="640" w:firstLineChars="200"/>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三十六、差旅费：反映单位工作人员出差发生的城市间交通费、住宿费、伙食补贴费和市内交通费</w:t>
      </w:r>
    </w:p>
    <w:p>
      <w:pPr>
        <w:ind w:firstLine="640" w:firstLineChars="200"/>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三十七、维修(护)费：反映单位日常开支的固定资产（不包括车船等交通工具）修理和维护费用，网络信息系统运行与维护费用，以及按规定提取的修购基金</w:t>
      </w:r>
    </w:p>
    <w:p>
      <w:pPr>
        <w:ind w:firstLine="640" w:firstLineChars="200"/>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三十八、租赁费：反映租赁办公用房、宿舍、专用通讯网以及其他设备等方面的费用</w:t>
      </w:r>
    </w:p>
    <w:p>
      <w:pPr>
        <w:ind w:firstLine="640" w:firstLineChars="200"/>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三十九、会议费：反映会议中按规定开支的住宿费、伙食费、会议室租金、交通费、文件印刷费、医药费等</w:t>
      </w:r>
    </w:p>
    <w:p>
      <w:pPr>
        <w:ind w:firstLine="640" w:firstLineChars="200"/>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四十、培训费：反映除因公出国（境）培训费以外的各类培训支出</w:t>
      </w:r>
    </w:p>
    <w:p>
      <w:pPr>
        <w:ind w:firstLine="640" w:firstLineChars="200"/>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四十一、公务接待费：反映单位按规定开支的各类公务接待（含外宾接待）费用</w:t>
      </w:r>
    </w:p>
    <w:p>
      <w:pPr>
        <w:ind w:firstLine="640" w:firstLineChars="200"/>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四十二、专用材料费：反映单位购买日常专用材料的支出。具体包括药品及医疗耗材，农用材料，兽医用品，实验室用品，专用服装，消耗性体育用品，专用工具和仪器，艺术部门专用材料和用品，广播电视台发射台发射机的电力、材料等方面的支出</w:t>
      </w:r>
    </w:p>
    <w:p>
      <w:pPr>
        <w:ind w:firstLine="640" w:firstLineChars="200"/>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四十三、专用燃料费：反映用作业务工作设备的车、船设施等的油料支出</w:t>
      </w:r>
    </w:p>
    <w:p>
      <w:pPr>
        <w:ind w:firstLine="640" w:firstLineChars="200"/>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四十四、劳务费：反映支付给单位和个人的劳务费用，如临时聘用人员、钟点工工资，稿费、翻译费，评审费等</w:t>
      </w:r>
    </w:p>
    <w:p>
      <w:pPr>
        <w:ind w:firstLine="640" w:firstLineChars="200"/>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四十五、委托业务费：反映因委托外单位办理业务而支付的委托业务费</w:t>
      </w:r>
    </w:p>
    <w:p>
      <w:pPr>
        <w:ind w:firstLine="640" w:firstLineChars="200"/>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四十六、工会经费：反映单位按规定提取的工会经费</w:t>
      </w:r>
    </w:p>
    <w:p>
      <w:pPr>
        <w:ind w:firstLine="640" w:firstLineChars="200"/>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四十七、福利费：反映单位按规定提取的福利费</w:t>
      </w:r>
    </w:p>
    <w:p>
      <w:pPr>
        <w:ind w:firstLine="640" w:firstLineChars="200"/>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四十八、公务用车运行维护费：反映单位按规定保留的公务用车燃料费、维修费、过桥过路费、保险费、安全奖励费用等支出</w:t>
      </w:r>
    </w:p>
    <w:p>
      <w:pPr>
        <w:ind w:firstLine="640" w:firstLineChars="200"/>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四十九、其他交通费用：反映单位除公务用车运行维护费以外的其他交通费用。如公务交通补贴，租车费用、出租车费用，飞机、船舶等的燃料费、维修费、保险费等</w:t>
      </w:r>
    </w:p>
    <w:p>
      <w:pPr>
        <w:ind w:firstLine="640" w:firstLineChars="200"/>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五十、税金及附加费用：反映单位提供劳务或销售产品应负担的税金及附加费用，包括营业税、消费税、城市维护建设税、资源税和教育附加等</w:t>
      </w:r>
    </w:p>
    <w:p>
      <w:pPr>
        <w:ind w:firstLine="640" w:firstLineChars="200"/>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五十一、其他商品和服务支出：反映上述科目未包括的日常公用支出。如行政赔偿费和诉讼费、国内组织的会员费、来访费、广告宣传、其他劳务费及离休人员特需费、公用经费等</w:t>
      </w:r>
    </w:p>
    <w:p>
      <w:pPr>
        <w:ind w:firstLine="640" w:firstLineChars="200"/>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五十二、对个人和家庭的补助：反映政府用于对个人和家庭的补助支出</w:t>
      </w:r>
    </w:p>
    <w:p>
      <w:pPr>
        <w:ind w:firstLine="640" w:firstLineChars="200"/>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五十三、抚恤金：反映按规定开支的烈士遗属、牺牲病故人员遗属的一次性和定期抚恤金，伤残人员的抚恤金，离退休人员等其他人员的各项抚恤金</w:t>
      </w:r>
    </w:p>
    <w:p>
      <w:pPr>
        <w:ind w:firstLine="640" w:firstLineChars="200"/>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五十四、生活补助：反映按规定开支的优抚对象定期定量生活补助费，退役军人生活补助费，行政事业单位职工和遗属生活补助，因公负伤等住院治疗、住疗养院期间的伙食补助费，长期赡养人员补助费，由于国家实行退耕还林禁牧舍饲政策补偿给农牧民的现金、粮食支出，对农村党员、复员军人以及村干部的补助支出，看守人员和犯人的伙食费、药费等</w:t>
      </w:r>
    </w:p>
    <w:p>
      <w:pPr>
        <w:ind w:firstLine="640" w:firstLineChars="200"/>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五十五、医疗费：反映行政事业单位在职职工、离退休人员的医疗费，军队移交政府安置的离退休人员的医疗费，学生医疗费，优抚对象医疗补助，以及按国家规定资助农民参加新型农村合作医疗和城镇居民参加城镇居民基本医疗保险的支出和对城乡贫困家庭的医疗救助支出</w:t>
      </w:r>
    </w:p>
    <w:p>
      <w:pPr>
        <w:ind w:firstLine="640" w:firstLineChars="200"/>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五十六、奖励金：反映政府各部门的奖励支出，如对个体私营经济的奖励、计划生育目标责任奖励、独生子女父母奖励等</w:t>
      </w:r>
    </w:p>
    <w:p>
      <w:pPr>
        <w:ind w:firstLine="640" w:firstLineChars="200"/>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五十七、办公设备购置：反映用于购置并按财务会计制度规定纳入固定资产核算范围的办公家具和办公设备的支出，以及按规定提取的修购基金</w:t>
      </w:r>
    </w:p>
    <w:p>
      <w:pPr>
        <w:ind w:firstLine="640" w:firstLineChars="200"/>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五十八、专用设备购置：反映用于购置具有专门用途、并按财务会计制度规定纳入固定资产核算范围的各类专用设备的支出。如通信设备、发电设备、交通监控设备、卫星转发器、气象设备、进出口监管设备等，以及按规定提取的修购基金</w:t>
      </w:r>
    </w:p>
    <w:p>
      <w:pPr>
        <w:ind w:firstLine="640" w:firstLineChars="200"/>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五十九、财政拨款收入：指本级财政当年拨付的资金。其他收入：指除上述“财政拨款收入”、“上级补助收入”、“事业收入”、“经营收入”、“附属单位上缴收入”等以外的收入</w:t>
      </w:r>
    </w:p>
    <w:p>
      <w:pPr>
        <w:ind w:firstLine="640" w:firstLineChars="200"/>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六十、上年结转和结余：指以前年度尚未完成、结转到本年按有关规定继续使用的资金</w:t>
      </w:r>
    </w:p>
    <w:p>
      <w:pPr>
        <w:ind w:firstLine="640" w:firstLineChars="200"/>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六十一、一般公共服务支出（类）：是指用于人大、政协、政府办公厅（室）及相关机构事务、发展与改革事务、统计信息事务、财政事务、税收事务、审计事务、人力资源事务、纪检监察事务、商贸事务、工商行政管理事务</w:t>
      </w:r>
    </w:p>
    <w:p>
      <w:pPr>
        <w:ind w:firstLine="640" w:firstLineChars="200"/>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六十二、伙食补助费：反映单位发给职工的伙食补助费，如误餐补助等。绩效工资：反映事业单位工作人员的绩效工资</w:t>
      </w:r>
    </w:p>
    <w:p>
      <w:pPr>
        <w:ind w:firstLine="640" w:firstLineChars="200"/>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六十三、退休费：反映行政事业单位和军队移交政府安置的退休人员的退休费和其他补贴</w:t>
      </w:r>
    </w:p>
    <w:p>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textAlignment w:val="auto"/>
        <w:rPr>
          <w:rFonts w:hint="eastAsia" w:ascii="仿宋_GB2312" w:hAnsi="仿宋_GB2312" w:eastAsia="仿宋_GB2312" w:cs="仿宋_GB2312"/>
          <w:b/>
          <w:bCs/>
          <w:i/>
          <w:color w:val="FF0000"/>
          <w:kern w:val="0"/>
          <w:sz w:val="32"/>
          <w:szCs w:val="32"/>
          <w:lang w:val="en-US" w:eastAsia="zh-CN" w:bidi="ar-SA"/>
        </w:rPr>
      </w:pPr>
    </w:p>
    <w:p>
      <w:pPr>
        <w:pStyle w:val="12"/>
        <w:jc w:val="center"/>
        <w:rPr>
          <w:rFonts w:hint="eastAsia" w:ascii="仿宋_GB2312" w:hAnsi="仿宋_GB2312" w:eastAsia="仿宋_GB2312" w:cs="仿宋_GB2312"/>
          <w:sz w:val="32"/>
          <w:szCs w:val="32"/>
        </w:rPr>
      </w:pPr>
    </w:p>
    <w:p>
      <w:pPr>
        <w:pStyle w:val="3"/>
      </w:pPr>
    </w:p>
    <w:p/>
    <w:p>
      <w:pPr>
        <w:pStyle w:val="7"/>
      </w:pPr>
    </w:p>
    <w:p>
      <w:pPr>
        <w:pStyle w:val="3"/>
      </w:pPr>
    </w:p>
    <w:p/>
    <w:p>
      <w:pPr>
        <w:pStyle w:val="7"/>
      </w:pPr>
    </w:p>
    <w:p>
      <w:pPr>
        <w:pStyle w:val="3"/>
      </w:pPr>
    </w:p>
    <w:p/>
    <w:p>
      <w:pPr>
        <w:pStyle w:val="7"/>
      </w:pPr>
    </w:p>
    <w:p>
      <w:pPr>
        <w:pStyle w:val="3"/>
      </w:pPr>
    </w:p>
    <w:p/>
    <w:p>
      <w:pPr>
        <w:pStyle w:val="7"/>
      </w:pPr>
    </w:p>
    <w:p>
      <w:pPr>
        <w:pStyle w:val="3"/>
      </w:pPr>
    </w:p>
    <w:p/>
    <w:p>
      <w:pPr>
        <w:pStyle w:val="7"/>
      </w:pPr>
    </w:p>
    <w:p>
      <w:pPr>
        <w:pStyle w:val="3"/>
      </w:pPr>
    </w:p>
    <w:p>
      <w:pPr>
        <w:pStyle w:val="12"/>
        <w:jc w:val="center"/>
        <w:rPr>
          <w:rFonts w:hint="eastAsia" w:ascii="方正小标宋_GBK" w:hAnsi="方正小标宋_GBK" w:eastAsia="方正小标宋_GBK" w:cs="方正小标宋_GBK"/>
          <w:sz w:val="70"/>
          <w:szCs w:val="70"/>
        </w:rPr>
      </w:pPr>
      <w:r>
        <w:rPr>
          <w:rFonts w:hint="eastAsia" w:ascii="方正小标宋_GBK" w:hAnsi="方正小标宋_GBK" w:eastAsia="方正小标宋_GBK" w:cs="方正小标宋_GBK"/>
          <w:sz w:val="72"/>
          <w:szCs w:val="72"/>
        </w:rPr>
        <w:t>第</w:t>
      </w:r>
      <w:r>
        <w:rPr>
          <w:rFonts w:hint="eastAsia" w:ascii="方正小标宋_GBK" w:hAnsi="方正小标宋_GBK" w:eastAsia="方正小标宋_GBK" w:cs="方正小标宋_GBK"/>
          <w:sz w:val="72"/>
          <w:szCs w:val="72"/>
          <w:lang w:eastAsia="zh-CN"/>
        </w:rPr>
        <w:t>五</w:t>
      </w:r>
      <w:r>
        <w:rPr>
          <w:rFonts w:hint="eastAsia" w:ascii="方正小标宋_GBK" w:hAnsi="方正小标宋_GBK" w:eastAsia="方正小标宋_GBK" w:cs="方正小标宋_GBK"/>
          <w:sz w:val="72"/>
          <w:szCs w:val="72"/>
        </w:rPr>
        <w:t>部分</w:t>
      </w:r>
    </w:p>
    <w:p>
      <w:pPr>
        <w:pStyle w:val="12"/>
        <w:jc w:val="both"/>
        <w:rPr>
          <w:rFonts w:hint="eastAsia" w:ascii="方正小标宋_GBK" w:hAnsi="方正小标宋_GBK" w:eastAsia="方正小标宋_GBK" w:cs="方正小标宋_GBK"/>
          <w:sz w:val="70"/>
          <w:szCs w:val="70"/>
          <w:lang w:eastAsia="zh-CN"/>
        </w:rPr>
      </w:pPr>
    </w:p>
    <w:p>
      <w:pPr>
        <w:pStyle w:val="12"/>
        <w:jc w:val="center"/>
        <w:rPr>
          <w:rFonts w:hint="eastAsia" w:ascii="方正小标宋_GBK" w:hAnsi="方正小标宋_GBK" w:eastAsia="方正小标宋_GBK" w:cs="方正小标宋_GBK"/>
          <w:sz w:val="70"/>
          <w:szCs w:val="70"/>
          <w:lang w:eastAsia="zh-CN"/>
        </w:rPr>
      </w:pPr>
      <w:r>
        <w:rPr>
          <w:rFonts w:hint="eastAsia" w:ascii="方正小标宋_GBK" w:hAnsi="方正小标宋_GBK" w:eastAsia="方正小标宋_GBK" w:cs="方正小标宋_GBK"/>
          <w:sz w:val="70"/>
          <w:szCs w:val="70"/>
          <w:lang w:eastAsia="zh-CN"/>
        </w:rPr>
        <w:t>附</w:t>
      </w:r>
      <w:r>
        <w:rPr>
          <w:rFonts w:hint="eastAsia" w:ascii="方正小标宋_GBK" w:hAnsi="方正小标宋_GBK" w:eastAsia="方正小标宋_GBK" w:cs="方正小标宋_GBK"/>
          <w:sz w:val="70"/>
          <w:szCs w:val="70"/>
          <w:lang w:val="en-US" w:eastAsia="zh-CN"/>
        </w:rPr>
        <w:t xml:space="preserve"> </w:t>
      </w:r>
      <w:r>
        <w:rPr>
          <w:rFonts w:hint="eastAsia" w:ascii="方正小标宋_GBK" w:hAnsi="方正小标宋_GBK" w:eastAsia="方正小标宋_GBK" w:cs="方正小标宋_GBK"/>
          <w:sz w:val="70"/>
          <w:szCs w:val="70"/>
          <w:lang w:eastAsia="zh-CN"/>
        </w:rPr>
        <w:t>件</w:t>
      </w:r>
    </w:p>
    <w:p>
      <w:pPr>
        <w:ind w:firstLine="640" w:firstLineChars="200"/>
        <w:jc w:val="left"/>
        <w:rPr>
          <w:rFonts w:hint="eastAsia" w:ascii="宋体" w:hAnsi="宋体" w:eastAsia="宋体" w:cs="黑体"/>
          <w:b/>
          <w:color w:val="000000"/>
          <w:kern w:val="0"/>
          <w:sz w:val="32"/>
          <w:szCs w:val="32"/>
          <w:lang w:val="en-US" w:eastAsia="zh-CN"/>
        </w:rPr>
      </w:pPr>
    </w:p>
    <w:p>
      <w:pPr>
        <w:ind w:firstLine="640" w:firstLineChars="200"/>
        <w:jc w:val="left"/>
        <w:rPr>
          <w:rFonts w:hint="eastAsia" w:ascii="宋体" w:hAnsi="宋体" w:eastAsia="宋体" w:cs="黑体"/>
          <w:b/>
          <w:color w:val="000000"/>
          <w:kern w:val="0"/>
          <w:sz w:val="32"/>
          <w:szCs w:val="32"/>
          <w:lang w:val="en-US" w:eastAsia="zh-CN"/>
        </w:rPr>
      </w:pPr>
      <w:r>
        <w:rPr>
          <w:rFonts w:hint="eastAsia" w:ascii="宋体" w:hAnsi="宋体" w:eastAsia="宋体" w:cs="黑体"/>
          <w:b/>
          <w:color w:val="000000"/>
          <w:kern w:val="0"/>
          <w:sz w:val="32"/>
          <w:szCs w:val="32"/>
          <w:lang w:val="en-US" w:eastAsia="zh-CN"/>
        </w:rPr>
        <w:t>1、2023年部门决算公开表格</w:t>
      </w:r>
    </w:p>
    <w:p>
      <w:pPr>
        <w:ind w:firstLine="640" w:firstLineChars="200"/>
        <w:jc w:val="left"/>
        <w:rPr>
          <w:rFonts w:ascii="宋体" w:hAnsi="宋体" w:eastAsia="宋体" w:cs="黑体"/>
          <w:color w:val="000000"/>
          <w:kern w:val="0"/>
          <w:sz w:val="32"/>
          <w:szCs w:val="32"/>
        </w:rPr>
      </w:pPr>
      <w:r>
        <w:rPr>
          <w:rFonts w:hint="eastAsia" w:ascii="宋体" w:hAnsi="宋体" w:eastAsia="宋体" w:cs="黑体"/>
          <w:b/>
          <w:color w:val="000000"/>
          <w:kern w:val="0"/>
          <w:sz w:val="32"/>
          <w:szCs w:val="32"/>
          <w:lang w:val="en-US" w:eastAsia="zh-CN"/>
        </w:rPr>
        <w:t>2、</w:t>
      </w:r>
      <w:r>
        <w:rPr>
          <w:rFonts w:hint="eastAsia" w:ascii="宋体" w:hAnsi="宋体" w:eastAsia="宋体" w:cs="黑体"/>
          <w:b/>
          <w:color w:val="000000"/>
          <w:kern w:val="0"/>
          <w:sz w:val="32"/>
          <w:szCs w:val="32"/>
        </w:rPr>
        <w:t>202</w:t>
      </w:r>
      <w:r>
        <w:rPr>
          <w:rFonts w:hint="eastAsia" w:ascii="宋体" w:hAnsi="宋体" w:eastAsia="宋体" w:cs="黑体"/>
          <w:b/>
          <w:color w:val="000000"/>
          <w:kern w:val="0"/>
          <w:sz w:val="32"/>
          <w:szCs w:val="32"/>
          <w:lang w:val="en-US" w:eastAsia="zh-CN"/>
        </w:rPr>
        <w:t>3</w:t>
      </w:r>
      <w:r>
        <w:rPr>
          <w:rFonts w:hint="eastAsia" w:ascii="宋体" w:hAnsi="宋体" w:eastAsia="宋体" w:cs="黑体"/>
          <w:b/>
          <w:color w:val="000000"/>
          <w:kern w:val="0"/>
          <w:sz w:val="32"/>
          <w:szCs w:val="32"/>
        </w:rPr>
        <w:t>年度部门整体支出绩效评价报告</w:t>
      </w:r>
    </w:p>
    <w:p/>
    <w:sectPr>
      <w:pgSz w:w="11906" w:h="16838"/>
      <w:pgMar w:top="720" w:right="720" w:bottom="720" w:left="720" w:header="851" w:footer="992" w:gutter="0"/>
      <w:cols w:space="425"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微软雅黑"/>
    <w:panose1 w:val="03000509000000000000"/>
    <w:charset w:val="86"/>
    <w:family w:val="script"/>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73518C1"/>
    <w:multiLevelType w:val="multilevel"/>
    <w:tmpl w:val="373518C1"/>
    <w:lvl w:ilvl="0" w:tentative="0">
      <w:start w:val="1"/>
      <w:numFmt w:val="none"/>
      <w:lvlText w:val="一、"/>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VhM2RiODNhYzYwODk5ZTg2MTVmODIyMGIzNjA1OGYifQ=="/>
  </w:docVars>
  <w:rsids>
    <w:rsidRoot w:val="004506F9"/>
    <w:rsid w:val="0002229B"/>
    <w:rsid w:val="000273BD"/>
    <w:rsid w:val="00040CBC"/>
    <w:rsid w:val="000415B7"/>
    <w:rsid w:val="00041E3F"/>
    <w:rsid w:val="00055DAA"/>
    <w:rsid w:val="00061F7B"/>
    <w:rsid w:val="000658A3"/>
    <w:rsid w:val="00074155"/>
    <w:rsid w:val="000A3F69"/>
    <w:rsid w:val="00103957"/>
    <w:rsid w:val="00152C6D"/>
    <w:rsid w:val="00162D39"/>
    <w:rsid w:val="001678BD"/>
    <w:rsid w:val="00182373"/>
    <w:rsid w:val="001A67DB"/>
    <w:rsid w:val="001C3C29"/>
    <w:rsid w:val="001D51E5"/>
    <w:rsid w:val="001E080D"/>
    <w:rsid w:val="001E53D0"/>
    <w:rsid w:val="001F0C3B"/>
    <w:rsid w:val="00202C82"/>
    <w:rsid w:val="00214427"/>
    <w:rsid w:val="00226CB7"/>
    <w:rsid w:val="00264552"/>
    <w:rsid w:val="00264EF9"/>
    <w:rsid w:val="00265724"/>
    <w:rsid w:val="0027426B"/>
    <w:rsid w:val="002E0A30"/>
    <w:rsid w:val="003130C4"/>
    <w:rsid w:val="00316C4B"/>
    <w:rsid w:val="0032192B"/>
    <w:rsid w:val="003479BD"/>
    <w:rsid w:val="0037197D"/>
    <w:rsid w:val="003768D5"/>
    <w:rsid w:val="003926B9"/>
    <w:rsid w:val="003C47E6"/>
    <w:rsid w:val="003C4FC2"/>
    <w:rsid w:val="00416E61"/>
    <w:rsid w:val="0042790C"/>
    <w:rsid w:val="004506F9"/>
    <w:rsid w:val="004717A2"/>
    <w:rsid w:val="00473DF3"/>
    <w:rsid w:val="00487911"/>
    <w:rsid w:val="00491741"/>
    <w:rsid w:val="004B0CEE"/>
    <w:rsid w:val="00500E5F"/>
    <w:rsid w:val="005122EF"/>
    <w:rsid w:val="0051441A"/>
    <w:rsid w:val="00517C33"/>
    <w:rsid w:val="00517D5F"/>
    <w:rsid w:val="00523644"/>
    <w:rsid w:val="0054069E"/>
    <w:rsid w:val="00544866"/>
    <w:rsid w:val="005767CC"/>
    <w:rsid w:val="00590D9F"/>
    <w:rsid w:val="00595D26"/>
    <w:rsid w:val="005A74E6"/>
    <w:rsid w:val="005B404E"/>
    <w:rsid w:val="005D4D55"/>
    <w:rsid w:val="005E2CFB"/>
    <w:rsid w:val="005F2103"/>
    <w:rsid w:val="005F3D1C"/>
    <w:rsid w:val="0062378F"/>
    <w:rsid w:val="00641842"/>
    <w:rsid w:val="00651EEC"/>
    <w:rsid w:val="00686673"/>
    <w:rsid w:val="00691E8C"/>
    <w:rsid w:val="006A22C4"/>
    <w:rsid w:val="006A351B"/>
    <w:rsid w:val="006B0422"/>
    <w:rsid w:val="006C1B53"/>
    <w:rsid w:val="006D7730"/>
    <w:rsid w:val="006E5284"/>
    <w:rsid w:val="006F3EB5"/>
    <w:rsid w:val="00702E34"/>
    <w:rsid w:val="00704395"/>
    <w:rsid w:val="00710FE7"/>
    <w:rsid w:val="00717621"/>
    <w:rsid w:val="00720FF1"/>
    <w:rsid w:val="00727A53"/>
    <w:rsid w:val="00787B42"/>
    <w:rsid w:val="007C4539"/>
    <w:rsid w:val="007F3657"/>
    <w:rsid w:val="00812ED5"/>
    <w:rsid w:val="008277D9"/>
    <w:rsid w:val="0084478C"/>
    <w:rsid w:val="0086638C"/>
    <w:rsid w:val="008A3E8D"/>
    <w:rsid w:val="009237C4"/>
    <w:rsid w:val="00944C48"/>
    <w:rsid w:val="00950252"/>
    <w:rsid w:val="00967F5D"/>
    <w:rsid w:val="009A0F95"/>
    <w:rsid w:val="009B3ADF"/>
    <w:rsid w:val="009B4D8E"/>
    <w:rsid w:val="009C3B52"/>
    <w:rsid w:val="009E6817"/>
    <w:rsid w:val="009E6E9A"/>
    <w:rsid w:val="00A01D2B"/>
    <w:rsid w:val="00A42218"/>
    <w:rsid w:val="00A70249"/>
    <w:rsid w:val="00A70B02"/>
    <w:rsid w:val="00A71D9F"/>
    <w:rsid w:val="00A92E9F"/>
    <w:rsid w:val="00AB18FF"/>
    <w:rsid w:val="00B33BEA"/>
    <w:rsid w:val="00B57C9F"/>
    <w:rsid w:val="00B63572"/>
    <w:rsid w:val="00B845B3"/>
    <w:rsid w:val="00B85D8B"/>
    <w:rsid w:val="00BB4A40"/>
    <w:rsid w:val="00BD6C3E"/>
    <w:rsid w:val="00BE3674"/>
    <w:rsid w:val="00C10681"/>
    <w:rsid w:val="00C3049A"/>
    <w:rsid w:val="00C31B1E"/>
    <w:rsid w:val="00C77645"/>
    <w:rsid w:val="00CE04C3"/>
    <w:rsid w:val="00CE76A0"/>
    <w:rsid w:val="00D148C6"/>
    <w:rsid w:val="00D17A8A"/>
    <w:rsid w:val="00D415BA"/>
    <w:rsid w:val="00D63780"/>
    <w:rsid w:val="00D644EE"/>
    <w:rsid w:val="00DD06FF"/>
    <w:rsid w:val="00DD5FE9"/>
    <w:rsid w:val="00E00C7A"/>
    <w:rsid w:val="00E37D6C"/>
    <w:rsid w:val="00E55B68"/>
    <w:rsid w:val="00E561AE"/>
    <w:rsid w:val="00E67BE6"/>
    <w:rsid w:val="00E8683C"/>
    <w:rsid w:val="00EA2B72"/>
    <w:rsid w:val="00F74360"/>
    <w:rsid w:val="00FB462F"/>
    <w:rsid w:val="00FE16FA"/>
    <w:rsid w:val="00FE328A"/>
    <w:rsid w:val="00FE6269"/>
    <w:rsid w:val="00FF5CD6"/>
    <w:rsid w:val="01D31020"/>
    <w:rsid w:val="04A10290"/>
    <w:rsid w:val="059958AD"/>
    <w:rsid w:val="05C96DAF"/>
    <w:rsid w:val="05EC445F"/>
    <w:rsid w:val="06230DC8"/>
    <w:rsid w:val="06C857E7"/>
    <w:rsid w:val="08422A5C"/>
    <w:rsid w:val="08833B8E"/>
    <w:rsid w:val="08C24A73"/>
    <w:rsid w:val="0C1A4568"/>
    <w:rsid w:val="0C9615C8"/>
    <w:rsid w:val="0D1D6DF7"/>
    <w:rsid w:val="0DB82B78"/>
    <w:rsid w:val="0DDA54E4"/>
    <w:rsid w:val="0E0B77DD"/>
    <w:rsid w:val="10E2302E"/>
    <w:rsid w:val="117431DB"/>
    <w:rsid w:val="11E903EC"/>
    <w:rsid w:val="12583BA5"/>
    <w:rsid w:val="13BA5B9C"/>
    <w:rsid w:val="13D2292A"/>
    <w:rsid w:val="16547244"/>
    <w:rsid w:val="16965497"/>
    <w:rsid w:val="17B23653"/>
    <w:rsid w:val="18820C52"/>
    <w:rsid w:val="18A1707D"/>
    <w:rsid w:val="18EB2826"/>
    <w:rsid w:val="196B2666"/>
    <w:rsid w:val="1A0861F4"/>
    <w:rsid w:val="1B590209"/>
    <w:rsid w:val="1C4926F3"/>
    <w:rsid w:val="1C4A1A87"/>
    <w:rsid w:val="1CC876D3"/>
    <w:rsid w:val="1D3833BB"/>
    <w:rsid w:val="1D97DEFF"/>
    <w:rsid w:val="1DF63B94"/>
    <w:rsid w:val="1DFF72E5"/>
    <w:rsid w:val="1EFC6F07"/>
    <w:rsid w:val="1F0527A6"/>
    <w:rsid w:val="1FAF3D99"/>
    <w:rsid w:val="1FD75D28"/>
    <w:rsid w:val="20E00E92"/>
    <w:rsid w:val="21BA3233"/>
    <w:rsid w:val="22AC03C2"/>
    <w:rsid w:val="22E6466B"/>
    <w:rsid w:val="22F56BF1"/>
    <w:rsid w:val="253D4AB1"/>
    <w:rsid w:val="280E42B1"/>
    <w:rsid w:val="28685CA3"/>
    <w:rsid w:val="292D1F2E"/>
    <w:rsid w:val="2B681065"/>
    <w:rsid w:val="2BAC33A1"/>
    <w:rsid w:val="2C807D53"/>
    <w:rsid w:val="2DFA12E6"/>
    <w:rsid w:val="2EB11B9D"/>
    <w:rsid w:val="2ED207A7"/>
    <w:rsid w:val="2F644CF3"/>
    <w:rsid w:val="2FDF85B8"/>
    <w:rsid w:val="2FED0D77"/>
    <w:rsid w:val="2FFFEE04"/>
    <w:rsid w:val="306709B5"/>
    <w:rsid w:val="306C7DC6"/>
    <w:rsid w:val="30E107B4"/>
    <w:rsid w:val="313E43E1"/>
    <w:rsid w:val="31C95635"/>
    <w:rsid w:val="32714F51"/>
    <w:rsid w:val="347436ED"/>
    <w:rsid w:val="34DF85B0"/>
    <w:rsid w:val="354821AC"/>
    <w:rsid w:val="35506716"/>
    <w:rsid w:val="379E7EB4"/>
    <w:rsid w:val="37B37051"/>
    <w:rsid w:val="38CA351D"/>
    <w:rsid w:val="3A1A5C49"/>
    <w:rsid w:val="3A8F493C"/>
    <w:rsid w:val="3B8F36BC"/>
    <w:rsid w:val="3BDF1D94"/>
    <w:rsid w:val="3C0C38B6"/>
    <w:rsid w:val="3C463BC1"/>
    <w:rsid w:val="3C7C50FA"/>
    <w:rsid w:val="3DFF7B39"/>
    <w:rsid w:val="3E3B27A7"/>
    <w:rsid w:val="3E9E4690"/>
    <w:rsid w:val="3FB57B37"/>
    <w:rsid w:val="3FFD6511"/>
    <w:rsid w:val="409F0717"/>
    <w:rsid w:val="40D64434"/>
    <w:rsid w:val="41405083"/>
    <w:rsid w:val="45327C70"/>
    <w:rsid w:val="457C5F26"/>
    <w:rsid w:val="47DF247D"/>
    <w:rsid w:val="47FE17F4"/>
    <w:rsid w:val="491FF225"/>
    <w:rsid w:val="4BFB6776"/>
    <w:rsid w:val="4C183B96"/>
    <w:rsid w:val="4D341814"/>
    <w:rsid w:val="4D543967"/>
    <w:rsid w:val="4D82166B"/>
    <w:rsid w:val="4E4D5283"/>
    <w:rsid w:val="4F762EB2"/>
    <w:rsid w:val="4FFD214C"/>
    <w:rsid w:val="50AB5B9A"/>
    <w:rsid w:val="50DC432B"/>
    <w:rsid w:val="51183927"/>
    <w:rsid w:val="523F4EE3"/>
    <w:rsid w:val="524806C4"/>
    <w:rsid w:val="5352765A"/>
    <w:rsid w:val="54216F96"/>
    <w:rsid w:val="545E3D46"/>
    <w:rsid w:val="55FD3892"/>
    <w:rsid w:val="566E2B23"/>
    <w:rsid w:val="566F318D"/>
    <w:rsid w:val="567438B1"/>
    <w:rsid w:val="56903F5F"/>
    <w:rsid w:val="5777D4F5"/>
    <w:rsid w:val="59AA33BA"/>
    <w:rsid w:val="59DD8326"/>
    <w:rsid w:val="5A057F41"/>
    <w:rsid w:val="5DEF592A"/>
    <w:rsid w:val="5E2D6537"/>
    <w:rsid w:val="5FC6BB1E"/>
    <w:rsid w:val="5FF720F1"/>
    <w:rsid w:val="600A0F6C"/>
    <w:rsid w:val="60275F5C"/>
    <w:rsid w:val="60327E35"/>
    <w:rsid w:val="61946FF9"/>
    <w:rsid w:val="61AA7929"/>
    <w:rsid w:val="62EE44E7"/>
    <w:rsid w:val="64AD2180"/>
    <w:rsid w:val="65174882"/>
    <w:rsid w:val="65B1194B"/>
    <w:rsid w:val="66AC6FB3"/>
    <w:rsid w:val="672C7AFB"/>
    <w:rsid w:val="67FF5C0B"/>
    <w:rsid w:val="693C5107"/>
    <w:rsid w:val="698E4911"/>
    <w:rsid w:val="6A2467D3"/>
    <w:rsid w:val="6A5E2C49"/>
    <w:rsid w:val="6BAA4A2F"/>
    <w:rsid w:val="6C1C3133"/>
    <w:rsid w:val="6D091FD5"/>
    <w:rsid w:val="6E3A5CB7"/>
    <w:rsid w:val="6EFC0924"/>
    <w:rsid w:val="6F7E562F"/>
    <w:rsid w:val="6FB74722"/>
    <w:rsid w:val="6FD94246"/>
    <w:rsid w:val="6FEF8B7E"/>
    <w:rsid w:val="71A6591B"/>
    <w:rsid w:val="72B97AC9"/>
    <w:rsid w:val="73154050"/>
    <w:rsid w:val="737D59BA"/>
    <w:rsid w:val="737F32B1"/>
    <w:rsid w:val="73920EBF"/>
    <w:rsid w:val="743E4B66"/>
    <w:rsid w:val="7598589F"/>
    <w:rsid w:val="77C37683"/>
    <w:rsid w:val="79196BEE"/>
    <w:rsid w:val="79FF515B"/>
    <w:rsid w:val="7B927F42"/>
    <w:rsid w:val="7C7E46D6"/>
    <w:rsid w:val="7CD71AFC"/>
    <w:rsid w:val="7E9E1962"/>
    <w:rsid w:val="7E9F11B4"/>
    <w:rsid w:val="7F37EC1E"/>
    <w:rsid w:val="7F4A4D43"/>
    <w:rsid w:val="7F7DCD9D"/>
    <w:rsid w:val="7F970A6F"/>
    <w:rsid w:val="7FC1FFF3"/>
    <w:rsid w:val="7FC69637"/>
    <w:rsid w:val="7FDF8620"/>
    <w:rsid w:val="7FFB242F"/>
    <w:rsid w:val="7FFDB408"/>
    <w:rsid w:val="7FFE4EEB"/>
    <w:rsid w:val="7FFE6DC6"/>
    <w:rsid w:val="95FB2B98"/>
    <w:rsid w:val="9A639BC2"/>
    <w:rsid w:val="9FF7D786"/>
    <w:rsid w:val="ABBFB23D"/>
    <w:rsid w:val="C3B4DA5A"/>
    <w:rsid w:val="CBFF70E0"/>
    <w:rsid w:val="CFF50B82"/>
    <w:rsid w:val="CFFFAD89"/>
    <w:rsid w:val="DFFE359E"/>
    <w:rsid w:val="DFFE4FFD"/>
    <w:rsid w:val="EEABED75"/>
    <w:rsid w:val="F56FDF51"/>
    <w:rsid w:val="F6B69F17"/>
    <w:rsid w:val="F77F1D61"/>
    <w:rsid w:val="F7FED3A9"/>
    <w:rsid w:val="F8C9DB26"/>
    <w:rsid w:val="F97E8EAE"/>
    <w:rsid w:val="FB36E1A6"/>
    <w:rsid w:val="FB3BE134"/>
    <w:rsid w:val="FCFF4275"/>
    <w:rsid w:val="FD7FEEEA"/>
    <w:rsid w:val="FDFFB577"/>
    <w:rsid w:val="FEEA50FE"/>
    <w:rsid w:val="FF7D47A9"/>
    <w:rsid w:val="FFCF21CB"/>
    <w:rsid w:val="FFFF1C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nhideWhenUsed="0" w:uiPriority="0"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qFormat="1"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iPriority="99"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Body Text Indent"/>
    <w:basedOn w:val="1"/>
    <w:next w:val="3"/>
    <w:unhideWhenUsed/>
    <w:qFormat/>
    <w:uiPriority w:val="99"/>
    <w:pPr>
      <w:widowControl/>
      <w:spacing w:after="120"/>
      <w:ind w:left="420" w:leftChars="200"/>
      <w:jc w:val="left"/>
    </w:pPr>
    <w:rPr>
      <w:rFonts w:ascii="宋体" w:hAnsi="宋体" w:eastAsia="宋体" w:cs="宋体"/>
      <w:kern w:val="0"/>
      <w:sz w:val="24"/>
    </w:rPr>
  </w:style>
  <w:style w:type="paragraph" w:styleId="3">
    <w:name w:val="Body Text First Indent 2"/>
    <w:basedOn w:val="2"/>
    <w:next w:val="1"/>
    <w:unhideWhenUsed/>
    <w:qFormat/>
    <w:uiPriority w:val="99"/>
    <w:pPr>
      <w:ind w:firstLine="420" w:firstLineChars="200"/>
    </w:pPr>
  </w:style>
  <w:style w:type="paragraph" w:styleId="4">
    <w:name w:val="Balloon Text"/>
    <w:basedOn w:val="1"/>
    <w:link w:val="14"/>
    <w:semiHidden/>
    <w:unhideWhenUsed/>
    <w:qFormat/>
    <w:uiPriority w:val="99"/>
    <w:rPr>
      <w:sz w:val="18"/>
      <w:szCs w:val="18"/>
    </w:rPr>
  </w:style>
  <w:style w:type="paragraph" w:styleId="5">
    <w:name w:val="footer"/>
    <w:basedOn w:val="1"/>
    <w:link w:val="11"/>
    <w:unhideWhenUsed/>
    <w:qFormat/>
    <w:uiPriority w:val="99"/>
    <w:pPr>
      <w:tabs>
        <w:tab w:val="center" w:pos="4153"/>
        <w:tab w:val="right" w:pos="8306"/>
      </w:tabs>
      <w:snapToGrid w:val="0"/>
      <w:jc w:val="left"/>
    </w:pPr>
    <w:rPr>
      <w:sz w:val="18"/>
      <w:szCs w:val="18"/>
    </w:rPr>
  </w:style>
  <w:style w:type="paragraph" w:styleId="6">
    <w:name w:val="header"/>
    <w:basedOn w:val="1"/>
    <w:link w:val="10"/>
    <w:unhideWhenUsed/>
    <w:qFormat/>
    <w:uiPriority w:val="99"/>
    <w:pPr>
      <w:pBdr>
        <w:bottom w:val="single" w:color="auto" w:sz="6" w:space="1"/>
      </w:pBdr>
      <w:tabs>
        <w:tab w:val="center" w:pos="4153"/>
        <w:tab w:val="right" w:pos="8306"/>
      </w:tabs>
      <w:snapToGrid w:val="0"/>
      <w:jc w:val="center"/>
    </w:pPr>
    <w:rPr>
      <w:sz w:val="18"/>
      <w:szCs w:val="18"/>
    </w:rPr>
  </w:style>
  <w:style w:type="paragraph" w:styleId="7">
    <w:name w:val="footnote text"/>
    <w:basedOn w:val="1"/>
    <w:next w:val="3"/>
    <w:semiHidden/>
    <w:qFormat/>
    <w:uiPriority w:val="0"/>
    <w:pPr>
      <w:snapToGrid w:val="0"/>
      <w:jc w:val="left"/>
    </w:pPr>
    <w:rPr>
      <w:sz w:val="18"/>
      <w:szCs w:val="18"/>
    </w:rPr>
  </w:style>
  <w:style w:type="character" w:customStyle="1" w:styleId="10">
    <w:name w:val="页眉 Char"/>
    <w:basedOn w:val="9"/>
    <w:link w:val="6"/>
    <w:qFormat/>
    <w:uiPriority w:val="99"/>
    <w:rPr>
      <w:sz w:val="18"/>
      <w:szCs w:val="18"/>
    </w:rPr>
  </w:style>
  <w:style w:type="character" w:customStyle="1" w:styleId="11">
    <w:name w:val="页脚 Char"/>
    <w:basedOn w:val="9"/>
    <w:link w:val="5"/>
    <w:qFormat/>
    <w:uiPriority w:val="99"/>
    <w:rPr>
      <w:sz w:val="18"/>
      <w:szCs w:val="18"/>
    </w:rPr>
  </w:style>
  <w:style w:type="paragraph" w:customStyle="1" w:styleId="12">
    <w:name w:val="Default"/>
    <w:qFormat/>
    <w:uiPriority w:val="0"/>
    <w:pPr>
      <w:widowControl w:val="0"/>
      <w:autoSpaceDE w:val="0"/>
      <w:autoSpaceDN w:val="0"/>
      <w:adjustRightInd w:val="0"/>
    </w:pPr>
    <w:rPr>
      <w:rFonts w:ascii="黑体" w:eastAsia="黑体" w:cs="黑体" w:hAnsiTheme="minorHAnsi"/>
      <w:color w:val="000000"/>
      <w:kern w:val="0"/>
      <w:sz w:val="24"/>
      <w:szCs w:val="24"/>
      <w:lang w:val="en-US" w:eastAsia="zh-CN" w:bidi="ar-SA"/>
    </w:rPr>
  </w:style>
  <w:style w:type="paragraph" w:styleId="13">
    <w:name w:val="List Paragraph"/>
    <w:basedOn w:val="1"/>
    <w:qFormat/>
    <w:uiPriority w:val="34"/>
    <w:pPr>
      <w:ind w:firstLine="420" w:firstLineChars="200"/>
    </w:pPr>
  </w:style>
  <w:style w:type="character" w:customStyle="1" w:styleId="14">
    <w:name w:val="批注框文本 Char"/>
    <w:basedOn w:val="9"/>
    <w:link w:val="4"/>
    <w:semiHidden/>
    <w:qFormat/>
    <w:uiPriority w:val="99"/>
    <w:rPr>
      <w:sz w:val="18"/>
      <w:szCs w:val="18"/>
    </w:rPr>
  </w:style>
  <w:style w:type="character" w:customStyle="1" w:styleId="15">
    <w:name w:val="font01"/>
    <w:basedOn w:val="9"/>
    <w:qFormat/>
    <w:uiPriority w:val="0"/>
    <w:rPr>
      <w:rFonts w:hint="eastAsia" w:ascii="宋体" w:hAnsi="宋体" w:eastAsia="宋体" w:cs="宋体"/>
      <w:color w:val="000000"/>
      <w:sz w:val="22"/>
      <w:szCs w:val="22"/>
      <w:u w:val="none"/>
    </w:rPr>
  </w:style>
  <w:style w:type="character" w:customStyle="1" w:styleId="16">
    <w:name w:val="font21"/>
    <w:basedOn w:val="9"/>
    <w:qFormat/>
    <w:uiPriority w:val="0"/>
    <w:rPr>
      <w:rFonts w:hint="eastAsia" w:ascii="宋体" w:hAnsi="宋体" w:eastAsia="宋体" w:cs="宋体"/>
      <w:color w:val="000000"/>
      <w:sz w:val="24"/>
      <w:szCs w:val="24"/>
      <w:u w:val="none"/>
    </w:rPr>
  </w:style>
  <w:style w:type="character" w:customStyle="1" w:styleId="17">
    <w:name w:val="font11"/>
    <w:basedOn w:val="9"/>
    <w:qFormat/>
    <w:uiPriority w:val="0"/>
    <w:rPr>
      <w:rFonts w:hint="eastAsia" w:ascii="宋体" w:hAnsi="宋体" w:eastAsia="宋体" w:cs="宋体"/>
      <w:color w:val="000000"/>
      <w:sz w:val="24"/>
      <w:szCs w:val="24"/>
      <w:u w:val="non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26</Pages>
  <Words>10901</Words>
  <Characters>11921</Characters>
  <Lines>63</Lines>
  <Paragraphs>18</Paragraphs>
  <TotalTime>25</TotalTime>
  <ScaleCrop>false</ScaleCrop>
  <LinksUpToDate>false</LinksUpToDate>
  <CharactersWithSpaces>11938</CharactersWithSpaces>
  <Application>WPS Office_11.8.6.11021_F1E327BC-269C-435d-A152-05C5408002CA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2020-07-08T02:32:00Z</dcterms:created>
  <dc:creator>李航 null</dc:creator>
  <cp:lastModifiedBy>Administrator</cp:lastModifiedBy>
  <cp:lastPrinted>2024-08-08T10:20:00Z</cp:lastPrinted>
  <dcterms:modified xsi:type="dcterms:W3CDTF">2025-07-28T08:25:30Z</dcterms:modified>
  <cp:revision>67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2052-11.8.6.11021</vt:lpwstr>
  </property>
  <property fmtid="{D5CDD505-2E9C-101B-9397-08002B2CF9AE}" pid="3" name="ICV">
    <vt:lpwstr>3ECA4BEC60DE4C41B6351F4123749A13_13</vt:lpwstr>
  </property>
  <property fmtid="{D5CDD505-2E9C-101B-9397-08002B2CF9AE}" pid="4" name="KSOTemplateDocerSaveRecord">
    <vt:lpwstr>eyJoZGlkIjoiYTI1ZWRhODIzZjNkMzE5ODI3Y2UwZTM2NjQ3YjE4YjIiLCJ1c2VySWQiOiI1Mzg0MzA5MzAifQ==</vt:lpwstr>
  </property>
</Properties>
</file>