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疾病控制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岳阳市卫健委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岳阳市疾病预防控制中心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、切实做好传染病信息报告管理工作，提高监测预警能力。2、加强艾滋病经性传播综合防治，突出重点人群，扩大艾滋病筛查范围，积极推进经性传播综合干预。3、加强结核病防治体系建设，提升结核病实验室能力，巩固提升重点指标落实。4、加强免疫规划管理，夯实基础免疫，巩固无脊灰状态和推进消除麻疹，保持疫苗可预防性传染病低发态势。5、推进慢性病防治工作，组织开展全民健康生活方式“三减三健”专项行动。6、加强重点地区、重点人群环境、饮用水、职业病监测预警，风险评估、分析干预和危害健康因素排查。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、已切实做好传染病信息报告管理工作，提高监测预警能力。2、已加强艾滋病经性传播综合防治，突出重点人群，扩大艾滋病筛查范围，积极推进经性传播综合干预。3、已加强结核病防治体系建设，提升结核病实验室能力，巩固提升重点指标落实。4、已加强免疫规划管理，夯实基础免疫，巩固无脊灰状态和推进消除麻疹，保持疫苗可预防性传染病低发态势。5、已实现推进慢性病防治工作，组织开展全民健康生活方式“三减三健”专项行动。6、已加强重点地区、重点人群环境、饮用水、职业病监测预警，风险评估、分析干预和危害健康因素排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HIV抗体筛查人数占全市常住人口总数的比例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30.04%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艾滋病自愿咨询检测人数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6925人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8366人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HIV/AIDS随访及CD4检测比例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99.25%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开展各项培训，保障各县市区业务能力提升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重点传染病疫情处置率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bookmarkStart w:id="0" w:name="_GoBack" w:colFirst="3" w:colLast="8"/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资金规模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30万元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30万元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提升传染病疫情报告网络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逐步提升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逐步提升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病原学阳性肺结核患者密切接触者检查率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94.70%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艾滋病监测哨点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6个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6个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疟疾消除状态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持续保持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持续保持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受益人群满意度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　≥95%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≥95%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</w:docVars>
  <w:rsids>
    <w:rsidRoot w:val="7E91546D"/>
    <w:rsid w:val="02D420F7"/>
    <w:rsid w:val="07397B77"/>
    <w:rsid w:val="19D9134D"/>
    <w:rsid w:val="21260264"/>
    <w:rsid w:val="26505A20"/>
    <w:rsid w:val="2DC970BC"/>
    <w:rsid w:val="2F8729E0"/>
    <w:rsid w:val="34BA287F"/>
    <w:rsid w:val="3DEC4907"/>
    <w:rsid w:val="419B5433"/>
    <w:rsid w:val="41E541FB"/>
    <w:rsid w:val="468D31F7"/>
    <w:rsid w:val="4CCE0F3D"/>
    <w:rsid w:val="4E395C3D"/>
    <w:rsid w:val="4F61477C"/>
    <w:rsid w:val="543A565B"/>
    <w:rsid w:val="54DD4DE0"/>
    <w:rsid w:val="5E704F8F"/>
    <w:rsid w:val="5EB6652D"/>
    <w:rsid w:val="60DA15A2"/>
    <w:rsid w:val="63C51E4E"/>
    <w:rsid w:val="6840454C"/>
    <w:rsid w:val="68D45F8A"/>
    <w:rsid w:val="6C9E6F7E"/>
    <w:rsid w:val="6DEA3A70"/>
    <w:rsid w:val="70D07080"/>
    <w:rsid w:val="71D03EED"/>
    <w:rsid w:val="76B70EBF"/>
    <w:rsid w:val="78045895"/>
    <w:rsid w:val="79515ADE"/>
    <w:rsid w:val="7E9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正文 A"/>
    <w:qFormat/>
    <w:uiPriority w:val="2"/>
    <w:pPr>
      <w:widowControl w:val="0"/>
      <w:suppressAutoHyphens w:val="0"/>
      <w:bidi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1001</Words>
  <Characters>1092</Characters>
  <Lines>0</Lines>
  <Paragraphs>0</Paragraphs>
  <TotalTime>14</TotalTime>
  <ScaleCrop>false</ScaleCrop>
  <LinksUpToDate>false</LinksUpToDate>
  <CharactersWithSpaces>1212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2025-06-19T08:06:00Z</dcterms:created>
  <dc:creator>刘洋</dc:creator>
  <cp:lastModifiedBy>刘洋</cp:lastModifiedBy>
  <cp:lastPrinted>2025-06-26T06:48:29Z</cp:lastPrinted>
  <dcterms:modified xsi:type="dcterms:W3CDTF">2025-06-26T06:48:37Z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BA48E28AF41B4ABC980CAE19779E9AB1_13</vt:lpwstr>
  </property>
</Properties>
</file>