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岳阳市公安局交通警察支队</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岳阳市公安局交通警察支队</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岳阳市公安局交通警察支队</w:t>
      </w:r>
      <w:r>
        <w:rPr>
          <w:rFonts w:hint="eastAsia" w:ascii="方正小标宋_GBK" w:hAnsi="方正小标宋_GBK" w:eastAsia="方正小标宋_GBK" w:cs="方正小标宋_GBK"/>
          <w:sz w:val="84"/>
          <w:szCs w:val="84"/>
        </w:rPr>
        <w:t>概况</w:t>
      </w: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keepLines/>
        <w:shd w:val="clear" w:color="auto" w:fill="FFFFFF"/>
        <w:spacing w:beforeLines="0" w:afterLines="0"/>
        <w:ind w:firstLine="640" w:firstLineChars="200"/>
        <w:jc w:val="left"/>
        <w:rPr>
          <w:rFonts w:hint="eastAsia"/>
        </w:rPr>
      </w:pPr>
      <w:r>
        <w:rPr>
          <w:rFonts w:hint="eastAsia" w:ascii="Times New Roman" w:hAnsi="Times New Roman" w:eastAsia="仿宋_GB2312" w:cs="仿宋_GB2312"/>
          <w:sz w:val="32"/>
          <w:szCs w:val="32"/>
        </w:rPr>
        <w:t>（一）</w:t>
      </w:r>
      <w:r>
        <w:rPr>
          <w:rFonts w:hint="eastAsia" w:ascii="Times New Roman" w:hAnsi="Times New Roman" w:eastAsia="仿宋_GB2312" w:cs="黑体"/>
          <w:color w:val="000000"/>
          <w:kern w:val="0"/>
          <w:sz w:val="32"/>
          <w:szCs w:val="32"/>
          <w:lang w:val="en-US" w:eastAsia="zh-CN" w:bidi="ar-SA"/>
        </w:rPr>
        <w:t>指导全市城乡道路交通安全管理、交通安全宣传教育、交通指挥；负责维护城乡交通秩序，处理交通事故；负责预防、控制和打击涉车、涉路的违法犯罪；协同打击城乡非法营运的机动车辆；负责机动车辆管理和驾驶人管理工作；参与道路建设中的交通安全设施的规划、设置；负责重大警保卫任务交通管理以及静态交通管理。</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numPr>
          <w:ilvl w:val="0"/>
          <w:numId w:val="0"/>
        </w:numPr>
        <w:spacing w:line="600" w:lineRule="exact"/>
        <w:ind w:firstLine="640" w:firstLineChars="200"/>
        <w:rPr>
          <w:rFonts w:hint="eastAsia" w:ascii="宋体" w:hAnsi="宋体" w:eastAsia="宋体" w:cs="宋体"/>
          <w:sz w:val="32"/>
          <w:szCs w:val="32"/>
          <w:lang w:val="en-US" w:eastAsia="zh-CN"/>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岳阳市公安局交通警察支队</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黑体"/>
          <w:color w:val="000000"/>
          <w:kern w:val="0"/>
          <w:sz w:val="32"/>
          <w:szCs w:val="32"/>
          <w:lang w:val="en-US" w:eastAsia="zh-CN" w:bidi="ar-SA"/>
        </w:rPr>
        <w:t>岳阳市公安局交通警察支队为岳阳市公安局直属独立核算副处级二级机构，内设12个科所室、5个业务指导大队、9个勤务大队，包括：指挥调度管理大队、政工科、纪委（监察室）、工会、行政装备科、办公室、交通安全宣传教育科、交通秩序管理科、机动车驾驶人管理所、机动车辆管理所、交通违法处理大队、驾驶人考试中心、法制大队、道路交通设施管理大队、农村道路交通管理指导大队、交通事故预防处理指导大队、驾驶人交通违法教育管理大队、岳阳楼大队、白石岭大队、云溪大队、君山大队、城陵矶大队、南湖大队、新港区大队、公路巡逻警察大队、综合执法大队</w:t>
      </w:r>
      <w:r>
        <w:rPr>
          <w:rFonts w:hint="eastAsia" w:ascii="宋体" w:hAnsi="宋体" w:eastAsia="宋体" w:cs="宋体"/>
          <w:sz w:val="32"/>
          <w:szCs w:val="32"/>
          <w:lang w:val="en-US" w:eastAsia="zh-CN"/>
        </w:rPr>
        <w:t>。</w:t>
      </w:r>
    </w:p>
    <w:p>
      <w:pPr>
        <w:widowControl/>
        <w:spacing w:line="600" w:lineRule="exact"/>
        <w:ind w:firstLine="630" w:firstLineChars="300"/>
        <w:rPr>
          <w:rFonts w:hint="eastAsia"/>
        </w:rPr>
      </w:pPr>
    </w:p>
    <w:p>
      <w:pPr>
        <w:widowControl/>
        <w:numPr>
          <w:ilvl w:val="0"/>
          <w:numId w:val="0"/>
        </w:numPr>
        <w:spacing w:line="600" w:lineRule="exact"/>
        <w:ind w:firstLine="640" w:firstLineChars="200"/>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w:t>
      </w:r>
      <w:r>
        <w:rPr>
          <w:rFonts w:hint="eastAsia" w:ascii="Times New Roman" w:hAnsi="Times New Roman" w:eastAsia="仿宋_GB2312" w:cs="仿宋_GB2312"/>
          <w:bCs/>
          <w:kern w:val="0"/>
          <w:sz w:val="32"/>
          <w:szCs w:val="32"/>
          <w:lang w:val="en-US" w:eastAsia="zh-CN"/>
        </w:rPr>
        <w:t>2023年度部门决算汇总公开单位仅包括岳阳市公安局交通警察支队本级</w:t>
      </w:r>
      <w:r>
        <w:rPr>
          <w:rFonts w:hint="eastAsia" w:ascii="Times New Roman" w:hAnsi="Times New Roman" w:eastAsia="仿宋_GB2312" w:cs="仿宋_GB2312"/>
          <w:bCs/>
          <w:kern w:val="0"/>
          <w:sz w:val="32"/>
          <w:szCs w:val="32"/>
          <w:lang w:eastAsia="zh-CN"/>
        </w:rPr>
        <w:t>。</w:t>
      </w: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ind w:firstLine="640" w:firstLineChars="200"/>
        <w:rPr>
          <w:rFonts w:hint="eastAsia" w:ascii="仿宋_GB2312" w:hAnsi="仿宋_GB2312" w:eastAsia="仿宋_GB2312" w:cs="仿宋_GB2312"/>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20203.26</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3365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14.28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w:t>
      </w:r>
      <w:r>
        <w:rPr>
          <w:rFonts w:hint="eastAsia" w:ascii="仿宋_GB2312" w:hAnsi="仿宋_GB2312" w:eastAsia="仿宋_GB2312" w:cs="仿宋_GB2312"/>
          <w:sz w:val="32"/>
          <w:szCs w:val="32"/>
          <w:highlight w:val="none"/>
          <w:lang w:val="en-US" w:eastAsia="zh-CN"/>
        </w:rPr>
        <w:t>2022年财政拨付了智能交通项目建设资金，2023年无此项支出。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20156.88</w:t>
      </w:r>
      <w:r>
        <w:rPr>
          <w:rFonts w:hint="eastAsia" w:ascii="仿宋_GB2312" w:hAnsi="仿宋_GB2312" w:eastAsia="仿宋_GB2312" w:cs="仿宋_GB2312"/>
          <w:sz w:val="32"/>
          <w:szCs w:val="32"/>
        </w:rPr>
        <w:t>万元，其中：财政拨款收入20041.09万元，占</w:t>
      </w:r>
      <w:r>
        <w:rPr>
          <w:rFonts w:hint="eastAsia" w:ascii="仿宋_GB2312" w:hAnsi="仿宋_GB2312" w:eastAsia="仿宋_GB2312" w:cs="仿宋_GB2312"/>
          <w:sz w:val="32"/>
          <w:szCs w:val="32"/>
          <w:lang w:val="en-US" w:eastAsia="zh-CN"/>
        </w:rPr>
        <w:t>99.43</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115.79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0.57</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年度支出合计20156.88万元，其中：基本支出18229.1万元，占</w:t>
      </w:r>
      <w:r>
        <w:rPr>
          <w:rFonts w:hint="eastAsia" w:ascii="仿宋_GB2312" w:hAnsi="仿宋_GB2312" w:eastAsia="仿宋_GB2312" w:cs="仿宋_GB2312"/>
          <w:sz w:val="32"/>
          <w:szCs w:val="32"/>
          <w:lang w:val="en-US" w:eastAsia="zh-CN"/>
        </w:rPr>
        <w:t>90.44</w:t>
      </w:r>
      <w:r>
        <w:rPr>
          <w:rFonts w:hint="eastAsia" w:ascii="仿宋_GB2312" w:hAnsi="仿宋_GB2312" w:eastAsia="仿宋_GB2312" w:cs="仿宋_GB2312"/>
          <w:sz w:val="32"/>
          <w:szCs w:val="32"/>
        </w:rPr>
        <w:t>%；项目支出1927.78万元，占</w:t>
      </w:r>
      <w:r>
        <w:rPr>
          <w:rFonts w:hint="eastAsia" w:ascii="仿宋_GB2312" w:hAnsi="仿宋_GB2312" w:eastAsia="仿宋_GB2312" w:cs="仿宋_GB2312"/>
          <w:sz w:val="32"/>
          <w:szCs w:val="32"/>
          <w:lang w:val="en-US" w:eastAsia="zh-CN"/>
        </w:rPr>
        <w:t>9.56</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年度财政拨款收、支总计20041.09万元，与上年相比，减少</w:t>
      </w:r>
      <w:r>
        <w:rPr>
          <w:rFonts w:hint="eastAsia" w:ascii="仿宋_GB2312" w:hAnsi="仿宋_GB2312" w:eastAsia="仿宋_GB2312" w:cs="仿宋_GB2312"/>
          <w:sz w:val="32"/>
          <w:szCs w:val="32"/>
          <w:lang w:val="en-US" w:eastAsia="zh-CN"/>
        </w:rPr>
        <w:t>3027.88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13.13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2022年财政拨付了智能交通项目建设资金，2023年无此项支出。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年度财政拨款支出20041.09万元，占本年支出合计的</w:t>
      </w:r>
      <w:r>
        <w:rPr>
          <w:rFonts w:hint="eastAsia" w:ascii="仿宋_GB2312" w:hAnsi="仿宋_GB2312" w:eastAsia="仿宋_GB2312" w:cs="仿宋_GB2312"/>
          <w:sz w:val="32"/>
          <w:szCs w:val="32"/>
          <w:lang w:val="en-US" w:eastAsia="zh-CN"/>
        </w:rPr>
        <w:t>99.43</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3027.88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13.13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2023年财政未拨付智能交通项目建设资金。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（二）一般公共预算财政拨款支出决算结构情况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年度财政拨款支出</w:t>
      </w:r>
      <w:r>
        <w:rPr>
          <w:rFonts w:hint="eastAsia" w:ascii="仿宋_GB2312" w:hAnsi="仿宋_GB2312" w:eastAsia="仿宋_GB2312" w:cs="仿宋_GB2312"/>
          <w:sz w:val="32"/>
          <w:szCs w:val="32"/>
          <w:highlight w:val="none"/>
          <w:lang w:val="en-US" w:eastAsia="zh-CN"/>
        </w:rPr>
        <w:t>20041.09</w:t>
      </w:r>
      <w:r>
        <w:rPr>
          <w:rFonts w:hint="eastAsia" w:ascii="仿宋_GB2312" w:hAnsi="仿宋_GB2312" w:eastAsia="仿宋_GB2312" w:cs="仿宋_GB2312"/>
          <w:sz w:val="32"/>
          <w:szCs w:val="32"/>
          <w:highlight w:val="none"/>
        </w:rPr>
        <w:t>万元，主要用于以下方面：</w:t>
      </w:r>
      <w:r>
        <w:rPr>
          <w:rFonts w:hint="eastAsia" w:ascii="仿宋_GB2312" w:hAnsi="仿宋_GB2312" w:eastAsia="仿宋_GB2312" w:cs="仿宋_GB2312"/>
          <w:sz w:val="32"/>
          <w:szCs w:val="32"/>
          <w:highlight w:val="none"/>
          <w:lang w:val="en-US" w:eastAsia="zh-CN"/>
        </w:rPr>
        <w:t>公共安全支出18330.67万元，</w:t>
      </w:r>
      <w:r>
        <w:rPr>
          <w:rFonts w:hint="eastAsia" w:ascii="仿宋_GB2312" w:hAnsi="仿宋_GB2312" w:eastAsia="仿宋_GB2312" w:cs="仿宋_GB2312"/>
          <w:color w:val="auto"/>
          <w:sz w:val="32"/>
          <w:szCs w:val="32"/>
          <w:highlight w:val="none"/>
        </w:rPr>
        <w:t>占</w:t>
      </w:r>
      <w:r>
        <w:rPr>
          <w:rFonts w:hint="eastAsia" w:ascii="仿宋_GB2312" w:hAnsi="仿宋_GB2312" w:eastAsia="仿宋_GB2312" w:cs="仿宋_GB2312"/>
          <w:color w:val="auto"/>
          <w:sz w:val="32"/>
          <w:szCs w:val="32"/>
          <w:highlight w:val="none"/>
          <w:lang w:val="en-US" w:eastAsia="zh-CN"/>
        </w:rPr>
        <w:t>91.46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z w:val="32"/>
          <w:szCs w:val="32"/>
          <w:highlight w:val="none"/>
          <w:lang w:eastAsia="zh-CN"/>
        </w:rPr>
        <w:t>；社会保障和就业支出554.85</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2.77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；卫生健康支出430.46</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2.15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；城乡社区支出259.78</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1.3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；住房保障支出465.32</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2.32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FF0000"/>
          <w:sz w:val="32"/>
          <w:szCs w:val="32"/>
        </w:rPr>
      </w:pP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年度财政拨款支出年初预算数为</w:t>
      </w:r>
      <w:r>
        <w:rPr>
          <w:rFonts w:hint="eastAsia" w:ascii="仿宋_GB2312" w:hAnsi="仿宋_GB2312" w:eastAsia="仿宋_GB2312" w:cs="仿宋_GB2312"/>
          <w:sz w:val="32"/>
          <w:szCs w:val="32"/>
          <w:highlight w:val="none"/>
          <w:lang w:val="en-US" w:eastAsia="zh-CN"/>
        </w:rPr>
        <w:t>19332.71</w:t>
      </w:r>
      <w:r>
        <w:rPr>
          <w:rFonts w:hint="eastAsia" w:ascii="仿宋_GB2312" w:hAnsi="仿宋_GB2312" w:eastAsia="仿宋_GB2312" w:cs="仿宋_GB2312"/>
          <w:sz w:val="32"/>
          <w:szCs w:val="32"/>
          <w:highlight w:val="none"/>
        </w:rPr>
        <w:t>万元，支出决算数为</w:t>
      </w:r>
      <w:r>
        <w:rPr>
          <w:rFonts w:hint="eastAsia" w:ascii="仿宋_GB2312" w:hAnsi="仿宋_GB2312" w:eastAsia="仿宋_GB2312" w:cs="仿宋_GB2312"/>
          <w:sz w:val="32"/>
          <w:szCs w:val="32"/>
          <w:highlight w:val="none"/>
          <w:lang w:val="en-US" w:eastAsia="zh-CN"/>
        </w:rPr>
        <w:t>20041.09</w:t>
      </w:r>
      <w:r>
        <w:rPr>
          <w:rFonts w:hint="eastAsia" w:ascii="仿宋_GB2312" w:hAnsi="仿宋_GB2312" w:eastAsia="仿宋_GB2312" w:cs="仿宋_GB2312"/>
          <w:sz w:val="32"/>
          <w:szCs w:val="32"/>
          <w:highlight w:val="none"/>
        </w:rPr>
        <w:t>万元，完成年初预算的</w:t>
      </w:r>
      <w:r>
        <w:rPr>
          <w:rFonts w:hint="eastAsia" w:ascii="仿宋_GB2312" w:hAnsi="仿宋_GB2312" w:eastAsia="仿宋_GB2312" w:cs="仿宋_GB2312"/>
          <w:sz w:val="32"/>
          <w:szCs w:val="32"/>
          <w:highlight w:val="none"/>
          <w:lang w:val="en-US" w:eastAsia="zh-CN"/>
        </w:rPr>
        <w:t>103.66</w:t>
      </w:r>
      <w:r>
        <w:rPr>
          <w:rFonts w:hint="eastAsia" w:ascii="仿宋_GB2312" w:hAnsi="仿宋_GB2312" w:eastAsia="仿宋_GB2312" w:cs="仿宋_GB2312"/>
          <w:sz w:val="32"/>
          <w:szCs w:val="32"/>
          <w:highlight w:val="none"/>
        </w:rPr>
        <w:t>%，其中：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Times New Roman" w:hAnsi="Times New Roman" w:eastAsia="仿宋_GB2312"/>
          <w:sz w:val="32"/>
          <w:szCs w:val="32"/>
          <w:highlight w:val="none"/>
        </w:rPr>
        <w:t>1、</w:t>
      </w:r>
      <w:r>
        <w:rPr>
          <w:rFonts w:hint="eastAsia" w:ascii="Times New Roman" w:hAnsi="Times New Roman" w:eastAsia="仿宋_GB2312"/>
          <w:sz w:val="32"/>
          <w:szCs w:val="32"/>
          <w:highlight w:val="none"/>
          <w:lang w:val="en-US" w:eastAsia="zh-CN"/>
        </w:rPr>
        <w:t>公共安全支出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val="en-US" w:eastAsia="zh-CN"/>
        </w:rPr>
        <w:t>公安</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val="en-US" w:eastAsia="zh-CN"/>
        </w:rPr>
        <w:t>行政运行</w:t>
      </w:r>
      <w:r>
        <w:rPr>
          <w:rFonts w:hint="eastAsia" w:ascii="Times New Roman" w:hAnsi="Times New Roman" w:eastAsia="仿宋_GB2312"/>
          <w:sz w:val="32"/>
          <w:szCs w:val="32"/>
          <w:highlight w:val="none"/>
        </w:rPr>
        <w:t>（项）</w:t>
      </w:r>
      <w:r>
        <w:rPr>
          <w:rFonts w:hint="eastAsia" w:ascii="仿宋_GB2312" w:hAnsi="仿宋_GB2312" w:eastAsia="仿宋_GB2312" w:cs="仿宋_GB2312"/>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年初预算为</w:t>
      </w:r>
      <w:r>
        <w:rPr>
          <w:rFonts w:hint="eastAsia" w:ascii="仿宋_GB2312" w:hAnsi="仿宋_GB2312" w:eastAsia="仿宋_GB2312" w:cs="仿宋_GB2312"/>
          <w:sz w:val="32"/>
          <w:szCs w:val="32"/>
          <w:highlight w:val="none"/>
          <w:lang w:val="en-US" w:eastAsia="zh-CN"/>
        </w:rPr>
        <w:t>6926.34</w:t>
      </w:r>
      <w:r>
        <w:rPr>
          <w:rFonts w:hint="eastAsia" w:ascii="仿宋_GB2312" w:hAnsi="仿宋_GB2312" w:eastAsia="仿宋_GB2312" w:cs="仿宋_GB2312"/>
          <w:sz w:val="32"/>
          <w:szCs w:val="32"/>
          <w:highlight w:val="none"/>
        </w:rPr>
        <w:t>万元，支出决算为10440.72万元，完成年初预算的</w:t>
      </w:r>
      <w:r>
        <w:rPr>
          <w:rFonts w:hint="eastAsia" w:ascii="仿宋_GB2312" w:hAnsi="仿宋_GB2312" w:eastAsia="仿宋_GB2312" w:cs="仿宋_GB2312"/>
          <w:sz w:val="32"/>
          <w:szCs w:val="32"/>
          <w:highlight w:val="none"/>
          <w:lang w:val="en-US" w:eastAsia="zh-CN"/>
        </w:rPr>
        <w:t>150.74</w:t>
      </w:r>
      <w:r>
        <w:rPr>
          <w:rFonts w:hint="eastAsia" w:ascii="仿宋_GB2312" w:hAnsi="仿宋_GB2312" w:eastAsia="仿宋_GB2312" w:cs="仿宋_GB2312"/>
          <w:sz w:val="32"/>
          <w:szCs w:val="32"/>
          <w:highlight w:val="none"/>
        </w:rPr>
        <w:t>%，决算数大于年初预算数的主要原因是：</w:t>
      </w:r>
      <w:r>
        <w:rPr>
          <w:rFonts w:hint="eastAsia" w:ascii="仿宋_GB2312" w:hAnsi="仿宋_GB2312" w:eastAsia="仿宋_GB2312" w:cs="仿宋_GB2312"/>
          <w:sz w:val="32"/>
          <w:szCs w:val="32"/>
          <w:highlight w:val="none"/>
          <w:lang w:val="en-US" w:eastAsia="zh-CN"/>
        </w:rPr>
        <w:t>财政后期追加。</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Times New Roman" w:hAnsi="Times New Roman" w:eastAsia="仿宋_GB2312"/>
          <w:sz w:val="32"/>
          <w:szCs w:val="32"/>
          <w:highlight w:val="none"/>
        </w:rPr>
        <w:t>2、</w:t>
      </w:r>
      <w:r>
        <w:rPr>
          <w:rFonts w:hint="eastAsia" w:ascii="Times New Roman" w:hAnsi="Times New Roman" w:eastAsia="仿宋_GB2312"/>
          <w:sz w:val="32"/>
          <w:szCs w:val="32"/>
          <w:highlight w:val="none"/>
          <w:lang w:val="en-US" w:eastAsia="zh-CN"/>
        </w:rPr>
        <w:t>公共安全支出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val="en-US" w:eastAsia="zh-CN"/>
        </w:rPr>
        <w:t>公安</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val="en-US" w:eastAsia="zh-CN"/>
        </w:rPr>
        <w:t>一般行政管理事务</w:t>
      </w:r>
      <w:r>
        <w:rPr>
          <w:rFonts w:hint="eastAsia" w:ascii="Times New Roman" w:hAnsi="Times New Roman" w:eastAsia="仿宋_GB2312"/>
          <w:sz w:val="32"/>
          <w:szCs w:val="32"/>
          <w:highlight w:val="none"/>
        </w:rPr>
        <w:t>（项）</w:t>
      </w:r>
      <w:r>
        <w:rPr>
          <w:rFonts w:hint="eastAsia" w:ascii="仿宋_GB2312" w:hAnsi="仿宋_GB2312" w:eastAsia="仿宋_GB2312" w:cs="仿宋_GB2312"/>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年初预算为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万元，支出决算为831.02万元，决算数大于年初预算数的主要原因是：</w:t>
      </w:r>
      <w:r>
        <w:rPr>
          <w:rFonts w:hint="eastAsia" w:ascii="仿宋_GB2312" w:hAnsi="仿宋_GB2312" w:eastAsia="仿宋_GB2312" w:cs="仿宋_GB2312"/>
          <w:sz w:val="32"/>
          <w:szCs w:val="32"/>
          <w:highlight w:val="none"/>
          <w:lang w:val="en-US" w:eastAsia="zh-CN"/>
        </w:rPr>
        <w:t>财政后期追加转移支付资金等。</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3、公共安全支出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val="en-US" w:eastAsia="zh-CN"/>
        </w:rPr>
        <w:t>公安</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val="en-US" w:eastAsia="zh-CN"/>
        </w:rPr>
        <w:t>执法办案</w:t>
      </w:r>
      <w:r>
        <w:rPr>
          <w:rFonts w:hint="eastAsia" w:ascii="Times New Roman" w:hAnsi="Times New Roman" w:eastAsia="仿宋_GB2312"/>
          <w:sz w:val="32"/>
          <w:szCs w:val="32"/>
          <w:highlight w:val="none"/>
        </w:rPr>
        <w:t>（项</w:t>
      </w:r>
      <w:r>
        <w:rPr>
          <w:rFonts w:hint="eastAsia" w:ascii="Times New Roman" w:hAnsi="Times New Roman" w:eastAsia="仿宋_GB2312"/>
          <w:sz w:val="32"/>
          <w:szCs w:val="32"/>
          <w:highlight w:val="none"/>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10885.13</w:t>
      </w:r>
      <w:r>
        <w:rPr>
          <w:rFonts w:hint="eastAsia" w:ascii="Times New Roman" w:hAnsi="Times New Roman" w:eastAsia="仿宋_GB2312"/>
          <w:sz w:val="32"/>
          <w:szCs w:val="32"/>
          <w:highlight w:val="none"/>
        </w:rPr>
        <w:t>万元，支出决算为6822.96万元，</w:t>
      </w:r>
      <w:r>
        <w:rPr>
          <w:rFonts w:hint="eastAsia" w:ascii="Times New Roman" w:hAnsi="Times New Roman" w:eastAsia="仿宋_GB2312"/>
          <w:sz w:val="32"/>
          <w:szCs w:val="32"/>
          <w:highlight w:val="none"/>
          <w:lang w:val="en-US" w:eastAsia="zh-CN"/>
        </w:rPr>
        <w:t>完成了年初预算数的62.68%，</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小</w:t>
      </w:r>
      <w:r>
        <w:rPr>
          <w:rFonts w:hint="eastAsia" w:ascii="Times New Roman" w:hAnsi="Times New Roman" w:eastAsia="仿宋_GB2312"/>
          <w:sz w:val="32"/>
          <w:szCs w:val="32"/>
          <w:highlight w:val="none"/>
        </w:rPr>
        <w:t>于年初预算数的主要原因是：</w:t>
      </w:r>
      <w:r>
        <w:rPr>
          <w:rFonts w:hint="eastAsia" w:ascii="Times New Roman" w:hAnsi="Times New Roman" w:eastAsia="仿宋_GB2312"/>
          <w:sz w:val="32"/>
          <w:szCs w:val="32"/>
          <w:highlight w:val="none"/>
          <w:lang w:val="en-US" w:eastAsia="zh-CN"/>
        </w:rPr>
        <w:t>年初预算中的办案费、非税收入征收成本以及智能交通建设款（审批专项）未下达。</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4、公共安全支出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val="en-US" w:eastAsia="zh-CN"/>
        </w:rPr>
        <w:t>公安</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val="en-US" w:eastAsia="zh-CN"/>
        </w:rPr>
        <w:t>其他公安支出</w:t>
      </w:r>
      <w:r>
        <w:rPr>
          <w:rFonts w:hint="eastAsia" w:ascii="Times New Roman" w:hAnsi="Times New Roman" w:eastAsia="仿宋_GB2312"/>
          <w:sz w:val="32"/>
          <w:szCs w:val="32"/>
          <w:highlight w:val="none"/>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220.85</w:t>
      </w:r>
      <w:r>
        <w:rPr>
          <w:rFonts w:hint="eastAsia" w:ascii="Times New Roman" w:hAnsi="Times New Roman" w:eastAsia="仿宋_GB2312"/>
          <w:color w:val="auto"/>
          <w:sz w:val="32"/>
          <w:szCs w:val="32"/>
          <w:highlight w:val="none"/>
        </w:rPr>
        <w:t>万元，决算数大于年初预算数的主要原因是：</w:t>
      </w:r>
      <w:r>
        <w:rPr>
          <w:rFonts w:hint="eastAsia" w:ascii="Times New Roman" w:hAnsi="Times New Roman" w:eastAsia="仿宋_GB2312"/>
          <w:color w:val="auto"/>
          <w:sz w:val="32"/>
          <w:szCs w:val="32"/>
          <w:highlight w:val="none"/>
          <w:lang w:val="en-US" w:eastAsia="zh-CN"/>
        </w:rPr>
        <w:t>财政后期其他资金以及上年结余结转资金等。</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5、公共安全支出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val="en-US" w:eastAsia="zh-CN"/>
        </w:rPr>
        <w:t>其他公共安全支出</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val="en-US" w:eastAsia="zh-CN"/>
        </w:rPr>
        <w:t>其他公共安全支出</w:t>
      </w:r>
      <w:r>
        <w:rPr>
          <w:rFonts w:hint="eastAsia" w:ascii="Times New Roman" w:hAnsi="Times New Roman" w:eastAsia="仿宋_GB2312"/>
          <w:sz w:val="32"/>
          <w:szCs w:val="32"/>
          <w:highlight w:val="none"/>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万元，支出决算为15.12万元，决算数大于年初预算数的主要原因是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财政下达上年单位指标结余结转资金等。</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6、社会保障和就业支出（类）抚恤（款）其他优抚支出（项）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万元，支出决算为56.89万元，决算数大于年初预算数的主要原因是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财政预算追加及下达上年单位指标结余结转资金等。</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7、城乡社区支出（类）城乡社区规划与管理（款）城乡社区规划与管理（项）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万元，支出决算为259.78万元，决算数大于年初预算数的主要原因是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财政预算追加及下达上年单位指标结余结转资金等。</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年度财政拨款基本支出18113.31万元，其中：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8982.47万元，占基本支出的</w:t>
      </w:r>
      <w:r>
        <w:rPr>
          <w:rFonts w:hint="eastAsia" w:ascii="仿宋_GB2312" w:hAnsi="仿宋_GB2312" w:eastAsia="仿宋_GB2312" w:cs="仿宋_GB2312"/>
          <w:sz w:val="32"/>
          <w:szCs w:val="32"/>
          <w:lang w:val="en-US" w:eastAsia="zh-CN"/>
        </w:rPr>
        <w:t>49.59</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主要包括基本工资、津贴补贴、</w:t>
      </w:r>
      <w:r>
        <w:rPr>
          <w:rFonts w:hint="eastAsia" w:ascii="Times New Roman" w:hAnsi="Times New Roman" w:eastAsia="仿宋_GB2312"/>
          <w:b w:val="0"/>
          <w:bCs w:val="0"/>
          <w:sz w:val="32"/>
          <w:szCs w:val="32"/>
          <w:lang w:val="en-US" w:eastAsia="zh-CN"/>
        </w:rPr>
        <w:t>奖金</w:t>
      </w:r>
      <w:r>
        <w:rPr>
          <w:rFonts w:hint="eastAsia" w:ascii="Times New Roman" w:hAnsi="Times New Roman" w:eastAsia="仿宋_GB2312"/>
          <w:sz w:val="32"/>
          <w:szCs w:val="32"/>
        </w:rPr>
        <w:t>、伙食补助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机关事业单位养老保险缴费、职工基本医疗缴费、其他社会保障缴费、住房公积金等</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9130.84万元，占基本支出的</w:t>
      </w:r>
      <w:r>
        <w:rPr>
          <w:rFonts w:hint="eastAsia" w:ascii="仿宋_GB2312" w:hAnsi="仿宋_GB2312" w:eastAsia="仿宋_GB2312" w:cs="仿宋_GB2312"/>
          <w:sz w:val="32"/>
          <w:szCs w:val="32"/>
          <w:lang w:val="en-US" w:eastAsia="zh-CN"/>
        </w:rPr>
        <w:t>50.41</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主要包括办公费、印刷费、</w:t>
      </w:r>
      <w:r>
        <w:rPr>
          <w:rFonts w:hint="eastAsia" w:ascii="Times New Roman" w:hAnsi="Times New Roman" w:eastAsia="仿宋_GB2312"/>
          <w:sz w:val="32"/>
          <w:szCs w:val="32"/>
          <w:highlight w:val="none"/>
        </w:rPr>
        <w:t>咨询费、手续费</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差旅费、水电费、物业费、维修费、劳务费（辅警工资福利支出）、专用材料费（号牌工本费）、委托业务费（涉案车辆保管费、司法鉴定）、工会经费、公务用车运行维护费及其他交通费、其他商品服务支出等（道路交通设施维护、宣传及办案等）</w:t>
      </w:r>
      <w:r>
        <w:rPr>
          <w:rFonts w:hint="eastAsia" w:ascii="Times New Roman" w:hAnsi="Times New Roman" w:eastAsia="仿宋_GB2312"/>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i w:val="0"/>
          <w:iCs/>
          <w:color w:val="auto"/>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700</w:t>
      </w:r>
      <w:r>
        <w:rPr>
          <w:rFonts w:hint="eastAsia" w:ascii="仿宋_GB2312" w:hAnsi="仿宋_GB2312" w:eastAsia="仿宋_GB2312" w:cs="仿宋_GB2312"/>
          <w:sz w:val="32"/>
          <w:szCs w:val="32"/>
        </w:rPr>
        <w:t>万元，支出决算为506.05万元，完成预算的</w:t>
      </w:r>
      <w:r>
        <w:rPr>
          <w:rFonts w:hint="eastAsia" w:ascii="仿宋_GB2312" w:hAnsi="仿宋_GB2312" w:eastAsia="仿宋_GB2312" w:cs="仿宋_GB2312"/>
          <w:sz w:val="32"/>
          <w:szCs w:val="32"/>
          <w:lang w:val="en-US" w:eastAsia="zh-CN"/>
        </w:rPr>
        <w:t>72.29</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厉行节约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规范管理，严格预算执行。</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15.55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3.17</w:t>
      </w:r>
      <w:r>
        <w:rPr>
          <w:rFonts w:hint="eastAsia" w:ascii="仿宋_GB2312" w:hAnsi="仿宋_GB2312" w:eastAsia="仿宋_GB2312" w:cs="仿宋_GB2312"/>
          <w:sz w:val="32"/>
          <w:szCs w:val="32"/>
        </w:rPr>
        <w:t>%,增长的主要原因是</w:t>
      </w:r>
      <w:r>
        <w:rPr>
          <w:rFonts w:hint="eastAsia" w:ascii="仿宋_GB2312" w:hAnsi="仿宋_GB2312" w:eastAsia="仿宋_GB2312" w:cs="仿宋_GB2312"/>
          <w:sz w:val="32"/>
          <w:szCs w:val="32"/>
          <w:lang w:val="en-US" w:eastAsia="zh-CN"/>
        </w:rPr>
        <w:t>购置了执行执法车辆</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b w:val="0"/>
          <w:bCs/>
          <w:color w:val="auto"/>
          <w:kern w:val="0"/>
          <w:sz w:val="32"/>
          <w:szCs w:val="32"/>
          <w:lang w:val="en-US" w:eastAsia="zh-CN" w:bidi="ar-SA"/>
        </w:rPr>
        <w:t>严格执行中央八项规定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与上年相比增加</w:t>
      </w:r>
      <w:r>
        <w:rPr>
          <w:rFonts w:hint="eastAsia" w:ascii="仿宋_GB2312" w:hAnsi="仿宋_GB2312" w:eastAsia="仿宋_GB2312" w:cs="仿宋_GB2312"/>
          <w:sz w:val="32"/>
          <w:szCs w:val="32"/>
          <w:highlight w:val="none"/>
          <w:lang w:val="en-US" w:eastAsia="zh-CN"/>
        </w:rPr>
        <w:t>1.44</w:t>
      </w:r>
      <w:r>
        <w:rPr>
          <w:rFonts w:hint="eastAsia" w:ascii="仿宋_GB2312" w:hAnsi="仿宋_GB2312" w:eastAsia="仿宋_GB2312" w:cs="仿宋_GB2312"/>
          <w:sz w:val="32"/>
          <w:szCs w:val="32"/>
          <w:highlight w:val="none"/>
        </w:rPr>
        <w:t>万元,增长的主要原因是</w:t>
      </w:r>
      <w:r>
        <w:rPr>
          <w:rFonts w:hint="eastAsia" w:ascii="仿宋_GB2312" w:hAnsi="仿宋_GB2312" w:eastAsia="仿宋_GB2312" w:cs="仿宋_GB2312"/>
          <w:sz w:val="32"/>
          <w:szCs w:val="32"/>
          <w:highlight w:val="none"/>
          <w:lang w:val="en-US" w:eastAsia="zh-CN"/>
        </w:rPr>
        <w:t>2022年没有进行公务接待，2023年</w:t>
      </w:r>
      <w:r>
        <w:rPr>
          <w:rFonts w:hint="eastAsia" w:ascii="仿宋_GB2312" w:hAnsi="仿宋_GB2312" w:eastAsia="仿宋_GB2312" w:cs="仿宋_GB2312"/>
          <w:sz w:val="32"/>
          <w:szCs w:val="32"/>
        </w:rPr>
        <w:t>接待来访团组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color w:val="FF0000"/>
          <w:kern w:val="0"/>
          <w:sz w:val="32"/>
          <w:szCs w:val="32"/>
          <w:lang w:val="en-US" w:eastAsia="zh-CN" w:bidi="ar-SA"/>
        </w:rPr>
        <w:t xml:space="preserve"> </w:t>
      </w: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239.49</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79.83</w:t>
      </w:r>
      <w:r>
        <w:rPr>
          <w:rFonts w:hint="eastAsia" w:ascii="仿宋_GB2312" w:hAnsi="仿宋_GB2312" w:eastAsia="仿宋_GB2312" w:cs="仿宋_GB2312"/>
          <w:sz w:val="32"/>
          <w:szCs w:val="32"/>
        </w:rPr>
        <w:t>%，决算数小于预算数的主要原因是</w:t>
      </w:r>
      <w:r>
        <w:rPr>
          <w:rFonts w:hint="eastAsia" w:ascii="Times New Roman" w:hAnsi="Times New Roman" w:eastAsia="仿宋_GB2312"/>
          <w:sz w:val="32"/>
          <w:szCs w:val="32"/>
          <w:lang w:val="en-US" w:eastAsia="zh-CN"/>
        </w:rPr>
        <w:t>2023年新增车辆一批</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根据合同支付部分车款，</w:t>
      </w:r>
      <w:r>
        <w:rPr>
          <w:rFonts w:hint="eastAsia" w:ascii="仿宋_GB2312" w:hAnsi="仿宋_GB2312" w:eastAsia="仿宋_GB2312" w:cs="仿宋_GB2312"/>
          <w:sz w:val="32"/>
          <w:szCs w:val="32"/>
        </w:rPr>
        <w:t>与上年相比增加</w:t>
      </w:r>
      <w:r>
        <w:rPr>
          <w:rFonts w:hint="eastAsia" w:ascii="仿宋_GB2312" w:hAnsi="仿宋_GB2312" w:eastAsia="仿宋_GB2312" w:cs="仿宋_GB2312"/>
          <w:sz w:val="32"/>
          <w:szCs w:val="32"/>
          <w:lang w:val="en-US" w:eastAsia="zh-CN"/>
        </w:rPr>
        <w:t>69.99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41.29</w:t>
      </w:r>
      <w:r>
        <w:rPr>
          <w:rFonts w:hint="eastAsia" w:ascii="仿宋_GB2312" w:hAnsi="仿宋_GB2312" w:eastAsia="仿宋_GB2312" w:cs="仿宋_GB2312"/>
          <w:sz w:val="32"/>
          <w:szCs w:val="32"/>
        </w:rPr>
        <w:t>%,增长的主要原因是</w:t>
      </w:r>
      <w:r>
        <w:rPr>
          <w:rFonts w:hint="eastAsia" w:ascii="Times New Roman" w:hAnsi="Times New Roman" w:eastAsia="仿宋_GB2312"/>
          <w:sz w:val="32"/>
          <w:szCs w:val="32"/>
          <w:lang w:val="en-US" w:eastAsia="zh-CN"/>
        </w:rPr>
        <w:t>支队新购车辆一批</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394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265.12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67.29</w:t>
      </w:r>
      <w:r>
        <w:rPr>
          <w:rFonts w:hint="eastAsia" w:ascii="仿宋_GB2312" w:hAnsi="仿宋_GB2312" w:eastAsia="仿宋_GB2312" w:cs="仿宋_GB2312"/>
          <w:sz w:val="32"/>
          <w:szCs w:val="32"/>
        </w:rPr>
        <w:t>%，决算数小于预算数的主要原因是</w:t>
      </w:r>
      <w:r>
        <w:rPr>
          <w:rFonts w:hint="eastAsia" w:ascii="Times New Roman" w:hAnsi="Times New Roman" w:eastAsia="仿宋_GB2312"/>
          <w:sz w:val="32"/>
          <w:szCs w:val="32"/>
          <w:lang w:val="en-US" w:eastAsia="zh-CN"/>
        </w:rPr>
        <w:t>厉行节约，严格控制公务用车</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55.88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17.41</w:t>
      </w:r>
      <w:r>
        <w:rPr>
          <w:rFonts w:hint="eastAsia" w:ascii="仿宋_GB2312" w:hAnsi="仿宋_GB2312" w:eastAsia="仿宋_GB2312" w:cs="仿宋_GB2312"/>
          <w:sz w:val="32"/>
          <w:szCs w:val="32"/>
        </w:rPr>
        <w:t>%,减少的主要原因</w:t>
      </w:r>
      <w:r>
        <w:rPr>
          <w:rFonts w:hint="eastAsia" w:ascii="仿宋_GB2312" w:hAnsi="仿宋_GB2312" w:eastAsia="仿宋_GB2312" w:cs="仿宋_GB2312"/>
          <w:sz w:val="32"/>
          <w:szCs w:val="32"/>
          <w:lang w:val="en-US" w:eastAsia="zh-CN"/>
        </w:rPr>
        <w:t>一是</w:t>
      </w:r>
      <w:r>
        <w:rPr>
          <w:rFonts w:hint="eastAsia" w:ascii="Times New Roman" w:hAnsi="Times New Roman" w:eastAsia="仿宋_GB2312"/>
          <w:sz w:val="32"/>
          <w:szCs w:val="32"/>
          <w:lang w:val="en-US" w:eastAsia="zh-CN"/>
        </w:rPr>
        <w:t>厉行节约，严格控制公务用车；二是部分车辆维修款结算有时间差。</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0.28</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504.61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99.72</w:t>
      </w:r>
      <w:r>
        <w:rPr>
          <w:rFonts w:hint="eastAsia" w:ascii="仿宋_GB2312" w:hAnsi="仿宋_GB2312" w:eastAsia="仿宋_GB2312" w:cs="仿宋_GB2312"/>
          <w:sz w:val="32"/>
          <w:szCs w:val="32"/>
        </w:rPr>
        <w:t>%。其中：</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1、因公出国（境）费支出决算为0万元，全年安排因公出国（境）团组0个，累计0人次，我单位2023年度无因公出国（境）费支出。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highlight w:val="none"/>
        </w:rPr>
        <w:t>来宾</w:t>
      </w:r>
      <w:r>
        <w:rPr>
          <w:rFonts w:hint="eastAsia" w:ascii="仿宋_GB2312" w:hAnsi="仿宋_GB2312" w:eastAsia="仿宋_GB2312" w:cs="仿宋_GB2312"/>
          <w:sz w:val="32"/>
          <w:szCs w:val="32"/>
          <w:highlight w:val="none"/>
          <w:lang w:val="en-US" w:eastAsia="zh-CN"/>
        </w:rPr>
        <w:t>77</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val="en-US" w:eastAsia="zh-CN"/>
        </w:rPr>
        <w:t>湖南省公安厅交通警察总队调研考察</w:t>
      </w:r>
      <w:r>
        <w:rPr>
          <w:rFonts w:hint="eastAsia" w:ascii="仿宋_GB2312" w:hAnsi="仿宋_GB2312" w:eastAsia="仿宋_GB2312" w:cs="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504.61</w:t>
      </w:r>
      <w:r>
        <w:rPr>
          <w:rFonts w:hint="eastAsia" w:ascii="仿宋_GB2312" w:hAnsi="仿宋_GB2312" w:eastAsia="仿宋_GB2312" w:cs="仿宋_GB2312"/>
          <w:sz w:val="32"/>
          <w:szCs w:val="32"/>
        </w:rPr>
        <w:t>万元，其中：公务用车购置费239.49万元，</w:t>
      </w:r>
      <w:r>
        <w:rPr>
          <w:rFonts w:hint="eastAsia" w:ascii="仿宋_GB2312" w:hAnsi="仿宋_GB2312" w:eastAsia="仿宋_GB2312" w:cs="仿宋_GB2312"/>
          <w:sz w:val="32"/>
          <w:szCs w:val="32"/>
          <w:lang w:val="en-US" w:eastAsia="zh-CN"/>
        </w:rPr>
        <w:t>单位本级及各直属单位</w:t>
      </w:r>
      <w:r>
        <w:rPr>
          <w:rFonts w:hint="eastAsia" w:ascii="仿宋_GB2312" w:hAnsi="仿宋_GB2312" w:eastAsia="仿宋_GB2312" w:cs="仿宋_GB2312"/>
          <w:sz w:val="32"/>
          <w:szCs w:val="32"/>
        </w:rPr>
        <w:t>更新公务用车</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报废7台</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公务用车运行维护费265.12万元，主要是</w:t>
      </w:r>
      <w:r>
        <w:rPr>
          <w:rFonts w:hint="eastAsia" w:ascii="Times New Roman" w:hAnsi="Times New Roman" w:eastAsia="仿宋_GB2312"/>
          <w:sz w:val="32"/>
          <w:szCs w:val="32"/>
          <w:lang w:val="en-US" w:eastAsia="zh-CN"/>
        </w:rPr>
        <w:t>公务用车日常运行及维护等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highlight w:val="none"/>
        </w:rPr>
        <w:t>我单位开支财政拨款的公务用车保有量为</w:t>
      </w:r>
      <w:r>
        <w:rPr>
          <w:rFonts w:hint="eastAsia" w:ascii="仿宋_GB2312" w:hAnsi="仿宋_GB2312" w:eastAsia="仿宋_GB2312" w:cs="仿宋_GB2312"/>
          <w:sz w:val="32"/>
          <w:szCs w:val="32"/>
          <w:highlight w:val="none"/>
          <w:lang w:val="en-US" w:eastAsia="zh-CN"/>
        </w:rPr>
        <w:t>97</w:t>
      </w:r>
      <w:r>
        <w:rPr>
          <w:rFonts w:hint="eastAsia" w:ascii="仿宋_GB2312" w:hAnsi="仿宋_GB2312" w:eastAsia="仿宋_GB2312" w:cs="仿宋_GB2312"/>
          <w:sz w:val="32"/>
          <w:szCs w:val="32"/>
          <w:highlight w:val="none"/>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年度机关运行经费支出9130.84万元，比上年决算数增加</w:t>
      </w:r>
      <w:r>
        <w:rPr>
          <w:rFonts w:hint="eastAsia" w:ascii="仿宋_GB2312" w:hAnsi="仿宋_GB2312" w:eastAsia="仿宋_GB2312" w:cs="仿宋_GB2312"/>
          <w:sz w:val="32"/>
          <w:szCs w:val="32"/>
          <w:lang w:val="en-US" w:eastAsia="zh-CN"/>
        </w:rPr>
        <w:t>31.67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0.35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日常结算差异。</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年度，会议费年初预算0万元，支出决算为1.85万元，决算数大于年初预算数的主要原因是召开了顽瘴痼疾会议，</w:t>
      </w:r>
      <w:r>
        <w:rPr>
          <w:rFonts w:hint="eastAsia" w:ascii="仿宋_GB2312" w:hAnsi="仿宋_GB2312" w:eastAsia="仿宋_GB2312" w:cs="仿宋_GB2312"/>
          <w:sz w:val="32"/>
          <w:szCs w:val="32"/>
          <w:highlight w:val="none"/>
        </w:rPr>
        <w:t>人数</w:t>
      </w:r>
      <w:r>
        <w:rPr>
          <w:rFonts w:hint="eastAsia" w:ascii="仿宋_GB2312" w:hAnsi="仿宋_GB2312" w:eastAsia="仿宋_GB2312" w:cs="仿宋_GB2312"/>
          <w:sz w:val="32"/>
          <w:szCs w:val="32"/>
          <w:highlight w:val="none"/>
          <w:lang w:val="en-US" w:eastAsia="zh-CN"/>
        </w:rPr>
        <w:t>185</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rPr>
        <w:t>内容为</w:t>
      </w:r>
      <w:r>
        <w:rPr>
          <w:rFonts w:hint="eastAsia" w:ascii="仿宋_GB2312" w:hAnsi="仿宋_GB2312" w:eastAsia="仿宋_GB2312" w:cs="仿宋_GB2312"/>
          <w:sz w:val="32"/>
          <w:szCs w:val="32"/>
          <w:lang w:val="en-US" w:eastAsia="zh-CN"/>
        </w:rPr>
        <w:t>顽瘴痼疾集中整治行动会议</w:t>
      </w:r>
      <w:r>
        <w:rPr>
          <w:rFonts w:hint="eastAsia" w:ascii="仿宋_GB2312" w:hAnsi="仿宋_GB2312" w:eastAsia="仿宋_GB2312" w:cs="仿宋_GB2312"/>
          <w:sz w:val="32"/>
          <w:szCs w:val="32"/>
          <w:lang w:eastAsia="zh-CN"/>
        </w:rPr>
        <w:t>。</w:t>
      </w:r>
    </w:p>
    <w:p>
      <w:pPr>
        <w:pStyle w:val="12"/>
        <w:ind w:firstLine="640" w:firstLineChars="200"/>
        <w:rPr>
          <w:rFonts w:hint="eastAsia"/>
          <w:lang w:val="en-US" w:eastAsia="zh-CN"/>
        </w:rPr>
      </w:pPr>
      <w:r>
        <w:rPr>
          <w:rFonts w:hint="eastAsia" w:ascii="仿宋_GB2312" w:hAnsi="仿宋_GB2312" w:eastAsia="仿宋_GB2312" w:cs="仿宋_GB2312"/>
          <w:color w:val="000000"/>
          <w:kern w:val="0"/>
          <w:sz w:val="32"/>
          <w:szCs w:val="32"/>
          <w:lang w:val="en-US" w:eastAsia="zh-CN" w:bidi="ar-SA"/>
        </w:rPr>
        <w:t>培训费年初预算0万元，支出决算为33.98万元，</w:t>
      </w:r>
      <w:r>
        <w:rPr>
          <w:rFonts w:hint="eastAsia" w:ascii="仿宋_GB2312" w:hAnsi="仿宋_GB2312" w:eastAsia="仿宋_GB2312" w:cs="仿宋_GB2312"/>
          <w:sz w:val="32"/>
          <w:szCs w:val="32"/>
          <w:highlight w:val="none"/>
          <w:lang w:val="en-US" w:eastAsia="zh-CN"/>
        </w:rPr>
        <w:t>决算数大于年初预算数的主要原因是</w:t>
      </w:r>
      <w:r>
        <w:rPr>
          <w:rFonts w:hint="eastAsia" w:ascii="仿宋_GB2312" w:hAnsi="仿宋_GB2312" w:eastAsia="仿宋_GB2312" w:cs="仿宋_GB2312"/>
          <w:color w:val="000000"/>
          <w:kern w:val="0"/>
          <w:sz w:val="32"/>
          <w:szCs w:val="32"/>
          <w:highlight w:val="none"/>
          <w:lang w:val="en-US" w:eastAsia="zh-CN" w:bidi="ar-SA"/>
        </w:rPr>
        <w:t>用于开展全省实战大练兵抽考民警培训、备战省总队警务摩托车驾驶技能比武培训、新警培训，人数113人，</w:t>
      </w:r>
      <w:r>
        <w:rPr>
          <w:rFonts w:hint="eastAsia" w:ascii="仿宋_GB2312" w:hAnsi="仿宋_GB2312" w:eastAsia="仿宋_GB2312" w:cs="仿宋_GB2312"/>
          <w:color w:val="000000"/>
          <w:kern w:val="0"/>
          <w:sz w:val="32"/>
          <w:szCs w:val="32"/>
          <w:lang w:val="en-US" w:eastAsia="zh-CN" w:bidi="ar-SA"/>
        </w:rPr>
        <w:t>内容为</w:t>
      </w:r>
      <w:r>
        <w:rPr>
          <w:rFonts w:hint="eastAsia" w:ascii="Times New Roman" w:hAnsi="Times New Roman" w:eastAsia="仿宋_GB2312"/>
          <w:sz w:val="32"/>
          <w:szCs w:val="32"/>
          <w:lang w:val="en-US" w:eastAsia="zh-CN"/>
        </w:rPr>
        <w:t>民辅警业务及集中教育培训</w:t>
      </w:r>
      <w:r>
        <w:rPr>
          <w:rFonts w:hint="eastAsia" w:ascii="仿宋_GB2312" w:hAnsi="仿宋_GB2312" w:eastAsia="仿宋_GB2312" w:cs="仿宋_GB2312"/>
          <w:color w:val="000000"/>
          <w:kern w:val="0"/>
          <w:sz w:val="32"/>
          <w:szCs w:val="32"/>
          <w:lang w:val="en-US" w:eastAsia="zh-CN" w:bidi="ar-SA"/>
        </w:rPr>
        <w:t>。</w:t>
      </w:r>
    </w:p>
    <w:p>
      <w:pPr>
        <w:pStyle w:val="12"/>
        <w:ind w:firstLine="640" w:firstLineChars="200"/>
        <w:rPr>
          <w:rFonts w:hint="eastAsia"/>
          <w:lang w:val="en-US" w:eastAsia="zh-CN"/>
        </w:rPr>
      </w:pPr>
      <w:r>
        <w:rPr>
          <w:rFonts w:hint="eastAsia" w:ascii="Times New Roman" w:hAnsi="Times New Roman" w:eastAsia="仿宋_GB2312"/>
          <w:sz w:val="32"/>
          <w:szCs w:val="32"/>
          <w:lang w:val="en-US" w:eastAsia="zh-CN"/>
        </w:rPr>
        <w:t>本单位无举办节庆、晚会、论坛、赛事等活动的预算和支出决算数。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sz w:val="32"/>
          <w:szCs w:val="32"/>
          <w:highlight w:val="none"/>
        </w:rPr>
        <w:t>本部门202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年度政府采购支出总额</w:t>
      </w:r>
      <w:r>
        <w:rPr>
          <w:rFonts w:hint="eastAsia" w:ascii="仿宋_GB2312" w:hAnsi="仿宋_GB2312" w:eastAsia="仿宋_GB2312" w:cs="仿宋_GB2312"/>
          <w:sz w:val="32"/>
          <w:szCs w:val="32"/>
          <w:highlight w:val="none"/>
          <w:lang w:val="en-US" w:eastAsia="zh-CN"/>
        </w:rPr>
        <w:t>2082.69</w:t>
      </w:r>
      <w:r>
        <w:rPr>
          <w:rFonts w:hint="eastAsia" w:ascii="仿宋_GB2312" w:hAnsi="仿宋_GB2312" w:eastAsia="仿宋_GB2312" w:cs="仿宋_GB2312"/>
          <w:sz w:val="32"/>
          <w:szCs w:val="32"/>
          <w:highlight w:val="none"/>
        </w:rPr>
        <w:t>万元，其中：政府采购货物支出</w:t>
      </w:r>
      <w:r>
        <w:rPr>
          <w:rFonts w:hint="eastAsia" w:ascii="仿宋_GB2312" w:hAnsi="仿宋_GB2312" w:eastAsia="仿宋_GB2312" w:cs="仿宋_GB2312"/>
          <w:sz w:val="32"/>
          <w:szCs w:val="32"/>
          <w:highlight w:val="none"/>
          <w:lang w:val="en-US" w:eastAsia="zh-CN"/>
        </w:rPr>
        <w:t>555.60</w:t>
      </w:r>
      <w:r>
        <w:rPr>
          <w:rFonts w:hint="eastAsia" w:ascii="仿宋_GB2312" w:hAnsi="仿宋_GB2312" w:eastAsia="仿宋_GB2312" w:cs="仿宋_GB2312"/>
          <w:sz w:val="32"/>
          <w:szCs w:val="32"/>
          <w:highlight w:val="none"/>
        </w:rPr>
        <w:t>万元、政府采购工程支出</w:t>
      </w:r>
      <w:r>
        <w:rPr>
          <w:rFonts w:hint="eastAsia" w:ascii="仿宋_GB2312" w:hAnsi="仿宋_GB2312" w:eastAsia="仿宋_GB2312" w:cs="仿宋_GB2312"/>
          <w:sz w:val="32"/>
          <w:szCs w:val="32"/>
          <w:highlight w:val="none"/>
          <w:lang w:val="en-US" w:eastAsia="zh-CN"/>
        </w:rPr>
        <w:t>168.20</w:t>
      </w:r>
      <w:r>
        <w:rPr>
          <w:rFonts w:hint="eastAsia" w:ascii="仿宋_GB2312" w:hAnsi="仿宋_GB2312" w:eastAsia="仿宋_GB2312" w:cs="仿宋_GB2312"/>
          <w:sz w:val="32"/>
          <w:szCs w:val="32"/>
          <w:highlight w:val="none"/>
        </w:rPr>
        <w:t>万元、政府采购服务支出</w:t>
      </w:r>
      <w:r>
        <w:rPr>
          <w:rFonts w:hint="eastAsia" w:ascii="仿宋_GB2312" w:hAnsi="仿宋_GB2312" w:eastAsia="仿宋_GB2312" w:cs="仿宋_GB2312"/>
          <w:sz w:val="32"/>
          <w:szCs w:val="32"/>
          <w:highlight w:val="none"/>
          <w:lang w:val="en-US" w:eastAsia="zh-CN"/>
        </w:rPr>
        <w:t>1358.89</w:t>
      </w:r>
      <w:r>
        <w:rPr>
          <w:rFonts w:hint="eastAsia" w:ascii="仿宋_GB2312" w:hAnsi="仿宋_GB2312" w:eastAsia="仿宋_GB2312" w:cs="仿宋_GB2312"/>
          <w:sz w:val="32"/>
          <w:szCs w:val="32"/>
          <w:highlight w:val="none"/>
        </w:rPr>
        <w:t>万元。授予中小企业合同金额</w:t>
      </w:r>
      <w:r>
        <w:rPr>
          <w:rFonts w:hint="eastAsia" w:ascii="仿宋_GB2312" w:hAnsi="仿宋_GB2312" w:eastAsia="仿宋_GB2312" w:cs="仿宋_GB2312"/>
          <w:sz w:val="32"/>
          <w:szCs w:val="32"/>
          <w:highlight w:val="none"/>
          <w:lang w:val="en-US" w:eastAsia="zh-CN"/>
        </w:rPr>
        <w:t>1819.01</w:t>
      </w:r>
      <w:r>
        <w:rPr>
          <w:rFonts w:hint="eastAsia" w:ascii="仿宋_GB2312" w:hAnsi="仿宋_GB2312" w:eastAsia="仿宋_GB2312" w:cs="仿宋_GB2312"/>
          <w:sz w:val="32"/>
          <w:szCs w:val="32"/>
          <w:highlight w:val="none"/>
        </w:rPr>
        <w:t>万元，占政府采购支出总额的</w:t>
      </w:r>
      <w:r>
        <w:rPr>
          <w:rFonts w:hint="eastAsia" w:ascii="仿宋_GB2312" w:hAnsi="仿宋_GB2312" w:eastAsia="仿宋_GB2312" w:cs="仿宋_GB2312"/>
          <w:sz w:val="32"/>
          <w:szCs w:val="32"/>
          <w:highlight w:val="none"/>
          <w:lang w:val="en-US" w:eastAsia="zh-CN"/>
        </w:rPr>
        <w:t>87.34</w:t>
      </w:r>
      <w:r>
        <w:rPr>
          <w:rFonts w:hint="eastAsia" w:ascii="仿宋_GB2312" w:hAnsi="仿宋_GB2312" w:eastAsia="仿宋_GB2312" w:cs="仿宋_GB2312"/>
          <w:sz w:val="32"/>
          <w:szCs w:val="32"/>
          <w:highlight w:val="none"/>
        </w:rPr>
        <w:t>%，其中：授予小微企业合同金额</w:t>
      </w:r>
      <w:r>
        <w:rPr>
          <w:rFonts w:hint="eastAsia" w:ascii="仿宋_GB2312" w:hAnsi="仿宋_GB2312" w:eastAsia="仿宋_GB2312" w:cs="仿宋_GB2312"/>
          <w:sz w:val="32"/>
          <w:szCs w:val="32"/>
          <w:highlight w:val="none"/>
          <w:lang w:val="en-US" w:eastAsia="zh-CN"/>
        </w:rPr>
        <w:t>1819.01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color w:val="auto"/>
          <w:sz w:val="32"/>
          <w:szCs w:val="32"/>
          <w:highlight w:val="none"/>
        </w:rPr>
        <w:t>占</w:t>
      </w:r>
      <w:r>
        <w:rPr>
          <w:rFonts w:hint="eastAsia" w:ascii="仿宋_GB2312" w:hAnsi="仿宋_GB2312" w:eastAsia="仿宋_GB2312" w:cs="仿宋_GB2312"/>
          <w:color w:val="auto"/>
          <w:sz w:val="32"/>
          <w:szCs w:val="32"/>
          <w:highlight w:val="none"/>
          <w:lang w:eastAsia="zh-CN"/>
        </w:rPr>
        <w:t>授予中小企业合同金额</w:t>
      </w:r>
      <w:r>
        <w:rPr>
          <w:rFonts w:hint="eastAsia"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%。货物采购授予中小</w:t>
      </w:r>
      <w:r>
        <w:rPr>
          <w:rFonts w:hint="eastAsia" w:ascii="Times New Roman" w:hAnsi="Times New Roman" w:eastAsia="仿宋_GB2312"/>
          <w:color w:val="auto"/>
          <w:sz w:val="32"/>
          <w:szCs w:val="32"/>
          <w:highlight w:val="none"/>
        </w:rPr>
        <w:t>企业合同金</w:t>
      </w:r>
      <w:r>
        <w:rPr>
          <w:rFonts w:hint="eastAsia" w:ascii="仿宋_GB2312" w:hAnsi="仿宋_GB2312" w:eastAsia="仿宋_GB2312" w:cs="仿宋_GB2312"/>
          <w:color w:val="auto"/>
          <w:sz w:val="32"/>
          <w:szCs w:val="32"/>
          <w:highlight w:val="none"/>
        </w:rPr>
        <w:t>额占货物支出金额的</w:t>
      </w:r>
      <w:r>
        <w:rPr>
          <w:rFonts w:hint="eastAsia" w:ascii="仿宋_GB2312" w:hAnsi="仿宋_GB2312" w:eastAsia="仿宋_GB2312" w:cs="仿宋_GB2312"/>
          <w:color w:val="auto"/>
          <w:sz w:val="32"/>
          <w:szCs w:val="32"/>
          <w:highlight w:val="none"/>
          <w:lang w:val="en-US" w:eastAsia="zh-CN"/>
        </w:rPr>
        <w:t>77</w:t>
      </w:r>
      <w:r>
        <w:rPr>
          <w:rFonts w:hint="eastAsia" w:ascii="仿宋_GB2312" w:hAnsi="仿宋_GB2312" w:eastAsia="仿宋_GB2312" w:cs="仿宋_GB2312"/>
          <w:color w:val="auto"/>
          <w:sz w:val="32"/>
          <w:szCs w:val="32"/>
          <w:highlight w:val="none"/>
        </w:rPr>
        <w:t>%，工程采购授予中小企业合同金额占工程支出金额的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%，服务采购授予中小企业合同金额占服务支出金额的</w:t>
      </w:r>
      <w:r>
        <w:rPr>
          <w:rFonts w:hint="eastAsia" w:ascii="仿宋_GB2312" w:hAnsi="仿宋_GB2312" w:eastAsia="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rPr>
        <w:t>%。</w:t>
      </w:r>
      <w:bookmarkStart w:id="0" w:name="_GoBack"/>
      <w:bookmarkEnd w:id="0"/>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val="en-US" w:eastAsia="zh-CN"/>
        </w:rPr>
        <w:t>本单位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97</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87</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Times New Roman" w:hAnsi="Times New Roman" w:eastAsia="仿宋_GB2312"/>
          <w:sz w:val="32"/>
          <w:szCs w:val="32"/>
        </w:rPr>
        <w:t>其他用车主要是</w:t>
      </w:r>
      <w:r>
        <w:rPr>
          <w:rFonts w:hint="eastAsia" w:ascii="Times New Roman" w:hAnsi="Times New Roman" w:eastAsia="仿宋_GB2312"/>
          <w:sz w:val="32"/>
          <w:szCs w:val="32"/>
          <w:lang w:val="en-US" w:eastAsia="zh-CN"/>
        </w:rPr>
        <w:t>其他专用车辆等</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组织开展整体支出绩效评价，涉及一般公共预算支出20041.09万元，</w:t>
      </w:r>
      <w:r>
        <w:rPr>
          <w:rFonts w:hint="eastAsia" w:ascii="仿宋_GB2312" w:hAnsi="仿宋_GB2312" w:eastAsia="仿宋_GB2312" w:cs="仿宋_GB2312"/>
          <w:b w:val="0"/>
          <w:bCs w:val="0"/>
          <w:color w:val="000000"/>
          <w:kern w:val="0"/>
          <w:sz w:val="32"/>
          <w:szCs w:val="32"/>
          <w:highlight w:val="none"/>
          <w:lang w:val="en-US" w:eastAsia="zh-CN" w:bidi="ar-SA"/>
        </w:rPr>
        <w:t>政府性基金预算支出0万元，国有资本经营预算支出0万元。从评价情况来看，整体支出绩效评价中，2023年整体支出20156.88万元，其中：基本支出</w:t>
      </w:r>
      <w:r>
        <w:rPr>
          <w:rFonts w:hint="eastAsia" w:ascii="仿宋_GB2312" w:hAnsi="仿宋" w:eastAsia="仿宋_GB2312"/>
          <w:color w:val="000000"/>
          <w:sz w:val="32"/>
          <w:szCs w:val="32"/>
          <w:highlight w:val="none"/>
        </w:rPr>
        <w:t>18229.1</w:t>
      </w:r>
      <w:r>
        <w:rPr>
          <w:rFonts w:hint="eastAsia" w:ascii="仿宋_GB2312" w:hAnsi="仿宋_GB2312" w:eastAsia="仿宋_GB2312" w:cs="仿宋_GB2312"/>
          <w:b w:val="0"/>
          <w:bCs w:val="0"/>
          <w:color w:val="000000"/>
          <w:kern w:val="0"/>
          <w:sz w:val="32"/>
          <w:szCs w:val="32"/>
          <w:highlight w:val="none"/>
          <w:lang w:val="en-US" w:eastAsia="zh-CN" w:bidi="ar-SA"/>
        </w:rPr>
        <w:t>万元，项目支出</w:t>
      </w:r>
      <w:r>
        <w:rPr>
          <w:rFonts w:hint="eastAsia" w:ascii="仿宋_GB2312" w:hAnsi="仿宋" w:eastAsia="仿宋_GB2312"/>
          <w:color w:val="000000"/>
          <w:sz w:val="32"/>
          <w:szCs w:val="32"/>
          <w:highlight w:val="none"/>
        </w:rPr>
        <w:t>1927.78</w:t>
      </w:r>
      <w:r>
        <w:rPr>
          <w:rFonts w:hint="eastAsia" w:ascii="仿宋_GB2312" w:hAnsi="仿宋_GB2312" w:eastAsia="仿宋_GB2312" w:cs="仿宋_GB2312"/>
          <w:b w:val="0"/>
          <w:bCs w:val="0"/>
          <w:color w:val="000000"/>
          <w:kern w:val="0"/>
          <w:sz w:val="32"/>
          <w:szCs w:val="32"/>
          <w:highlight w:val="none"/>
          <w:lang w:val="en-US" w:eastAsia="zh-CN" w:bidi="ar-SA"/>
        </w:rPr>
        <w:t>万元，本单位整体支出绩效自评综合评分100分，评价结果等次为优。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val="0"/>
          <w:bCs w:val="0"/>
          <w:color w:val="auto"/>
          <w:kern w:val="0"/>
          <w:sz w:val="32"/>
          <w:szCs w:val="32"/>
          <w:highlight w:val="none"/>
          <w:lang w:val="en-US" w:eastAsia="zh-CN" w:bidi="ar-SA"/>
        </w:rPr>
        <w:t>组织对一般公共预算项目支出全面开展绩效自评，项目2个，共涉及资金</w:t>
      </w:r>
      <w:r>
        <w:rPr>
          <w:rFonts w:hint="eastAsia" w:ascii="仿宋_GB2312" w:hAnsi="仿宋" w:eastAsia="仿宋_GB2312"/>
          <w:color w:val="auto"/>
          <w:sz w:val="32"/>
          <w:szCs w:val="32"/>
          <w:highlight w:val="none"/>
        </w:rPr>
        <w:t>1927.78</w:t>
      </w:r>
      <w:r>
        <w:rPr>
          <w:rFonts w:hint="eastAsia" w:ascii="仿宋_GB2312" w:hAnsi="仿宋_GB2312" w:eastAsia="仿宋_GB2312" w:cs="仿宋_GB2312"/>
          <w:b w:val="0"/>
          <w:bCs w:val="0"/>
          <w:color w:val="auto"/>
          <w:kern w:val="0"/>
          <w:sz w:val="32"/>
          <w:szCs w:val="32"/>
          <w:highlight w:val="none"/>
          <w:lang w:val="en-US" w:eastAsia="zh-CN" w:bidi="ar-SA"/>
        </w:rPr>
        <w:t>万元，占一般公共预算项目支出总额的100%。</w:t>
      </w:r>
      <w:r>
        <w:rPr>
          <w:rFonts w:hint="eastAsia" w:ascii="仿宋_GB2312" w:hAnsi="仿宋_GB2312" w:eastAsia="仿宋_GB2312" w:cs="仿宋_GB2312"/>
          <w:b w:val="0"/>
          <w:bCs w:val="0"/>
          <w:color w:val="000000"/>
          <w:kern w:val="0"/>
          <w:sz w:val="32"/>
          <w:szCs w:val="32"/>
          <w:lang w:val="en-US" w:eastAsia="zh-CN" w:bidi="ar-SA"/>
        </w:rPr>
        <w:t>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w:t>
      </w:r>
      <w:r>
        <w:rPr>
          <w:rFonts w:hint="eastAsia" w:ascii="仿宋_GB2312" w:hAnsi="仿宋_GB2312" w:eastAsia="仿宋_GB2312" w:cs="仿宋_GB2312"/>
          <w:b w:val="0"/>
          <w:bCs w:val="0"/>
          <w:color w:val="000000"/>
          <w:kern w:val="0"/>
          <w:sz w:val="32"/>
          <w:szCs w:val="32"/>
          <w:highlight w:val="none"/>
          <w:lang w:val="en-US" w:eastAsia="zh-CN" w:bidi="ar-SA"/>
        </w:rPr>
        <w:t>从评价情况来看，项目绩效自评得分100分，评价结果等次为优。</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widowControl/>
        <w:spacing w:line="640" w:lineRule="exact"/>
        <w:ind w:firstLine="640" w:firstLineChars="200"/>
        <w:rPr>
          <w:rFonts w:hint="eastAsia" w:ascii="仿宋_GB2312" w:eastAsia="仿宋_GB2312" w:cs="仿宋"/>
          <w:kern w:val="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w:t>
      </w:r>
      <w:r>
        <w:rPr>
          <w:rFonts w:hint="eastAsia" w:ascii="仿宋_GB2312" w:hAnsi="仿宋_GB2312" w:eastAsia="仿宋_GB2312" w:cs="仿宋_GB2312"/>
          <w:sz w:val="32"/>
          <w:szCs w:val="32"/>
          <w:highlight w:val="none"/>
          <w:lang w:val="en-US" w:eastAsia="zh-CN"/>
        </w:rPr>
        <w:t>19332.71</w:t>
      </w:r>
      <w:r>
        <w:rPr>
          <w:rFonts w:hint="eastAsia" w:ascii="仿宋_GB2312" w:hAnsi="仿宋_GB2312" w:eastAsia="仿宋_GB2312" w:cs="仿宋_GB2312"/>
          <w:b w:val="0"/>
          <w:bCs w:val="0"/>
          <w:color w:val="000000"/>
          <w:kern w:val="0"/>
          <w:sz w:val="32"/>
          <w:szCs w:val="32"/>
          <w:lang w:val="en-US" w:eastAsia="zh-CN" w:bidi="ar-SA"/>
        </w:rPr>
        <w:t>万元，</w:t>
      </w:r>
      <w:r>
        <w:rPr>
          <w:rFonts w:hint="eastAsia" w:ascii="仿宋_GB2312" w:hAnsi="仿宋_GB2312" w:eastAsia="仿宋_GB2312" w:cs="仿宋_GB2312"/>
          <w:b w:val="0"/>
          <w:bCs w:val="0"/>
          <w:color w:val="000000"/>
          <w:kern w:val="0"/>
          <w:sz w:val="32"/>
          <w:szCs w:val="32"/>
          <w:highlight w:val="none"/>
          <w:lang w:val="en-US" w:eastAsia="zh-CN" w:bidi="ar-SA"/>
        </w:rPr>
        <w:t>执行数为20156.88万元，</w:t>
      </w:r>
      <w:r>
        <w:rPr>
          <w:rFonts w:hint="eastAsia" w:ascii="仿宋_GB2312" w:hAnsi="仿宋_GB2312" w:eastAsia="仿宋_GB2312" w:cs="仿宋_GB2312"/>
          <w:b w:val="0"/>
          <w:bCs w:val="0"/>
          <w:color w:val="000000"/>
          <w:kern w:val="0"/>
          <w:sz w:val="32"/>
          <w:szCs w:val="32"/>
          <w:lang w:val="en-US" w:eastAsia="zh-CN" w:bidi="ar-SA"/>
        </w:rPr>
        <w:t>完成预算的104.26%。绩效目标完成情况：</w:t>
      </w:r>
      <w:r>
        <w:rPr>
          <w:rFonts w:hint="eastAsia" w:ascii="仿宋_GB2312" w:eastAsia="仿宋_GB2312" w:cs="黑体"/>
          <w:b/>
          <w:bCs/>
          <w:kern w:val="2"/>
          <w:sz w:val="32"/>
          <w:szCs w:val="32"/>
        </w:rPr>
        <w:t>（一）坚持安全第一、预防为先，事故形势实现全局性好转。</w:t>
      </w:r>
      <w:r>
        <w:rPr>
          <w:rFonts w:hint="eastAsia" w:ascii="仿宋_GB2312" w:eastAsia="仿宋_GB2312" w:cs="仿宋"/>
          <w:kern w:val="2"/>
          <w:sz w:val="32"/>
          <w:szCs w:val="32"/>
        </w:rPr>
        <w:t>一年来，我们扑下身子、聚力实战，锚定交通事故起数、死亡人数“双下降”目标，以全警之力严密路面防控、清剿安全隐患，全市交通事故亡人数实现大幅下降。</w:t>
      </w:r>
      <w:r>
        <w:rPr>
          <w:rFonts w:hint="eastAsia" w:ascii="仿宋_GB2312" w:eastAsia="仿宋_GB2312" w:cs="仿宋"/>
          <w:b/>
          <w:bCs/>
          <w:kern w:val="2"/>
          <w:sz w:val="33"/>
          <w:szCs w:val="33"/>
        </w:rPr>
        <w:t>（二）</w:t>
      </w:r>
      <w:r>
        <w:rPr>
          <w:rFonts w:hint="eastAsia" w:ascii="仿宋_GB2312" w:eastAsia="仿宋_GB2312" w:cs="黑体"/>
          <w:b/>
          <w:bCs/>
          <w:kern w:val="2"/>
          <w:sz w:val="32"/>
          <w:szCs w:val="32"/>
        </w:rPr>
        <w:t>坚持深查彻改、整治顽疾，隐患治理获得跨越式提升。</w:t>
      </w:r>
      <w:r>
        <w:rPr>
          <w:rFonts w:hint="eastAsia" w:ascii="仿宋_GB2312" w:eastAsia="仿宋_GB2312" w:cs="仿宋"/>
          <w:kern w:val="2"/>
          <w:sz w:val="32"/>
          <w:szCs w:val="32"/>
        </w:rPr>
        <w:t>一年来，我们紧扣源头、消除隐患，聚焦“人、车、路、企、政”等问题，充分发挥公安交警“主力军”作用，集中整治各类交通问题顽瘴痼疾，道路交通本质安全水平大幅提升。持续推进对重点车辆、重点驾驶人等源头隐患滚动清零。截至目前，我市重货车和7-9座小客车检验率94.7%，“两客一危一校”的报废率100%、检验率99.8%，AB证换证率99.26%、审验率97.55%，B2大型货车换证率99.66%、审验率97.83%。持续开展临水临崖临坎、平交路口、穿村过镇、急弯陡坡、长下坡等重点路口路段排查治理专项行动。2023年完成省整治办交办我市重点隐患整改276处，整改率99.6%。</w:t>
      </w:r>
      <w:r>
        <w:rPr>
          <w:rFonts w:hint="eastAsia" w:ascii="仿宋_GB2312" w:eastAsia="仿宋_GB2312" w:cs="仿宋"/>
          <w:b/>
          <w:kern w:val="2"/>
          <w:sz w:val="32"/>
          <w:szCs w:val="32"/>
        </w:rPr>
        <w:t>（三）</w:t>
      </w:r>
      <w:r>
        <w:rPr>
          <w:rFonts w:hint="eastAsia" w:ascii="仿宋_GB2312" w:eastAsia="仿宋_GB2312" w:cs="黑体"/>
          <w:b/>
          <w:bCs/>
          <w:kern w:val="2"/>
          <w:sz w:val="32"/>
          <w:szCs w:val="32"/>
        </w:rPr>
        <w:t>坚持以打促防、科学管控，执法战果取得广谱性成效。</w:t>
      </w:r>
      <w:r>
        <w:rPr>
          <w:rFonts w:hint="eastAsia" w:ascii="仿宋_GB2312" w:eastAsia="仿宋_GB2312" w:cs="仿宋"/>
          <w:kern w:val="2"/>
          <w:sz w:val="32"/>
          <w:szCs w:val="32"/>
        </w:rPr>
        <w:t>一年来，我们履职尽责、担当作为，全年持续开展整治行动，始终对重点人、重点车、重点违法行为保持凌厉攻势，以强有力的执法净化了秩序、稳住了形势，全力守护人民群众安全出行。</w:t>
      </w:r>
      <w:r>
        <w:rPr>
          <w:rFonts w:hint="eastAsia" w:ascii="仿宋_GB2312" w:eastAsia="仿宋_GB2312" w:cs="仿宋"/>
          <w:b/>
          <w:kern w:val="2"/>
          <w:sz w:val="32"/>
          <w:szCs w:val="32"/>
        </w:rPr>
        <w:t>（四）</w:t>
      </w:r>
      <w:r>
        <w:rPr>
          <w:rFonts w:hint="eastAsia" w:ascii="仿宋_GB2312" w:eastAsia="仿宋_GB2312" w:cs="黑体"/>
          <w:b/>
          <w:bCs/>
          <w:kern w:val="2"/>
          <w:sz w:val="32"/>
          <w:szCs w:val="32"/>
        </w:rPr>
        <w:t>坚持科技赋能、精细管理，治堵保畅得到全景式改善。</w:t>
      </w:r>
      <w:r>
        <w:rPr>
          <w:rFonts w:hint="eastAsia" w:ascii="仿宋_GB2312" w:eastAsia="仿宋_GB2312" w:cs="仿宋"/>
          <w:kern w:val="2"/>
          <w:sz w:val="32"/>
          <w:szCs w:val="32"/>
        </w:rPr>
        <w:t>一年来，我们综合治理、系统推进，注重城市路网点、线、面协调控制，深入推进</w:t>
      </w:r>
      <w:r>
        <w:rPr>
          <w:rFonts w:hint="eastAsia" w:ascii="仿宋_GB2312" w:eastAsia="仿宋_GB2312" w:cs="仿宋_GB2312"/>
          <w:bCs/>
          <w:color w:val="000000"/>
          <w:sz w:val="32"/>
          <w:szCs w:val="32"/>
        </w:rPr>
        <w:t>道路</w:t>
      </w:r>
      <w:r>
        <w:rPr>
          <w:rFonts w:hint="eastAsia" w:ascii="仿宋_GB2312" w:eastAsia="仿宋_GB2312"/>
          <w:bCs/>
          <w:color w:val="000000"/>
          <w:sz w:val="32"/>
          <w:szCs w:val="32"/>
        </w:rPr>
        <w:t>“</w:t>
      </w:r>
      <w:r>
        <w:rPr>
          <w:rFonts w:hint="eastAsia" w:ascii="仿宋_GB2312" w:eastAsia="仿宋_GB2312" w:cs="仿宋_GB2312"/>
          <w:bCs/>
          <w:color w:val="000000"/>
          <w:sz w:val="32"/>
          <w:szCs w:val="32"/>
        </w:rPr>
        <w:t>微改造</w:t>
      </w:r>
      <w:r>
        <w:rPr>
          <w:rFonts w:hint="eastAsia" w:ascii="仿宋_GB2312" w:eastAsia="仿宋_GB2312"/>
          <w:bCs/>
          <w:color w:val="000000"/>
          <w:sz w:val="32"/>
          <w:szCs w:val="32"/>
        </w:rPr>
        <w:t>”，有效提高了通行能力，缓解了交通压力。</w:t>
      </w:r>
      <w:r>
        <w:rPr>
          <w:rFonts w:hint="eastAsia" w:ascii="仿宋_GB2312" w:eastAsia="仿宋_GB2312" w:cs="仿宋"/>
          <w:kern w:val="2"/>
          <w:sz w:val="32"/>
          <w:szCs w:val="32"/>
        </w:rPr>
        <w:t>2023年以来，适时调整优化142个路口信号灯配时共800余次，组织交通工程专业团队完成东升小学路口、王家河一桥路口、楼区政府前掉头口、交警支队路口等6个路口交通优化，实施借道左转18个路口、29个进口，主城区</w:t>
      </w:r>
      <w:r>
        <w:rPr>
          <w:rFonts w:hint="eastAsia" w:ascii="仿宋_GB2312" w:eastAsia="仿宋_GB2312"/>
          <w:sz w:val="32"/>
          <w:szCs w:val="32"/>
        </w:rPr>
        <w:t>路口、路段通行效率明显提升</w:t>
      </w:r>
      <w:r>
        <w:rPr>
          <w:rFonts w:hint="eastAsia" w:ascii="仿宋_GB2312" w:eastAsia="仿宋_GB2312" w:cs="仿宋"/>
          <w:kern w:val="2"/>
          <w:sz w:val="32"/>
          <w:szCs w:val="32"/>
        </w:rPr>
        <w:t>。</w:t>
      </w:r>
      <w:r>
        <w:rPr>
          <w:rFonts w:hint="eastAsia" w:ascii="仿宋_GB2312" w:eastAsia="仿宋_GB2312" w:cs="黑体"/>
          <w:b/>
          <w:bCs/>
          <w:kern w:val="2"/>
          <w:sz w:val="32"/>
          <w:szCs w:val="32"/>
        </w:rPr>
        <w:t>（五）坚持问题导向、难点破冰，重点工作取得破局式进展。</w:t>
      </w:r>
      <w:r>
        <w:rPr>
          <w:rFonts w:hint="eastAsia" w:ascii="仿宋_GB2312" w:eastAsia="仿宋_GB2312" w:cs="仿宋"/>
          <w:kern w:val="2"/>
          <w:sz w:val="32"/>
          <w:szCs w:val="32"/>
        </w:rPr>
        <w:t>一年来，我们精准发力、有的放矢，以务实举措突破固有框架，以有解思维打通障碍梗阻，一些突出难点、痛点得到有效解决，一系列重点工作取得重大突破。严查驾考招手拉业务、摆摊设点、违停待客等非法行为，对非法中介露头就打、绝不手软。</w:t>
      </w:r>
      <w:r>
        <w:rPr>
          <w:rFonts w:hint="eastAsia" w:ascii="仿宋_GB2312" w:eastAsia="仿宋_GB2312" w:cs="黑体"/>
          <w:b/>
          <w:bCs/>
          <w:kern w:val="2"/>
          <w:sz w:val="32"/>
          <w:szCs w:val="32"/>
        </w:rPr>
        <w:t>（六）坚持强基固本、改革创新，交管改革彰显示范性特色。</w:t>
      </w:r>
      <w:r>
        <w:rPr>
          <w:rFonts w:hint="eastAsia" w:ascii="仿宋_GB2312" w:eastAsia="仿宋_GB2312" w:cs="仿宋"/>
          <w:kern w:val="2"/>
          <w:sz w:val="32"/>
          <w:szCs w:val="32"/>
        </w:rPr>
        <w:t>一年来，我们刀刃向内、自我革命，以创优争先引领提升、带动发展，积极探索打造了一批具有岳阳特色的亮点工作，抓住全国首批“轻微交通事故视频快处”试点新机遇，建立视频快处中心和警保联动合作室，开创全新的轻微交通事故视频快处模式，正式试点一个月，视频快处2421起车损事故。</w:t>
      </w:r>
      <w:r>
        <w:rPr>
          <w:rFonts w:hint="eastAsia" w:ascii="仿宋_GB2312" w:eastAsia="仿宋_GB2312" w:cs="仿宋"/>
          <w:bCs/>
          <w:kern w:val="2"/>
          <w:sz w:val="33"/>
          <w:szCs w:val="33"/>
        </w:rPr>
        <w:t>警邮合作不断扩大，已</w:t>
      </w:r>
      <w:r>
        <w:rPr>
          <w:rFonts w:hint="eastAsia" w:ascii="仿宋_GB2312" w:eastAsia="仿宋_GB2312" w:cs="仿宋"/>
          <w:kern w:val="2"/>
          <w:sz w:val="32"/>
          <w:szCs w:val="32"/>
        </w:rPr>
        <w:t>形成了以传统邮寄项目为基础，以档案电子化扫描服务为延伸的多元场景合作模式，岳阳“警邮合作”业务走在全省前列。依托交管12123平台、政务中心等平台，整合47项高频服务事项，98%交管业务可全程网办、掌上通办。</w:t>
      </w:r>
    </w:p>
    <w:p>
      <w:pPr>
        <w:widowControl/>
        <w:spacing w:line="640" w:lineRule="exact"/>
        <w:ind w:firstLine="640" w:firstLineChars="200"/>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widowControl/>
        <w:spacing w:line="640" w:lineRule="exact"/>
        <w:ind w:firstLine="640" w:firstLineChars="200"/>
        <w:rPr>
          <w:rFonts w:hint="eastAsia" w:ascii="仿宋_GB2312" w:eastAsia="仿宋_GB2312"/>
          <w:sz w:val="32"/>
          <w:szCs w:val="32"/>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w:t>
      </w:r>
      <w:r>
        <w:rPr>
          <w:rFonts w:hint="eastAsia" w:ascii="仿宋_GB2312" w:eastAsia="仿宋_GB2312"/>
          <w:sz w:val="32"/>
          <w:szCs w:val="32"/>
        </w:rPr>
        <w:t>绩效管理水平有待提高，特别是绩效指标设置的合理性、科学性有待进一步改善</w:t>
      </w:r>
      <w:r>
        <w:rPr>
          <w:rFonts w:hint="eastAsia" w:ascii="仿宋_GB2312" w:hAnsi="仿宋_GB2312" w:eastAsia="仿宋_GB2312" w:cs="仿宋_GB2312"/>
          <w:b w:val="0"/>
          <w:bCs w:val="0"/>
          <w:color w:val="000000"/>
          <w:kern w:val="0"/>
          <w:sz w:val="32"/>
          <w:szCs w:val="32"/>
          <w:lang w:val="en-US" w:eastAsia="zh-CN" w:bidi="ar-SA"/>
        </w:rPr>
        <w:t>。下一步改进措施：</w:t>
      </w:r>
      <w:r>
        <w:rPr>
          <w:rFonts w:hint="eastAsia" w:ascii="仿宋_GB2312" w:eastAsia="仿宋_GB2312"/>
          <w:sz w:val="32"/>
          <w:szCs w:val="32"/>
        </w:rPr>
        <w:t>1.细化预算编制工作，认真做好预算的编制。进一步加强单位内部机构各部门的预算管理意识，严格按照预算编制的相关制度和要求进行预算编制，进一步提高预算编制的科学性、严谨性和可控性。加强内部预算编制的审核和预算控制指标的下达，提高预算的合理性和准确性。2.加强财务管理，严格财务审核。在费用报账支付时，按照预算规定的费用项目和用途进行资金使用审核、列报支付、财务核算，杜绝超支现象的发生。3.持续抓好“三公”经费控制管理。严格控制“三公”经费的规模和比例，把关“三公”经费支出的审核、审批，杜绝挪用和挤占其他预算资金行为;进一步细化“三公”经费的管理，合理压缩“三公”经费支出。4.加强项目开展进度的跟踪，开展项目绩效评价，确保项目绩效目标的完成。</w:t>
      </w:r>
    </w:p>
    <w:p>
      <w:pPr>
        <w:autoSpaceDE w:val="0"/>
        <w:autoSpaceDN w:val="0"/>
        <w:adjustRightInd w:val="0"/>
        <w:ind w:firstLine="640" w:firstLineChars="200"/>
        <w:jc w:val="left"/>
        <w:rPr>
          <w:rFonts w:hint="eastAsia" w:ascii="方正小标宋_GBK" w:hAnsi="方正小标宋_GBK" w:eastAsia="方正小标宋_GBK" w:cs="方正小标宋_GBK"/>
          <w:sz w:val="70"/>
          <w:szCs w:val="70"/>
          <w:lang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pStyle w:val="3"/>
      </w:pPr>
    </w:p>
    <w:p/>
    <w:p>
      <w:pPr>
        <w:pStyle w:val="2"/>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pStyle w:val="12"/>
        <w:jc w:val="center"/>
        <w:rPr>
          <w:rFonts w:hint="eastAsia" w:ascii="仿宋_GB2312" w:hAnsi="仿宋_GB2312" w:eastAsia="仿宋_GB2312" w:cs="仿宋_GB2312"/>
          <w:sz w:val="32"/>
          <w:szCs w:val="32"/>
        </w:rPr>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140F3"/>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104F3B50"/>
    <w:rsid w:val="12583BA5"/>
    <w:rsid w:val="13BA5B9C"/>
    <w:rsid w:val="1410457B"/>
    <w:rsid w:val="1D97DEFF"/>
    <w:rsid w:val="1DFF72E5"/>
    <w:rsid w:val="1EFC6F07"/>
    <w:rsid w:val="1F0527A6"/>
    <w:rsid w:val="1F2C1918"/>
    <w:rsid w:val="22AC03C2"/>
    <w:rsid w:val="27EA2247"/>
    <w:rsid w:val="2C44024A"/>
    <w:rsid w:val="2FDF85B8"/>
    <w:rsid w:val="2FFFEE04"/>
    <w:rsid w:val="31C95635"/>
    <w:rsid w:val="34DF85B0"/>
    <w:rsid w:val="350851DF"/>
    <w:rsid w:val="3B8F36BC"/>
    <w:rsid w:val="491FF225"/>
    <w:rsid w:val="4FFD214C"/>
    <w:rsid w:val="5352765A"/>
    <w:rsid w:val="5777D4F5"/>
    <w:rsid w:val="59DD8326"/>
    <w:rsid w:val="5DEF592A"/>
    <w:rsid w:val="5EFE15AF"/>
    <w:rsid w:val="5FC6BB1E"/>
    <w:rsid w:val="5FF720F1"/>
    <w:rsid w:val="633914DA"/>
    <w:rsid w:val="63B06F03"/>
    <w:rsid w:val="67CE125C"/>
    <w:rsid w:val="67FF5C0B"/>
    <w:rsid w:val="6BAA4A2F"/>
    <w:rsid w:val="6CD23598"/>
    <w:rsid w:val="6EFC0924"/>
    <w:rsid w:val="6FB74722"/>
    <w:rsid w:val="6FEF8B7E"/>
    <w:rsid w:val="71A6591B"/>
    <w:rsid w:val="737D59BA"/>
    <w:rsid w:val="737F32B1"/>
    <w:rsid w:val="77C37683"/>
    <w:rsid w:val="79FF515B"/>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130</TotalTime>
  <ScaleCrop>false</ScaleCrop>
  <LinksUpToDate>false</LinksUpToDate>
  <CharactersWithSpaces>9008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lenovo</cp:lastModifiedBy>
  <cp:lastPrinted>2024-08-08T10:20:00Z</cp:lastPrinted>
  <dcterms:modified xsi:type="dcterms:W3CDTF">2025-07-30T04:05:54Z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8F309CF133BF492480D9EF4962ABFE85</vt:lpwstr>
  </property>
</Properties>
</file>