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53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1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1110" w:lineRule="exact"/>
              <w:ind w:left="20"/>
              <w:jc w:val="center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kern w:val="1"/>
                <w:sz w:val="84"/>
                <w:lang w:val="en-US" w:eastAsia="zh-CN"/>
              </w:rPr>
              <w:t>岳阳市中心医院2024年度</w:t>
            </w:r>
          </w:p>
          <w:p>
            <w:pPr>
              <w:pStyle w:val="4"/>
              <w:spacing w:line="1110" w:lineRule="exact"/>
              <w:ind w:left="20"/>
              <w:jc w:val="center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kern w:val="1"/>
                <w:sz w:val="84"/>
                <w:lang w:val="en-US" w:eastAsia="zh-CN"/>
              </w:rPr>
              <w:t>单位预算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525" w:lineRule="exact"/>
              <w:ind w:left="20"/>
              <w:jc w:val="center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44"/>
                <w:lang w:val="en-US" w:eastAsia="zh-CN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rPr>
                <w:rFonts w:hint="default"/>
                <w:kern w:val="1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第一部分  2024年单位预算说明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第二部分  2024年单位预算公开表格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color w:val="FF0000"/>
                <w:kern w:val="1"/>
                <w:sz w:val="32"/>
                <w:lang w:val="en-US" w:eastAsia="zh-CN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rPr>
                <w:rFonts w:hint="default"/>
                <w:kern w:val="1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rPr>
                <w:rFonts w:hint="default"/>
                <w:kern w:val="1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jc w:val="center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第一部分  2024年单位预算说明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rPr>
                <w:rFonts w:hint="default"/>
                <w:kern w:val="1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 xml:space="preserve">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/>
                <w:sz w:val="32"/>
              </w:rPr>
              <w:t>岳阳市</w:t>
            </w:r>
            <w:r>
              <w:rPr>
                <w:rFonts w:hint="eastAsia" w:ascii="宋体" w:hAnsi="宋体" w:eastAsia="宋体"/>
                <w:sz w:val="32"/>
                <w:lang w:eastAsia="zh-CN"/>
              </w:rPr>
              <w:t>中心</w:t>
            </w:r>
            <w:r>
              <w:rPr>
                <w:rFonts w:hint="eastAsia" w:ascii="宋体" w:hAnsi="宋体" w:eastAsia="宋体"/>
                <w:sz w:val="32"/>
              </w:rPr>
              <w:t>医院始建于1964年，是一所集医疗、教学、科研、预防、保健、康复于一体的三级甲等综合性医院。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sz w:val="32"/>
              </w:rPr>
              <w:t>医院分设院本部、东院和南院，</w:t>
            </w:r>
            <w:r>
              <w:rPr>
                <w:rFonts w:hint="eastAsia" w:ascii="宋体" w:hAnsi="宋体" w:eastAsia="宋体"/>
                <w:sz w:val="32"/>
                <w:lang w:val="en-US" w:eastAsia="zh-CN"/>
              </w:rPr>
              <w:t>2023年底在职人数2689人。</w:t>
            </w:r>
            <w:r>
              <w:rPr>
                <w:rFonts w:hint="eastAsia" w:ascii="宋体" w:hAnsi="宋体" w:eastAsia="宋体"/>
                <w:sz w:val="32"/>
              </w:rPr>
              <w:t>编制病床共</w:t>
            </w:r>
            <w:r>
              <w:rPr>
                <w:rFonts w:hint="eastAsia" w:ascii="宋体" w:hAnsi="宋体" w:eastAsia="宋体"/>
                <w:sz w:val="32"/>
                <w:lang w:val="en-US" w:eastAsia="zh-CN"/>
              </w:rPr>
              <w:t>2019</w:t>
            </w:r>
            <w:r>
              <w:rPr>
                <w:rFonts w:hint="eastAsia" w:ascii="宋体" w:hAnsi="宋体" w:eastAsia="宋体"/>
                <w:sz w:val="32"/>
              </w:rPr>
              <w:t>张。全院共开设59个诊疗科目，其中临床类47个，医技类12个。开放病区62个，其中院本部32个、东院13个、南院17个。是中南大学湘雅二医院医疗协作医院、中南大学湘雅医学院临床教学基地，同时还承担着另外12所院校的临床教学工作，是湖南省全科医生转岗培训基地、国家住院医师规范化培训基地、国家药物临床试验机构、国家卫健委脑卒中筛查与防治基地、国际紧急救援网络医院、外国专家定点医疗机构、全国直升机医疗救援基地。医院先后被评为全国文明单位、全国卫生计生系统先进集体，是湖南省区域性医疗中心之一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 xml:space="preserve">  二、单位预算单位构成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本单位预算仅含本级预算。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 xml:space="preserve">  三、单位收支总体情况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本单位2024年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表均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 xml:space="preserve">  （一）收入预算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包括一般公共预算、政府性基金、国有资本经营预算等财政拨款收入，以及经营收入、事业收入等单位资金。2024年度本单位收入预算1018.00万元，其中，一般公共预算拨款1018.00万元，政府性基金预算资金0.00万元(所以公开的附件17为空)，国有资本经营预算资金0.00万元(所以公开的附件18为空)，财政专户管理资金0.00万元(所以公开的附件19为空)，上级补助收入资金0.00万元，事业单位经营收入资金0.00万元，上年结转结余0.00万元。(数据来源见表2)本单位2024年收入较去年增加488万元，主要是因为与岳阳市公卫中心合并收入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 xml:space="preserve">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2024年本单位支出预算1018.00万元，其中，210卫生健康支出1018.00万元，支出较去年增加488万元，主要是因为与岳阳市公卫中心合并支出预算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 xml:space="preserve">  四、一般公共预算拨款支出预算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2024年一般公共预算拨款支出预算1018.00万元，其中，210卫生健康支出1018.00万元，占100%；具体安排情况如下：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（一）基本支出：2024年基本支出年初预算数为0.00万元（数据来源见表23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（二）项目支出：2024年项目支出年初预算数为1018.00万元（数据来源见表20），是指单位为完成特定行政工作任务或事业发展目标而发生的支出，包括有关业务工作经费、运行维护经费、其他事业发展资金等。其中：艾滋病防治专项支出120.00万元，主要用于</w:t>
            </w:r>
            <w:r>
              <w:rPr>
                <w:rFonts w:hint="eastAsia" w:ascii="宋体" w:hAnsi="宋体" w:eastAsia="宋体"/>
                <w:sz w:val="32"/>
              </w:rPr>
              <w:t>艾滋病人的医疗救治等</w:t>
            </w: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方面,定额补助专项支出642.00万元，主要用于医院人员的基本工资方面,非税收入专项支出256.00万元，主要用于非税收入成本方面。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 xml:space="preserve">  五、政府性基金预算支出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2024年度本单位无政府性基金安排的支出，所以公开的附件15-17（政府性基金预算）为空。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 xml:space="preserve">  六、其他重要事项的情况说明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 xml:space="preserve">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本单位2024无机关运行经费安排的支出，所以公开的附件表12为空。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 xml:space="preserve">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本单位2024年“三公”经费预算数0.00万元（数据来源见表14），其中，公务接待费0.00万元，因公出国（境）费0.00万元，公务用车购置及运行费0.00万元（其中，公务用车购置费0.00万元，公务用车运行费0.00万元）。2024年三公经费预算较上年增加/减少0.00万元，主要原因是与上年相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 xml:space="preserve">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本单位2024年会议费预算0.00万元（数据来源见表13会议费、培训费），2024年度本单位未计划安排会议、培训，未计划举办节庆、晚会、论坛、赛事活动。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 xml:space="preserve">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本单位2024年政府采购预算总额25364.86万元，其中工程类17600万元，货物类1892.3万元，服务类4755.46万元。（没有政府采购预算的也需要说明：2024年度本单位未安排政府采购预算。）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 xml:space="preserve">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0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截至上年底，本单位共有车辆23辆，其中领导干部用车0辆，一般公务用车1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辆，其他用车22辆。单位价值50万元以上通用设备27台，单位价值100万元以上专用设备140台。 </w:t>
            </w:r>
          </w:p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2024年拟报废处置车辆0辆，其中：报废处置领导干部用车0辆，报废处置一般公务用车0辆，报废处置其他用车0辆，拟新增配置车辆0辆，其中领导干部用车0辆，一般公务用车0辆，其他用车0辆。</w:t>
            </w:r>
          </w:p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2024年拟新增配备领导干部用车0辆，一般公务用车0辆，其他用车0辆，新增配备单位价值50万元以上通用设备0台，单位价值100万元以上专用设备4台。（没有处置或新增计划的也需说明“2024年度本单位未计划处置或新增车辆、设备等。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 xml:space="preserve">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  本单位所有支出实行绩效目标管理。纳入2024年单位整体支出绩效目标的金额为1018.00万元，其中，基本支出0.00万元，项目支出1018.00万元，详见文尾附表中单位预算公开表格的表21-22。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 xml:space="preserve">  七、名词解释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 xml:space="preserve">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rPr>
                <w:rFonts w:hint="default"/>
                <w:kern w:val="1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rPr>
                <w:rFonts w:hint="default"/>
                <w:kern w:val="1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rPr>
                <w:rFonts w:hint="default"/>
                <w:kern w:val="1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jc w:val="center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Dialog" w:hAnsi="Dialog"/>
                <w:kern w:val="1"/>
                <w:sz w:val="32"/>
                <w:lang w:val="en-US" w:eastAsia="zh-CN"/>
              </w:rPr>
              <w:t>第二部分  2024年单位预算公开表格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1"/>
                <w:sz w:val="32"/>
                <w:lang w:val="en-US" w:eastAsia="zh-CN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spacing w:line="375" w:lineRule="exact"/>
              <w:ind w:left="20"/>
              <w:rPr>
                <w:rFonts w:hint="default"/>
                <w:kern w:val="1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FF0000"/>
                <w:kern w:val="1"/>
                <w:sz w:val="32"/>
                <w:lang w:val="en-US" w:eastAsia="zh-CN"/>
              </w:rPr>
              <w:t>注：以上单位预算公开报表中，空表表示本单位无相关收支情况。</w:t>
            </w:r>
          </w:p>
        </w:tc>
      </w:tr>
    </w:tbl>
    <w:p>
      <w:pPr>
        <w:pStyle w:val="4"/>
        <w:rPr>
          <w:rFonts w:hint="default"/>
          <w:kern w:val="1"/>
          <w:sz w:val="24"/>
          <w:lang w:val="en-US" w:eastAsia="zh-CN"/>
        </w:rPr>
      </w:pPr>
    </w:p>
    <w:p/>
    <w:sectPr>
      <w:pgSz w:w="18708" w:h="15840"/>
      <w:pgMar w:top="388" w:right="1080" w:bottom="388" w:left="108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Mangal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????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angal">
    <w:altName w:val="Yu Gothic"/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Dialog">
    <w:altName w:val="Times New Roman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B104D4"/>
    <w:rsid w:val="5CA50ED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??"/>
    <w:unhideWhenUsed/>
    <w:qFormat/>
    <w:uiPriority w:val="99"/>
    <w:pPr>
      <w:widowControl w:val="0"/>
      <w:suppressLineNumbers/>
      <w:autoSpaceDE w:val="0"/>
      <w:autoSpaceDN w:val="0"/>
      <w:adjustRightInd w:val="0"/>
    </w:pPr>
    <w:rPr>
      <w:rFonts w:hint="default" w:ascii="Arial" w:hAnsi="Arial" w:eastAsia="Mangal" w:cstheme="minorBidi"/>
      <w:color w:val="000000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2025-08-04T01:03:40Z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