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26872B">
      <w:pPr>
        <w:pStyle w:val="13"/>
        <w:jc w:val="center"/>
        <w:rPr>
          <w:sz w:val="56"/>
          <w:szCs w:val="56"/>
        </w:rPr>
      </w:pPr>
    </w:p>
    <w:p w14:paraId="08F46325">
      <w:pPr>
        <w:pStyle w:val="13"/>
        <w:jc w:val="center"/>
        <w:rPr>
          <w:sz w:val="56"/>
          <w:szCs w:val="56"/>
        </w:rPr>
      </w:pPr>
    </w:p>
    <w:p w14:paraId="6CE00C8B">
      <w:pPr>
        <w:pStyle w:val="13"/>
        <w:jc w:val="center"/>
        <w:rPr>
          <w:sz w:val="84"/>
          <w:szCs w:val="84"/>
        </w:rPr>
      </w:pPr>
    </w:p>
    <w:p w14:paraId="13404CF1">
      <w:pPr>
        <w:pStyle w:val="13"/>
        <w:jc w:val="center"/>
        <w:rPr>
          <w:sz w:val="84"/>
          <w:szCs w:val="84"/>
        </w:rPr>
      </w:pPr>
    </w:p>
    <w:p w14:paraId="0207310F">
      <w:pPr>
        <w:pStyle w:val="13"/>
        <w:jc w:val="center"/>
        <w:rPr>
          <w:rFonts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2023年度</w:t>
      </w:r>
    </w:p>
    <w:p w14:paraId="2D8B8D53">
      <w:pPr>
        <w:pStyle w:val="13"/>
        <w:jc w:val="center"/>
        <w:rPr>
          <w:sz w:val="84"/>
          <w:szCs w:val="84"/>
        </w:rPr>
      </w:pPr>
      <w:r>
        <w:rPr>
          <w:rFonts w:hint="eastAsia"/>
          <w:sz w:val="84"/>
          <w:szCs w:val="84"/>
        </w:rPr>
        <w:t>中共岳阳市委组织部</w:t>
      </w:r>
    </w:p>
    <w:p w14:paraId="099D6131">
      <w:pPr>
        <w:pStyle w:val="13"/>
        <w:jc w:val="center"/>
        <w:rPr>
          <w:sz w:val="84"/>
          <w:szCs w:val="84"/>
        </w:rPr>
      </w:pPr>
      <w:r>
        <w:rPr>
          <w:rFonts w:hint="eastAsia"/>
          <w:sz w:val="84"/>
          <w:szCs w:val="84"/>
        </w:rPr>
        <w:t>部门决算</w:t>
      </w:r>
    </w:p>
    <w:p w14:paraId="2A9BA435">
      <w:pPr>
        <w:pStyle w:val="13"/>
        <w:jc w:val="center"/>
        <w:rPr>
          <w:rFonts w:ascii="方正小标宋_GBK" w:hAnsi="方正小标宋_GBK" w:eastAsia="方正小标宋_GBK" w:cs="方正小标宋_GBK"/>
          <w:sz w:val="56"/>
          <w:szCs w:val="56"/>
        </w:rPr>
      </w:pPr>
    </w:p>
    <w:p w14:paraId="1C93B885">
      <w:pPr>
        <w:pStyle w:val="13"/>
        <w:jc w:val="center"/>
        <w:rPr>
          <w:sz w:val="56"/>
          <w:szCs w:val="56"/>
        </w:rPr>
      </w:pPr>
    </w:p>
    <w:p w14:paraId="1373D862">
      <w:pPr>
        <w:pStyle w:val="13"/>
        <w:jc w:val="center"/>
        <w:rPr>
          <w:sz w:val="56"/>
          <w:szCs w:val="56"/>
        </w:rPr>
      </w:pPr>
    </w:p>
    <w:p w14:paraId="2258F549">
      <w:pPr>
        <w:pStyle w:val="13"/>
        <w:jc w:val="center"/>
        <w:rPr>
          <w:sz w:val="56"/>
          <w:szCs w:val="56"/>
        </w:rPr>
      </w:pPr>
    </w:p>
    <w:p w14:paraId="1090C002">
      <w:pPr>
        <w:pStyle w:val="13"/>
        <w:jc w:val="center"/>
        <w:rPr>
          <w:sz w:val="32"/>
          <w:szCs w:val="32"/>
        </w:rPr>
      </w:pPr>
    </w:p>
    <w:p w14:paraId="3FF66E6C">
      <w:pPr>
        <w:pStyle w:val="13"/>
        <w:jc w:val="center"/>
        <w:rPr>
          <w:sz w:val="32"/>
          <w:szCs w:val="32"/>
        </w:rPr>
      </w:pPr>
    </w:p>
    <w:p w14:paraId="1A977042">
      <w:pPr>
        <w:pStyle w:val="13"/>
        <w:jc w:val="center"/>
        <w:rPr>
          <w:sz w:val="32"/>
          <w:szCs w:val="32"/>
        </w:rPr>
      </w:pPr>
    </w:p>
    <w:p w14:paraId="418CF488">
      <w:pPr>
        <w:pStyle w:val="13"/>
        <w:spacing w:line="500" w:lineRule="exact"/>
        <w:jc w:val="both"/>
        <w:rPr>
          <w:b/>
          <w:sz w:val="36"/>
          <w:szCs w:val="28"/>
        </w:rPr>
      </w:pPr>
    </w:p>
    <w:p w14:paraId="4491E043">
      <w:pPr>
        <w:spacing w:line="520" w:lineRule="exact"/>
        <w:jc w:val="center"/>
        <w:rPr>
          <w:rFonts w:ascii="黑体" w:hAnsi="黑体" w:eastAsia="黑体"/>
          <w:color w:val="000000"/>
          <w:kern w:val="0"/>
          <w:sz w:val="44"/>
          <w:szCs w:val="24"/>
          <w:highlight w:val="white"/>
        </w:rPr>
      </w:pPr>
      <w:r>
        <w:rPr>
          <w:rFonts w:hint="eastAsia" w:ascii="黑体" w:hAnsi="黑体" w:eastAsia="黑体"/>
          <w:color w:val="000000"/>
          <w:kern w:val="0"/>
          <w:sz w:val="44"/>
          <w:szCs w:val="24"/>
          <w:highlight w:val="white"/>
        </w:rPr>
        <w:t>目  录</w:t>
      </w:r>
    </w:p>
    <w:p w14:paraId="2FC65E19">
      <w:pPr>
        <w:pStyle w:val="13"/>
        <w:spacing w:line="500" w:lineRule="exact"/>
        <w:rPr>
          <w:sz w:val="32"/>
          <w:szCs w:val="32"/>
        </w:rPr>
      </w:pPr>
    </w:p>
    <w:p w14:paraId="6FEC0C21">
      <w:pPr>
        <w:pStyle w:val="13"/>
        <w:spacing w:line="500" w:lineRule="exact"/>
        <w:rPr>
          <w:sz w:val="32"/>
          <w:szCs w:val="32"/>
        </w:rPr>
      </w:pPr>
      <w:r>
        <w:rPr>
          <w:rFonts w:hint="eastAsia"/>
          <w:sz w:val="32"/>
          <w:szCs w:val="32"/>
        </w:rPr>
        <w:t>第一部分中共岳阳市委组织部概况</w:t>
      </w:r>
    </w:p>
    <w:p w14:paraId="40A8A907">
      <w:pPr>
        <w:spacing w:line="620" w:lineRule="exact"/>
        <w:ind w:firstLine="640" w:firstLineChars="200"/>
        <w:rPr>
          <w:rFonts w:eastAsia="仿宋_GB2312" w:cs="仿宋_GB2312"/>
          <w:kern w:val="0"/>
          <w:sz w:val="32"/>
          <w:szCs w:val="32"/>
        </w:rPr>
      </w:pPr>
      <w:r>
        <w:rPr>
          <w:rFonts w:hint="eastAsia" w:eastAsia="仿宋_GB2312" w:cs="仿宋_GB2312"/>
          <w:kern w:val="0"/>
          <w:sz w:val="32"/>
          <w:szCs w:val="32"/>
        </w:rPr>
        <w:t>一、部门职责</w:t>
      </w:r>
    </w:p>
    <w:p w14:paraId="47E96C57">
      <w:pPr>
        <w:spacing w:line="620" w:lineRule="exact"/>
        <w:ind w:firstLine="640" w:firstLineChars="200"/>
        <w:rPr>
          <w:rFonts w:eastAsia="仿宋_GB2312" w:cs="仿宋_GB2312"/>
          <w:kern w:val="0"/>
          <w:sz w:val="32"/>
          <w:szCs w:val="32"/>
        </w:rPr>
      </w:pPr>
      <w:r>
        <w:rPr>
          <w:rFonts w:hint="eastAsia" w:eastAsia="仿宋_GB2312" w:cs="仿宋_GB2312"/>
          <w:kern w:val="0"/>
          <w:sz w:val="32"/>
          <w:szCs w:val="32"/>
        </w:rPr>
        <w:t>二、机构设置及决算单位构成</w:t>
      </w:r>
    </w:p>
    <w:p w14:paraId="14C55CEA">
      <w:pPr>
        <w:pStyle w:val="13"/>
        <w:spacing w:line="500" w:lineRule="exact"/>
        <w:rPr>
          <w:sz w:val="32"/>
          <w:szCs w:val="32"/>
        </w:rPr>
      </w:pPr>
      <w:r>
        <w:rPr>
          <w:rFonts w:hint="eastAsia"/>
          <w:sz w:val="32"/>
          <w:szCs w:val="32"/>
        </w:rPr>
        <w:t>第二部分 部门决算表</w:t>
      </w:r>
    </w:p>
    <w:p w14:paraId="472182A2">
      <w:pPr>
        <w:spacing w:line="620" w:lineRule="exact"/>
        <w:ind w:firstLine="640" w:firstLineChars="200"/>
        <w:rPr>
          <w:rFonts w:eastAsia="仿宋_GB2312" w:cs="仿宋_GB2312"/>
          <w:kern w:val="0"/>
          <w:sz w:val="32"/>
          <w:szCs w:val="32"/>
        </w:rPr>
      </w:pPr>
      <w:r>
        <w:rPr>
          <w:rFonts w:hint="eastAsia" w:eastAsia="仿宋_GB2312" w:cs="仿宋_GB2312"/>
          <w:kern w:val="0"/>
          <w:sz w:val="32"/>
          <w:szCs w:val="32"/>
        </w:rPr>
        <w:t>一、收入支出决算总表</w:t>
      </w:r>
    </w:p>
    <w:p w14:paraId="5F0EC203">
      <w:pPr>
        <w:spacing w:line="620" w:lineRule="exact"/>
        <w:ind w:firstLine="640" w:firstLineChars="200"/>
        <w:rPr>
          <w:rFonts w:eastAsia="仿宋_GB2312" w:cs="仿宋_GB2312"/>
          <w:kern w:val="0"/>
          <w:sz w:val="32"/>
          <w:szCs w:val="32"/>
        </w:rPr>
      </w:pPr>
      <w:r>
        <w:rPr>
          <w:rFonts w:hint="eastAsia" w:eastAsia="仿宋_GB2312" w:cs="仿宋_GB2312"/>
          <w:kern w:val="0"/>
          <w:sz w:val="32"/>
          <w:szCs w:val="32"/>
        </w:rPr>
        <w:t>二、收入决算表</w:t>
      </w:r>
    </w:p>
    <w:p w14:paraId="765E03A9">
      <w:pPr>
        <w:spacing w:line="620" w:lineRule="exact"/>
        <w:ind w:firstLine="640" w:firstLineChars="200"/>
        <w:rPr>
          <w:rFonts w:eastAsia="仿宋_GB2312" w:cs="仿宋_GB2312"/>
          <w:kern w:val="0"/>
          <w:sz w:val="32"/>
          <w:szCs w:val="32"/>
        </w:rPr>
      </w:pPr>
      <w:r>
        <w:rPr>
          <w:rFonts w:hint="eastAsia" w:eastAsia="仿宋_GB2312" w:cs="仿宋_GB2312"/>
          <w:kern w:val="0"/>
          <w:sz w:val="32"/>
          <w:szCs w:val="32"/>
        </w:rPr>
        <w:t>三、支出决算表</w:t>
      </w:r>
    </w:p>
    <w:p w14:paraId="03CB97E1">
      <w:pPr>
        <w:spacing w:line="620" w:lineRule="exact"/>
        <w:ind w:firstLine="640" w:firstLineChars="200"/>
        <w:rPr>
          <w:rFonts w:eastAsia="仿宋_GB2312" w:cs="仿宋_GB2312"/>
          <w:kern w:val="0"/>
          <w:sz w:val="32"/>
          <w:szCs w:val="32"/>
        </w:rPr>
      </w:pPr>
      <w:r>
        <w:rPr>
          <w:rFonts w:hint="eastAsia" w:eastAsia="仿宋_GB2312" w:cs="仿宋_GB2312"/>
          <w:kern w:val="0"/>
          <w:sz w:val="32"/>
          <w:szCs w:val="32"/>
        </w:rPr>
        <w:t>四、财政拨款收入支出决算总表</w:t>
      </w:r>
    </w:p>
    <w:p w14:paraId="56642361">
      <w:pPr>
        <w:spacing w:line="620" w:lineRule="exact"/>
        <w:ind w:firstLine="640" w:firstLineChars="200"/>
        <w:rPr>
          <w:rFonts w:eastAsia="仿宋_GB2312" w:cs="仿宋_GB2312"/>
          <w:kern w:val="0"/>
          <w:sz w:val="32"/>
          <w:szCs w:val="32"/>
        </w:rPr>
      </w:pPr>
      <w:r>
        <w:rPr>
          <w:rFonts w:hint="eastAsia" w:eastAsia="仿宋_GB2312" w:cs="仿宋_GB2312"/>
          <w:kern w:val="0"/>
          <w:sz w:val="32"/>
          <w:szCs w:val="32"/>
        </w:rPr>
        <w:t>五、一般公共预算财政拨款支出决算表</w:t>
      </w:r>
    </w:p>
    <w:p w14:paraId="6A0C501C">
      <w:pPr>
        <w:spacing w:line="620" w:lineRule="exact"/>
        <w:ind w:firstLine="640" w:firstLineChars="200"/>
        <w:rPr>
          <w:rFonts w:eastAsia="仿宋_GB2312" w:cs="仿宋_GB2312"/>
          <w:kern w:val="0"/>
          <w:sz w:val="32"/>
          <w:szCs w:val="32"/>
        </w:rPr>
      </w:pPr>
      <w:r>
        <w:rPr>
          <w:rFonts w:hint="eastAsia" w:eastAsia="仿宋_GB2312" w:cs="仿宋_GB2312"/>
          <w:kern w:val="0"/>
          <w:sz w:val="32"/>
          <w:szCs w:val="32"/>
        </w:rPr>
        <w:t>六、一般公共预算财政拨款基本支出决算明细表</w:t>
      </w:r>
    </w:p>
    <w:p w14:paraId="6B590D41">
      <w:pPr>
        <w:spacing w:line="620" w:lineRule="exact"/>
        <w:ind w:firstLine="640" w:firstLineChars="200"/>
        <w:rPr>
          <w:rFonts w:eastAsia="仿宋_GB2312" w:cs="仿宋_GB2312"/>
          <w:kern w:val="0"/>
          <w:sz w:val="32"/>
          <w:szCs w:val="32"/>
        </w:rPr>
      </w:pPr>
      <w:r>
        <w:rPr>
          <w:rFonts w:hint="eastAsia" w:eastAsia="仿宋_GB2312" w:cs="仿宋_GB2312"/>
          <w:kern w:val="0"/>
          <w:sz w:val="32"/>
          <w:szCs w:val="32"/>
        </w:rPr>
        <w:t>七、政府性基金预算财政拨款收入支出决算表</w:t>
      </w:r>
    </w:p>
    <w:p w14:paraId="3D637C3E">
      <w:pPr>
        <w:spacing w:line="620" w:lineRule="exact"/>
        <w:ind w:firstLine="640" w:firstLineChars="200"/>
        <w:rPr>
          <w:rFonts w:eastAsia="仿宋_GB2312" w:cs="仿宋_GB2312"/>
          <w:kern w:val="0"/>
          <w:sz w:val="32"/>
          <w:szCs w:val="32"/>
        </w:rPr>
      </w:pPr>
      <w:r>
        <w:rPr>
          <w:rFonts w:hint="eastAsia" w:eastAsia="仿宋_GB2312" w:cs="仿宋_GB2312"/>
          <w:kern w:val="0"/>
          <w:sz w:val="32"/>
          <w:szCs w:val="32"/>
        </w:rPr>
        <w:t>八、国有资本经营预算财政拨款支出决算表</w:t>
      </w:r>
    </w:p>
    <w:p w14:paraId="230873F0">
      <w:pPr>
        <w:spacing w:line="620" w:lineRule="exact"/>
        <w:ind w:firstLine="640" w:firstLineChars="200"/>
        <w:rPr>
          <w:rFonts w:eastAsia="仿宋_GB2312" w:cs="仿宋_GB2312"/>
          <w:kern w:val="0"/>
          <w:sz w:val="32"/>
          <w:szCs w:val="32"/>
        </w:rPr>
      </w:pPr>
      <w:r>
        <w:rPr>
          <w:rFonts w:hint="eastAsia" w:eastAsia="仿宋_GB2312" w:cs="仿宋_GB2312"/>
          <w:kern w:val="0"/>
          <w:sz w:val="32"/>
          <w:szCs w:val="32"/>
        </w:rPr>
        <w:t>九、财政拨款“三公”经费支出决算表</w:t>
      </w:r>
    </w:p>
    <w:p w14:paraId="6D82D36C">
      <w:pPr>
        <w:pStyle w:val="13"/>
        <w:spacing w:line="500" w:lineRule="exact"/>
        <w:rPr>
          <w:sz w:val="32"/>
          <w:szCs w:val="32"/>
        </w:rPr>
      </w:pPr>
      <w:r>
        <w:rPr>
          <w:rFonts w:hint="eastAsia"/>
          <w:sz w:val="32"/>
          <w:szCs w:val="32"/>
        </w:rPr>
        <w:t>第三部分 部门决算情况说明</w:t>
      </w:r>
    </w:p>
    <w:p w14:paraId="382941F2">
      <w:pPr>
        <w:spacing w:line="620" w:lineRule="exact"/>
        <w:ind w:firstLine="640" w:firstLineChars="200"/>
        <w:rPr>
          <w:rFonts w:eastAsia="仿宋_GB2312" w:cs="仿宋_GB2312"/>
          <w:kern w:val="0"/>
          <w:sz w:val="32"/>
          <w:szCs w:val="32"/>
        </w:rPr>
      </w:pPr>
      <w:r>
        <w:rPr>
          <w:rFonts w:hint="eastAsia" w:eastAsia="仿宋_GB2312" w:cs="仿宋_GB2312"/>
          <w:kern w:val="0"/>
          <w:sz w:val="32"/>
          <w:szCs w:val="32"/>
        </w:rPr>
        <w:t>一、收入支出决算总体情况说明</w:t>
      </w:r>
    </w:p>
    <w:p w14:paraId="23571208">
      <w:pPr>
        <w:spacing w:line="620" w:lineRule="exact"/>
        <w:ind w:firstLine="640" w:firstLineChars="200"/>
        <w:rPr>
          <w:rFonts w:eastAsia="仿宋_GB2312" w:cs="仿宋_GB2312"/>
          <w:kern w:val="0"/>
          <w:sz w:val="32"/>
          <w:szCs w:val="32"/>
        </w:rPr>
      </w:pPr>
      <w:r>
        <w:rPr>
          <w:rFonts w:hint="eastAsia" w:eastAsia="仿宋_GB2312" w:cs="仿宋_GB2312"/>
          <w:kern w:val="0"/>
          <w:sz w:val="32"/>
          <w:szCs w:val="32"/>
        </w:rPr>
        <w:t>二、收入决算情况说明</w:t>
      </w:r>
    </w:p>
    <w:p w14:paraId="24B7B712">
      <w:pPr>
        <w:spacing w:line="620" w:lineRule="exact"/>
        <w:ind w:firstLine="640" w:firstLineChars="200"/>
        <w:rPr>
          <w:rFonts w:eastAsia="仿宋_GB2312" w:cs="仿宋_GB2312"/>
          <w:kern w:val="0"/>
          <w:sz w:val="32"/>
          <w:szCs w:val="32"/>
        </w:rPr>
      </w:pPr>
      <w:r>
        <w:rPr>
          <w:rFonts w:hint="eastAsia" w:eastAsia="仿宋_GB2312" w:cs="仿宋_GB2312"/>
          <w:kern w:val="0"/>
          <w:sz w:val="32"/>
          <w:szCs w:val="32"/>
        </w:rPr>
        <w:t>三、支出决算情况说明</w:t>
      </w:r>
    </w:p>
    <w:p w14:paraId="4317A119">
      <w:pPr>
        <w:spacing w:line="620" w:lineRule="exact"/>
        <w:ind w:firstLine="640" w:firstLineChars="200"/>
        <w:rPr>
          <w:rFonts w:eastAsia="仿宋_GB2312" w:cs="仿宋_GB2312"/>
          <w:kern w:val="0"/>
          <w:sz w:val="32"/>
          <w:szCs w:val="32"/>
        </w:rPr>
      </w:pPr>
      <w:r>
        <w:rPr>
          <w:rFonts w:hint="eastAsia" w:eastAsia="仿宋_GB2312" w:cs="仿宋_GB2312"/>
          <w:kern w:val="0"/>
          <w:sz w:val="32"/>
          <w:szCs w:val="32"/>
        </w:rPr>
        <w:t>四、财政拨款收入支出决算总体情况说明</w:t>
      </w:r>
    </w:p>
    <w:p w14:paraId="53109491">
      <w:pPr>
        <w:spacing w:line="620" w:lineRule="exact"/>
        <w:ind w:firstLine="640" w:firstLineChars="200"/>
        <w:rPr>
          <w:rFonts w:eastAsia="仿宋_GB2312" w:cs="仿宋_GB2312"/>
          <w:kern w:val="0"/>
          <w:sz w:val="32"/>
          <w:szCs w:val="32"/>
        </w:rPr>
      </w:pPr>
      <w:r>
        <w:rPr>
          <w:rFonts w:hint="eastAsia" w:eastAsia="仿宋_GB2312" w:cs="仿宋_GB2312"/>
          <w:kern w:val="0"/>
          <w:sz w:val="32"/>
          <w:szCs w:val="32"/>
        </w:rPr>
        <w:t>五、一般公共预算财政拨款支出决算情况说明</w:t>
      </w:r>
    </w:p>
    <w:p w14:paraId="644583A2">
      <w:pPr>
        <w:spacing w:line="620" w:lineRule="exact"/>
        <w:ind w:firstLine="640" w:firstLineChars="200"/>
        <w:rPr>
          <w:rFonts w:eastAsia="仿宋_GB2312" w:cs="仿宋_GB2312"/>
          <w:kern w:val="0"/>
          <w:sz w:val="32"/>
          <w:szCs w:val="32"/>
        </w:rPr>
      </w:pPr>
      <w:r>
        <w:rPr>
          <w:rFonts w:hint="eastAsia" w:eastAsia="仿宋_GB2312" w:cs="仿宋_GB2312"/>
          <w:kern w:val="0"/>
          <w:sz w:val="32"/>
          <w:szCs w:val="32"/>
        </w:rPr>
        <w:t>六、一般公共预算财政拨款基本支出决算情况说明</w:t>
      </w:r>
    </w:p>
    <w:p w14:paraId="72926961">
      <w:pPr>
        <w:spacing w:line="620" w:lineRule="exact"/>
        <w:ind w:firstLine="640" w:firstLineChars="200"/>
        <w:rPr>
          <w:rFonts w:eastAsia="仿宋_GB2312" w:cs="仿宋_GB2312"/>
          <w:kern w:val="0"/>
          <w:sz w:val="32"/>
          <w:szCs w:val="32"/>
        </w:rPr>
      </w:pPr>
      <w:r>
        <w:rPr>
          <w:rFonts w:hint="eastAsia" w:eastAsia="仿宋_GB2312" w:cs="仿宋_GB2312"/>
          <w:kern w:val="0"/>
          <w:sz w:val="32"/>
          <w:szCs w:val="32"/>
        </w:rPr>
        <w:t>七、政府性基金预算收入支出决算情况</w:t>
      </w:r>
    </w:p>
    <w:p w14:paraId="66F5568B">
      <w:pPr>
        <w:spacing w:line="620" w:lineRule="exact"/>
        <w:ind w:firstLine="640" w:firstLineChars="200"/>
        <w:rPr>
          <w:rFonts w:eastAsia="仿宋_GB2312" w:cs="仿宋_GB2312"/>
          <w:kern w:val="0"/>
          <w:sz w:val="32"/>
          <w:szCs w:val="32"/>
        </w:rPr>
      </w:pPr>
      <w:r>
        <w:rPr>
          <w:rFonts w:hint="eastAsia" w:eastAsia="仿宋_GB2312" w:cs="仿宋_GB2312"/>
          <w:kern w:val="0"/>
          <w:sz w:val="32"/>
          <w:szCs w:val="32"/>
        </w:rPr>
        <w:t>八、国有资本经营预算财政拨款支出决算情况</w:t>
      </w:r>
    </w:p>
    <w:p w14:paraId="75F3E7C5">
      <w:pPr>
        <w:spacing w:line="620" w:lineRule="exact"/>
        <w:ind w:firstLine="640" w:firstLineChars="200"/>
        <w:rPr>
          <w:rFonts w:eastAsia="仿宋_GB2312" w:cs="仿宋_GB2312"/>
          <w:kern w:val="0"/>
          <w:sz w:val="32"/>
          <w:szCs w:val="32"/>
        </w:rPr>
      </w:pPr>
      <w:r>
        <w:rPr>
          <w:rFonts w:hint="eastAsia" w:eastAsia="仿宋_GB2312" w:cs="仿宋_GB2312"/>
          <w:kern w:val="0"/>
          <w:sz w:val="32"/>
          <w:szCs w:val="32"/>
        </w:rPr>
        <w:t>九、财政拨款三公经费支出决算情况说明</w:t>
      </w:r>
    </w:p>
    <w:p w14:paraId="14007513">
      <w:pPr>
        <w:spacing w:line="620" w:lineRule="exact"/>
        <w:ind w:firstLine="640" w:firstLineChars="200"/>
        <w:rPr>
          <w:rFonts w:eastAsia="仿宋_GB2312" w:cs="仿宋_GB2312"/>
          <w:kern w:val="0"/>
          <w:sz w:val="32"/>
          <w:szCs w:val="32"/>
        </w:rPr>
      </w:pPr>
      <w:r>
        <w:rPr>
          <w:rFonts w:hint="eastAsia" w:eastAsia="仿宋_GB2312" w:cs="仿宋_GB2312"/>
          <w:kern w:val="0"/>
          <w:sz w:val="32"/>
          <w:szCs w:val="32"/>
        </w:rPr>
        <w:t>十、关于机关运行经费支出说明</w:t>
      </w:r>
    </w:p>
    <w:p w14:paraId="3433FF1B">
      <w:pPr>
        <w:spacing w:line="620" w:lineRule="exact"/>
        <w:ind w:firstLine="640" w:firstLineChars="200"/>
        <w:rPr>
          <w:rFonts w:eastAsia="仿宋_GB2312" w:cs="仿宋_GB2312"/>
          <w:kern w:val="0"/>
          <w:sz w:val="32"/>
          <w:szCs w:val="32"/>
        </w:rPr>
      </w:pPr>
      <w:r>
        <w:rPr>
          <w:rFonts w:hint="eastAsia" w:eastAsia="仿宋_GB2312" w:cs="仿宋_GB2312"/>
          <w:kern w:val="0"/>
          <w:sz w:val="32"/>
          <w:szCs w:val="32"/>
        </w:rPr>
        <w:t>十一、一般性支出情况说明</w:t>
      </w:r>
    </w:p>
    <w:p w14:paraId="4AF5B702">
      <w:pPr>
        <w:spacing w:line="620" w:lineRule="exact"/>
        <w:ind w:firstLine="640" w:firstLineChars="200"/>
        <w:rPr>
          <w:rFonts w:eastAsia="仿宋_GB2312" w:cs="仿宋_GB2312"/>
          <w:kern w:val="0"/>
          <w:sz w:val="32"/>
          <w:szCs w:val="32"/>
        </w:rPr>
      </w:pPr>
      <w:r>
        <w:rPr>
          <w:rFonts w:hint="eastAsia" w:eastAsia="仿宋_GB2312" w:cs="仿宋_GB2312"/>
          <w:kern w:val="0"/>
          <w:sz w:val="32"/>
          <w:szCs w:val="32"/>
        </w:rPr>
        <w:t>十二、关于政府采购支出说明</w:t>
      </w:r>
    </w:p>
    <w:p w14:paraId="3128B37C">
      <w:pPr>
        <w:spacing w:line="620" w:lineRule="exact"/>
        <w:ind w:firstLine="640" w:firstLineChars="200"/>
        <w:rPr>
          <w:rFonts w:eastAsia="仿宋_GB2312" w:cs="仿宋_GB2312"/>
          <w:kern w:val="0"/>
          <w:sz w:val="32"/>
          <w:szCs w:val="32"/>
        </w:rPr>
      </w:pPr>
      <w:r>
        <w:rPr>
          <w:rFonts w:hint="eastAsia" w:eastAsia="仿宋_GB2312" w:cs="仿宋_GB2312"/>
          <w:kern w:val="0"/>
          <w:sz w:val="32"/>
          <w:szCs w:val="32"/>
        </w:rPr>
        <w:t>十三、关于国有资产占用情况说明</w:t>
      </w:r>
    </w:p>
    <w:p w14:paraId="5E56C724">
      <w:pPr>
        <w:spacing w:line="620" w:lineRule="exact"/>
        <w:ind w:firstLine="640" w:firstLineChars="200"/>
        <w:rPr>
          <w:rFonts w:eastAsia="仿宋_GB2312" w:cs="仿宋_GB2312"/>
          <w:kern w:val="0"/>
          <w:sz w:val="32"/>
          <w:szCs w:val="32"/>
        </w:rPr>
      </w:pPr>
      <w:r>
        <w:rPr>
          <w:rFonts w:hint="eastAsia" w:eastAsia="仿宋_GB2312" w:cs="仿宋_GB2312"/>
          <w:kern w:val="0"/>
          <w:sz w:val="32"/>
          <w:szCs w:val="32"/>
        </w:rPr>
        <w:t>十四、关于预算绩效情况的说明</w:t>
      </w:r>
    </w:p>
    <w:p w14:paraId="4DE43F7A">
      <w:pPr>
        <w:pStyle w:val="13"/>
        <w:spacing w:line="500" w:lineRule="exact"/>
        <w:rPr>
          <w:sz w:val="32"/>
          <w:szCs w:val="32"/>
        </w:rPr>
      </w:pPr>
      <w:r>
        <w:rPr>
          <w:rFonts w:hint="eastAsia"/>
          <w:sz w:val="32"/>
          <w:szCs w:val="32"/>
        </w:rPr>
        <w:t>第四部分 名词解释</w:t>
      </w:r>
    </w:p>
    <w:p w14:paraId="00176101">
      <w:pPr>
        <w:pStyle w:val="13"/>
        <w:spacing w:line="500" w:lineRule="exact"/>
        <w:rPr>
          <w:sz w:val="32"/>
          <w:szCs w:val="32"/>
        </w:rPr>
      </w:pPr>
      <w:r>
        <w:rPr>
          <w:rFonts w:hint="eastAsia"/>
          <w:sz w:val="32"/>
          <w:szCs w:val="32"/>
        </w:rPr>
        <w:t>第五部分 附件</w:t>
      </w:r>
    </w:p>
    <w:p w14:paraId="035086CA">
      <w:pPr>
        <w:jc w:val="center"/>
        <w:rPr>
          <w:sz w:val="72"/>
          <w:szCs w:val="72"/>
        </w:rPr>
      </w:pPr>
    </w:p>
    <w:p w14:paraId="235291D1">
      <w:pPr>
        <w:jc w:val="center"/>
        <w:rPr>
          <w:sz w:val="72"/>
          <w:szCs w:val="72"/>
        </w:rPr>
      </w:pPr>
    </w:p>
    <w:p w14:paraId="23E2C904">
      <w:pPr>
        <w:jc w:val="center"/>
        <w:rPr>
          <w:sz w:val="72"/>
          <w:szCs w:val="72"/>
        </w:rPr>
      </w:pPr>
    </w:p>
    <w:p w14:paraId="6FEC73B8">
      <w:pPr>
        <w:jc w:val="center"/>
        <w:rPr>
          <w:sz w:val="72"/>
          <w:szCs w:val="72"/>
        </w:rPr>
      </w:pPr>
    </w:p>
    <w:p w14:paraId="4CC24201">
      <w:pPr>
        <w:jc w:val="center"/>
        <w:rPr>
          <w:sz w:val="72"/>
          <w:szCs w:val="72"/>
        </w:rPr>
      </w:pPr>
    </w:p>
    <w:p w14:paraId="74C9E6E9">
      <w:pPr>
        <w:jc w:val="center"/>
        <w:rPr>
          <w:sz w:val="72"/>
          <w:szCs w:val="72"/>
        </w:rPr>
      </w:pPr>
    </w:p>
    <w:p w14:paraId="265AC110">
      <w:pPr>
        <w:jc w:val="center"/>
        <w:rPr>
          <w:sz w:val="72"/>
          <w:szCs w:val="72"/>
        </w:rPr>
      </w:pPr>
    </w:p>
    <w:p w14:paraId="3CABF99A">
      <w:pPr>
        <w:jc w:val="center"/>
        <w:rPr>
          <w:sz w:val="72"/>
          <w:szCs w:val="72"/>
        </w:rPr>
      </w:pPr>
    </w:p>
    <w:p w14:paraId="4FA0BAA8">
      <w:pPr>
        <w:jc w:val="center"/>
        <w:rPr>
          <w:sz w:val="72"/>
          <w:szCs w:val="72"/>
        </w:rPr>
      </w:pPr>
    </w:p>
    <w:p w14:paraId="47156687">
      <w:pPr>
        <w:jc w:val="center"/>
        <w:rPr>
          <w:sz w:val="72"/>
          <w:szCs w:val="72"/>
        </w:rPr>
      </w:pPr>
    </w:p>
    <w:p w14:paraId="05309EBB">
      <w:pPr>
        <w:jc w:val="center"/>
        <w:rPr>
          <w:sz w:val="72"/>
          <w:szCs w:val="72"/>
        </w:rPr>
      </w:pPr>
    </w:p>
    <w:p w14:paraId="4CF74923">
      <w:pPr>
        <w:jc w:val="center"/>
        <w:rPr>
          <w:sz w:val="72"/>
          <w:szCs w:val="72"/>
        </w:rPr>
      </w:pPr>
    </w:p>
    <w:p w14:paraId="4BA557AE">
      <w:pPr>
        <w:pStyle w:val="13"/>
        <w:jc w:val="center"/>
        <w:rPr>
          <w:sz w:val="84"/>
          <w:szCs w:val="84"/>
        </w:rPr>
      </w:pPr>
      <w:r>
        <w:rPr>
          <w:rFonts w:hint="eastAsia"/>
          <w:sz w:val="84"/>
          <w:szCs w:val="84"/>
        </w:rPr>
        <w:t>第一部分</w:t>
      </w:r>
    </w:p>
    <w:p w14:paraId="730BCB21">
      <w:pPr>
        <w:pStyle w:val="13"/>
        <w:jc w:val="center"/>
        <w:rPr>
          <w:sz w:val="84"/>
          <w:szCs w:val="84"/>
        </w:rPr>
      </w:pPr>
      <w:r>
        <w:rPr>
          <w:rFonts w:hint="eastAsia"/>
          <w:sz w:val="84"/>
          <w:szCs w:val="84"/>
        </w:rPr>
        <w:t>中共岳阳市委组织部</w:t>
      </w:r>
    </w:p>
    <w:p w14:paraId="0DEAA5E1">
      <w:pPr>
        <w:pStyle w:val="13"/>
        <w:jc w:val="center"/>
        <w:rPr>
          <w:sz w:val="84"/>
          <w:szCs w:val="84"/>
        </w:rPr>
      </w:pPr>
      <w:r>
        <w:rPr>
          <w:rFonts w:hint="eastAsia"/>
          <w:sz w:val="84"/>
          <w:szCs w:val="84"/>
        </w:rPr>
        <w:t>概  况</w:t>
      </w:r>
    </w:p>
    <w:p w14:paraId="52775DA1">
      <w:pPr>
        <w:jc w:val="center"/>
        <w:rPr>
          <w:rFonts w:ascii="方正小标宋_GBK" w:hAnsi="方正小标宋_GBK" w:eastAsia="方正小标宋_GBK" w:cs="方正小标宋_GBK"/>
          <w:sz w:val="72"/>
          <w:szCs w:val="72"/>
        </w:rPr>
      </w:pPr>
    </w:p>
    <w:p w14:paraId="51781496">
      <w:pPr>
        <w:jc w:val="center"/>
        <w:rPr>
          <w:sz w:val="72"/>
          <w:szCs w:val="72"/>
        </w:rPr>
      </w:pPr>
    </w:p>
    <w:p w14:paraId="5B927432">
      <w:pPr>
        <w:jc w:val="center"/>
        <w:rPr>
          <w:sz w:val="72"/>
          <w:szCs w:val="72"/>
        </w:rPr>
      </w:pPr>
    </w:p>
    <w:p w14:paraId="1DB87F76">
      <w:pPr>
        <w:jc w:val="center"/>
        <w:rPr>
          <w:sz w:val="72"/>
          <w:szCs w:val="72"/>
        </w:rPr>
      </w:pPr>
    </w:p>
    <w:p w14:paraId="097CFE73">
      <w:pPr>
        <w:jc w:val="center"/>
        <w:rPr>
          <w:sz w:val="72"/>
          <w:szCs w:val="72"/>
        </w:rPr>
      </w:pPr>
    </w:p>
    <w:p w14:paraId="5F7AE389">
      <w:pPr>
        <w:jc w:val="center"/>
        <w:rPr>
          <w:sz w:val="72"/>
          <w:szCs w:val="72"/>
        </w:rPr>
      </w:pPr>
    </w:p>
    <w:p w14:paraId="298A0C00">
      <w:pPr>
        <w:jc w:val="center"/>
        <w:rPr>
          <w:sz w:val="36"/>
          <w:szCs w:val="72"/>
        </w:rPr>
      </w:pPr>
    </w:p>
    <w:p w14:paraId="291CFA28">
      <w:pPr>
        <w:pStyle w:val="14"/>
        <w:numPr>
          <w:ilvl w:val="0"/>
          <w:numId w:val="1"/>
        </w:numPr>
        <w:ind w:firstLineChars="0"/>
        <w:jc w:val="left"/>
        <w:rPr>
          <w:rFonts w:ascii="黑体" w:hAnsi="黑体" w:eastAsia="黑体" w:cs="黑体"/>
          <w:sz w:val="32"/>
          <w:szCs w:val="32"/>
        </w:rPr>
      </w:pPr>
      <w:r>
        <w:rPr>
          <w:rFonts w:hint="eastAsia" w:ascii="黑体" w:hAnsi="黑体" w:eastAsia="黑体" w:cs="黑体"/>
          <w:sz w:val="32"/>
          <w:szCs w:val="32"/>
        </w:rPr>
        <w:t>部门职责</w:t>
      </w:r>
    </w:p>
    <w:p w14:paraId="05D4AC42">
      <w:pPr>
        <w:widowControl/>
        <w:numPr>
          <w:ilvl w:val="0"/>
          <w:numId w:val="2"/>
        </w:numPr>
        <w:spacing w:line="600" w:lineRule="exact"/>
        <w:ind w:left="720"/>
        <w:rPr>
          <w:rFonts w:hint="eastAsia" w:eastAsia="仿宋_GB2312" w:cs="仿宋_GB2312"/>
          <w:kern w:val="0"/>
          <w:sz w:val="32"/>
          <w:szCs w:val="32"/>
        </w:rPr>
      </w:pPr>
      <w:r>
        <w:rPr>
          <w:rFonts w:hint="eastAsia" w:eastAsia="仿宋_GB2312" w:cs="仿宋_GB2312"/>
          <w:kern w:val="0"/>
          <w:sz w:val="32"/>
          <w:szCs w:val="32"/>
        </w:rPr>
        <w:t>职能职责</w:t>
      </w:r>
    </w:p>
    <w:p w14:paraId="36B16C91">
      <w:pPr>
        <w:spacing w:line="620" w:lineRule="exact"/>
        <w:ind w:firstLine="640" w:firstLineChars="200"/>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因为岳办〔2024〕19号文件涉密，此部分内容不公开。</w:t>
      </w:r>
    </w:p>
    <w:p w14:paraId="32E5AFDB">
      <w:pPr>
        <w:widowControl/>
        <w:spacing w:line="600" w:lineRule="exact"/>
        <w:rPr>
          <w:rFonts w:ascii="黑体" w:hAnsi="黑体" w:eastAsia="黑体" w:cs="黑体"/>
          <w:bCs/>
          <w:kern w:val="0"/>
          <w:sz w:val="32"/>
          <w:szCs w:val="32"/>
        </w:rPr>
      </w:pPr>
      <w:r>
        <w:rPr>
          <w:rFonts w:hint="eastAsia" w:ascii="黑体" w:hAnsi="黑体" w:eastAsia="黑体" w:cs="黑体"/>
          <w:bCs/>
          <w:kern w:val="0"/>
          <w:sz w:val="32"/>
          <w:szCs w:val="32"/>
        </w:rPr>
        <w:t>二、机构设置及决算单位构成</w:t>
      </w:r>
    </w:p>
    <w:p w14:paraId="2DEB0143">
      <w:pPr>
        <w:spacing w:line="620" w:lineRule="exact"/>
        <w:ind w:firstLine="640" w:firstLineChars="200"/>
        <w:rPr>
          <w:rFonts w:ascii="仿宋_GB2312" w:hAnsi="仿宋_GB2312" w:eastAsia="仿宋_GB2312" w:cs="仿宋_GB2312"/>
          <w:kern w:val="0"/>
          <w:sz w:val="32"/>
          <w:szCs w:val="32"/>
        </w:rPr>
      </w:pPr>
      <w:r>
        <w:rPr>
          <w:rFonts w:hint="eastAsia" w:ascii="楷体_GB2312" w:hAnsi="楷体_GB2312" w:eastAsia="楷体_GB2312" w:cs="楷体_GB2312"/>
          <w:b/>
          <w:kern w:val="0"/>
          <w:sz w:val="32"/>
          <w:szCs w:val="32"/>
        </w:rPr>
        <w:t>（一）内设机构设置。</w:t>
      </w:r>
      <w:r>
        <w:rPr>
          <w:rFonts w:hint="eastAsia" w:ascii="仿宋_GB2312" w:hAnsi="仿宋_GB2312" w:eastAsia="仿宋_GB2312" w:cs="仿宋_GB2312"/>
          <w:kern w:val="0"/>
          <w:sz w:val="32"/>
          <w:szCs w:val="32"/>
        </w:rPr>
        <w:t>根据市委编办核定，我部内设机构分别是办公室（新闻宣传办公室）、研究室（政策法规科）、干部一科、干部二科、干部三科、干部四科、干部队伍建设规划办公室、公务员一科、公务员二科、干部信息管理科、干部教育科、干部监督科（举报中心）、绩效考核一科、绩效考核二科、人才工作办公室、基层办、组织一科、组织二科、政工科、机关党委、机关纪委、市委非公有制经济组织和社会组织工作委员会办公室。</w:t>
      </w:r>
    </w:p>
    <w:p w14:paraId="43E2F3FE">
      <w:pPr>
        <w:spacing w:line="62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二级机构是党员教育中心和人才发展服务中心。</w:t>
      </w:r>
    </w:p>
    <w:p w14:paraId="272BF993">
      <w:pPr>
        <w:widowControl/>
        <w:spacing w:line="600" w:lineRule="exact"/>
        <w:rPr>
          <w:rFonts w:ascii="仿宋_GB2312" w:hAnsi="宋体" w:eastAsia="仿宋_GB2312"/>
          <w:sz w:val="28"/>
          <w:szCs w:val="32"/>
        </w:rPr>
      </w:pPr>
      <w:r>
        <w:rPr>
          <w:rFonts w:hint="eastAsia" w:ascii="楷体_GB2312" w:hAnsi="楷体_GB2312" w:eastAsia="楷体_GB2312" w:cs="楷体_GB2312"/>
          <w:b/>
          <w:kern w:val="0"/>
          <w:sz w:val="32"/>
          <w:szCs w:val="32"/>
        </w:rPr>
        <w:t xml:space="preserve">    决算单位构成。</w:t>
      </w:r>
      <w:r>
        <w:rPr>
          <w:rFonts w:hint="eastAsia" w:ascii="仿宋_GB2312" w:hAnsi="仿宋_GB2312" w:eastAsia="仿宋_GB2312" w:cs="仿宋_GB2312"/>
          <w:kern w:val="0"/>
          <w:sz w:val="32"/>
          <w:szCs w:val="32"/>
        </w:rPr>
        <w:t>本单位无独立核算的下属单位，2023年度部门决算汇总公开单位仅包括中共岳阳市委组织部本级。</w:t>
      </w:r>
    </w:p>
    <w:p w14:paraId="45B00521">
      <w:pPr>
        <w:jc w:val="center"/>
        <w:rPr>
          <w:rFonts w:ascii="黑体" w:hAnsi="黑体" w:eastAsia="黑体"/>
          <w:sz w:val="28"/>
          <w:szCs w:val="28"/>
        </w:rPr>
      </w:pPr>
    </w:p>
    <w:p w14:paraId="68248940">
      <w:pPr>
        <w:jc w:val="center"/>
        <w:rPr>
          <w:rFonts w:ascii="黑体" w:hAnsi="黑体" w:eastAsia="黑体"/>
          <w:sz w:val="28"/>
          <w:szCs w:val="28"/>
        </w:rPr>
      </w:pPr>
    </w:p>
    <w:p w14:paraId="1761E7CB">
      <w:pPr>
        <w:jc w:val="center"/>
        <w:rPr>
          <w:rFonts w:ascii="黑体" w:hAnsi="黑体" w:eastAsia="黑体"/>
          <w:sz w:val="28"/>
          <w:szCs w:val="28"/>
        </w:rPr>
      </w:pPr>
    </w:p>
    <w:p w14:paraId="1CCF6604">
      <w:pPr>
        <w:jc w:val="center"/>
        <w:rPr>
          <w:rFonts w:ascii="黑体" w:hAnsi="黑体" w:eastAsia="黑体"/>
          <w:sz w:val="28"/>
          <w:szCs w:val="28"/>
        </w:rPr>
      </w:pPr>
    </w:p>
    <w:p w14:paraId="000D8CD9">
      <w:pPr>
        <w:jc w:val="center"/>
        <w:rPr>
          <w:rFonts w:ascii="黑体" w:hAnsi="黑体" w:eastAsia="黑体"/>
          <w:sz w:val="28"/>
          <w:szCs w:val="28"/>
        </w:rPr>
      </w:pPr>
    </w:p>
    <w:p w14:paraId="0B404FDE">
      <w:pPr>
        <w:jc w:val="center"/>
        <w:rPr>
          <w:rFonts w:ascii="黑体" w:hAnsi="黑体" w:eastAsia="黑体"/>
          <w:sz w:val="28"/>
          <w:szCs w:val="28"/>
        </w:rPr>
      </w:pPr>
    </w:p>
    <w:p w14:paraId="6E17DBBF">
      <w:pPr>
        <w:jc w:val="center"/>
        <w:rPr>
          <w:rFonts w:ascii="黑体" w:hAnsi="黑体" w:eastAsia="黑体"/>
          <w:sz w:val="28"/>
          <w:szCs w:val="28"/>
        </w:rPr>
      </w:pPr>
    </w:p>
    <w:p w14:paraId="2CA55A19">
      <w:pPr>
        <w:jc w:val="center"/>
        <w:rPr>
          <w:rFonts w:ascii="黑体" w:hAnsi="黑体" w:eastAsia="黑体"/>
          <w:sz w:val="28"/>
          <w:szCs w:val="28"/>
        </w:rPr>
      </w:pPr>
    </w:p>
    <w:p w14:paraId="0E9F82EF">
      <w:pPr>
        <w:jc w:val="center"/>
        <w:rPr>
          <w:rFonts w:ascii="黑体" w:hAnsi="黑体" w:eastAsia="黑体"/>
          <w:sz w:val="28"/>
          <w:szCs w:val="28"/>
        </w:rPr>
      </w:pPr>
    </w:p>
    <w:p w14:paraId="475D437F">
      <w:pPr>
        <w:jc w:val="center"/>
        <w:rPr>
          <w:rFonts w:ascii="黑体" w:hAnsi="黑体" w:eastAsia="黑体"/>
          <w:sz w:val="28"/>
          <w:szCs w:val="28"/>
        </w:rPr>
      </w:pPr>
    </w:p>
    <w:p w14:paraId="1F561022">
      <w:pPr>
        <w:jc w:val="center"/>
        <w:rPr>
          <w:rFonts w:ascii="黑体" w:hAnsi="黑体" w:eastAsia="黑体"/>
          <w:sz w:val="28"/>
          <w:szCs w:val="28"/>
        </w:rPr>
      </w:pPr>
    </w:p>
    <w:p w14:paraId="4BE121A0">
      <w:pPr>
        <w:pStyle w:val="13"/>
        <w:jc w:val="both"/>
        <w:rPr>
          <w:rFonts w:ascii="方正小标宋_GBK" w:hAnsi="方正小标宋_GBK" w:eastAsia="方正小标宋_GBK" w:cs="方正小标宋_GBK"/>
          <w:sz w:val="84"/>
          <w:szCs w:val="84"/>
        </w:rPr>
      </w:pPr>
    </w:p>
    <w:p w14:paraId="56559846">
      <w:pPr>
        <w:pStyle w:val="13"/>
        <w:jc w:val="center"/>
        <w:rPr>
          <w:rFonts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第二部分</w:t>
      </w:r>
    </w:p>
    <w:p w14:paraId="3A06220D">
      <w:pPr>
        <w:pStyle w:val="13"/>
        <w:jc w:val="center"/>
        <w:rPr>
          <w:rFonts w:ascii="方正小标宋_GBK" w:hAnsi="方正小标宋_GBK" w:eastAsia="方正小标宋_GBK" w:cs="方正小标宋_GBK"/>
          <w:sz w:val="84"/>
          <w:szCs w:val="84"/>
        </w:rPr>
      </w:pPr>
    </w:p>
    <w:p w14:paraId="598702C2">
      <w:pPr>
        <w:pStyle w:val="13"/>
        <w:jc w:val="center"/>
        <w:rPr>
          <w:rFonts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部门决算表</w:t>
      </w:r>
    </w:p>
    <w:p w14:paraId="3F2F4272">
      <w:pPr>
        <w:jc w:val="center"/>
        <w:rPr>
          <w:sz w:val="72"/>
          <w:szCs w:val="72"/>
        </w:rPr>
      </w:pPr>
      <w:r>
        <w:rPr>
          <w:rFonts w:hint="eastAsia"/>
          <w:sz w:val="72"/>
          <w:szCs w:val="72"/>
        </w:rPr>
        <w:t>（见附件）</w:t>
      </w:r>
    </w:p>
    <w:p w14:paraId="76FEEC9B">
      <w:pPr>
        <w:jc w:val="center"/>
        <w:rPr>
          <w:sz w:val="72"/>
          <w:szCs w:val="72"/>
        </w:rPr>
      </w:pPr>
    </w:p>
    <w:p w14:paraId="3640198D">
      <w:pPr>
        <w:jc w:val="center"/>
        <w:rPr>
          <w:sz w:val="72"/>
          <w:szCs w:val="72"/>
        </w:rPr>
      </w:pPr>
    </w:p>
    <w:p w14:paraId="76AC82C5">
      <w:pPr>
        <w:jc w:val="center"/>
        <w:rPr>
          <w:sz w:val="72"/>
          <w:szCs w:val="72"/>
        </w:rPr>
      </w:pPr>
    </w:p>
    <w:p w14:paraId="0AFBA198">
      <w:pPr>
        <w:pStyle w:val="13"/>
        <w:jc w:val="both"/>
        <w:rPr>
          <w:rFonts w:ascii="方正小标宋_GBK" w:hAnsi="方正小标宋_GBK" w:eastAsia="方正小标宋_GBK" w:cs="方正小标宋_GBK"/>
          <w:sz w:val="72"/>
          <w:szCs w:val="72"/>
        </w:rPr>
      </w:pPr>
    </w:p>
    <w:p w14:paraId="38709602">
      <w:pPr>
        <w:pStyle w:val="13"/>
        <w:jc w:val="both"/>
        <w:rPr>
          <w:rFonts w:ascii="方正小标宋_GBK" w:hAnsi="方正小标宋_GBK" w:eastAsia="方正小标宋_GBK" w:cs="方正小标宋_GBK"/>
          <w:sz w:val="72"/>
          <w:szCs w:val="72"/>
        </w:rPr>
      </w:pPr>
    </w:p>
    <w:p w14:paraId="050266A9">
      <w:pPr>
        <w:pStyle w:val="13"/>
        <w:jc w:val="both"/>
        <w:rPr>
          <w:rFonts w:ascii="方正小标宋_GBK" w:hAnsi="方正小标宋_GBK" w:eastAsia="方正小标宋_GBK" w:cs="方正小标宋_GBK"/>
          <w:sz w:val="72"/>
          <w:szCs w:val="72"/>
        </w:rPr>
      </w:pPr>
    </w:p>
    <w:p w14:paraId="381D98A9">
      <w:pPr>
        <w:pStyle w:val="13"/>
        <w:jc w:val="center"/>
        <w:rPr>
          <w:rFonts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第三部分</w:t>
      </w:r>
    </w:p>
    <w:p w14:paraId="3DD54B47">
      <w:pPr>
        <w:pStyle w:val="13"/>
        <w:jc w:val="center"/>
        <w:rPr>
          <w:rFonts w:ascii="方正小标宋_GBK" w:hAnsi="方正小标宋_GBK" w:eastAsia="方正小标宋_GBK" w:cs="方正小标宋_GBK"/>
          <w:sz w:val="70"/>
          <w:szCs w:val="70"/>
        </w:rPr>
      </w:pPr>
    </w:p>
    <w:p w14:paraId="3D01614F">
      <w:pPr>
        <w:pStyle w:val="13"/>
        <w:jc w:val="center"/>
        <w:rPr>
          <w:rFonts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0"/>
          <w:szCs w:val="70"/>
        </w:rPr>
        <w:t>2023年度部门决算</w:t>
      </w:r>
    </w:p>
    <w:p w14:paraId="2CD9086A">
      <w:pPr>
        <w:pStyle w:val="13"/>
        <w:jc w:val="center"/>
        <w:rPr>
          <w:rFonts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0"/>
          <w:szCs w:val="70"/>
        </w:rPr>
        <w:t>情况说明</w:t>
      </w:r>
    </w:p>
    <w:p w14:paraId="0377E7EF">
      <w:pPr>
        <w:widowControl/>
        <w:jc w:val="left"/>
        <w:rPr>
          <w:rFonts w:ascii="宋体" w:hAnsi="宋体"/>
          <w:sz w:val="32"/>
          <w:szCs w:val="32"/>
        </w:rPr>
      </w:pPr>
      <w:r>
        <w:rPr>
          <w:rFonts w:hint="eastAsia" w:ascii="方正小标宋_GBK" w:hAnsi="方正小标宋_GBK" w:eastAsia="方正小标宋_GBK" w:cs="方正小标宋_GBK"/>
          <w:sz w:val="70"/>
          <w:szCs w:val="70"/>
        </w:rPr>
        <w:br w:type="page"/>
      </w:r>
      <w:r>
        <w:rPr>
          <w:rFonts w:hint="eastAsia" w:ascii="方正小标宋_GBK" w:hAnsi="方正小标宋_GBK" w:eastAsia="方正小标宋_GBK" w:cs="方正小标宋_GBK"/>
          <w:sz w:val="70"/>
          <w:szCs w:val="70"/>
        </w:rPr>
        <w:t xml:space="preserve">  </w:t>
      </w:r>
      <w:r>
        <w:rPr>
          <w:rFonts w:hint="eastAsia" w:ascii="仿宋_GB2312" w:hAnsi="仿宋_GB2312" w:eastAsia="仿宋_GB2312" w:cs="仿宋_GB2312"/>
          <w:sz w:val="32"/>
          <w:szCs w:val="32"/>
        </w:rPr>
        <w:t>（</w:t>
      </w:r>
      <w:r>
        <w:rPr>
          <w:rFonts w:hint="eastAsia" w:ascii="黑体" w:hAnsi="黑体" w:eastAsia="黑体" w:cs="黑体"/>
          <w:sz w:val="32"/>
          <w:szCs w:val="32"/>
        </w:rPr>
        <w:t>说明：</w:t>
      </w:r>
      <w:r>
        <w:rPr>
          <w:rFonts w:hint="eastAsia" w:ascii="仿宋_GB2312" w:hAnsi="仿宋_GB2312" w:eastAsia="仿宋_GB2312" w:cs="仿宋_GB2312"/>
          <w:sz w:val="32"/>
          <w:szCs w:val="32"/>
        </w:rPr>
        <w:t>1、由于部门决算编制时数据明细至“金额单位：元”，而本套部门决算文字说明和公开表格数据取数转换为“金额单位：万元”，可能导致以下文字说明中的各项数据取数以及公开表格中的各项数据取数之间存在0.01的尾数差异。2、以下文字说明中，部分科目由于预算数为0，无法计算完成年初预算的百分比，故未描述“</w:t>
      </w:r>
      <w:r>
        <w:rPr>
          <w:rFonts w:hint="eastAsia" w:ascii="Times New Roman" w:hAnsi="Times New Roman" w:eastAsia="仿宋_GB2312"/>
          <w:sz w:val="32"/>
          <w:szCs w:val="32"/>
        </w:rPr>
        <w:t>完成年初预算的XX%</w:t>
      </w:r>
      <w:r>
        <w:rPr>
          <w:rFonts w:hint="eastAsia" w:ascii="仿宋_GB2312" w:hAnsi="仿宋_GB2312" w:eastAsia="仿宋_GB2312" w:cs="仿宋_GB2312"/>
          <w:sz w:val="32"/>
          <w:szCs w:val="32"/>
        </w:rPr>
        <w:t>”。）</w:t>
      </w:r>
    </w:p>
    <w:p w14:paraId="26C88E55">
      <w:pPr>
        <w:pStyle w:val="13"/>
        <w:spacing w:line="600" w:lineRule="exact"/>
        <w:ind w:firstLine="640" w:firstLineChars="200"/>
        <w:rPr>
          <w:rFonts w:hAnsi="黑体"/>
          <w:bCs/>
          <w:sz w:val="32"/>
          <w:szCs w:val="32"/>
        </w:rPr>
      </w:pPr>
      <w:r>
        <w:rPr>
          <w:rFonts w:hint="eastAsia" w:hAnsi="黑体"/>
          <w:bCs/>
          <w:sz w:val="32"/>
          <w:szCs w:val="32"/>
        </w:rPr>
        <w:t>一、收入支出决算总体情况说明</w:t>
      </w:r>
    </w:p>
    <w:p w14:paraId="3F89C245">
      <w:pPr>
        <w:pStyle w:val="13"/>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2023年度收、支总计2326.31万元。与上年相比，减少900万元，减少27.90%，主要是因为零基预算后，人才经费由财政直接管理，不由机关账户拨付支出。</w:t>
      </w:r>
    </w:p>
    <w:p w14:paraId="40523235">
      <w:pPr>
        <w:pStyle w:val="13"/>
        <w:spacing w:line="600" w:lineRule="exact"/>
        <w:ind w:firstLine="640" w:firstLineChars="200"/>
        <w:rPr>
          <w:rFonts w:hAnsi="黑体"/>
          <w:bCs/>
          <w:sz w:val="32"/>
          <w:szCs w:val="32"/>
        </w:rPr>
      </w:pPr>
      <w:r>
        <w:rPr>
          <w:rFonts w:hint="eastAsia" w:hAnsi="黑体"/>
          <w:bCs/>
          <w:sz w:val="32"/>
          <w:szCs w:val="32"/>
        </w:rPr>
        <w:t>二、收入决算情况说明</w:t>
      </w:r>
    </w:p>
    <w:p w14:paraId="0AEE925A">
      <w:pPr>
        <w:pStyle w:val="13"/>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2023年度收入合计2316.55万元，其中：财政拨款收入2294.28万元，占99.04%；上级补助收入0万元，占0%；事业收入0万元，占0%；经营收入0万元，占0%；附属单位上缴收入0万元，占0%；其他收入22.28万元，占0.96%。</w:t>
      </w:r>
    </w:p>
    <w:p w14:paraId="22472BD3">
      <w:pPr>
        <w:pStyle w:val="13"/>
        <w:ind w:firstLine="640" w:firstLineChars="200"/>
        <w:rPr>
          <w:rFonts w:ascii="Times New Roman" w:hAnsi="Times New Roman" w:eastAsia="仿宋_GB2312"/>
          <w:sz w:val="32"/>
          <w:szCs w:val="32"/>
        </w:rPr>
      </w:pPr>
      <w:r>
        <w:rPr>
          <w:rFonts w:hint="eastAsia" w:hAnsi="黑体"/>
          <w:bCs/>
          <w:sz w:val="32"/>
          <w:szCs w:val="32"/>
        </w:rPr>
        <w:t>三、支出决算情况说明</w:t>
      </w:r>
    </w:p>
    <w:p w14:paraId="73546F93">
      <w:pPr>
        <w:pStyle w:val="13"/>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2023年度支出合计2322.87万元，其中：基本支出1270.56万元，占54.70%；项目支出1052.31万元，占45.30%；上缴上级支出0万元，占0%；经营支出0万元，占0%；对附属单位补助支出0万元，占0%。</w:t>
      </w:r>
    </w:p>
    <w:p w14:paraId="7ABF662E">
      <w:pPr>
        <w:pStyle w:val="13"/>
        <w:spacing w:line="600" w:lineRule="exact"/>
        <w:ind w:firstLine="640" w:firstLineChars="200"/>
        <w:rPr>
          <w:rFonts w:hint="eastAsia" w:hAnsi="黑体"/>
          <w:bCs/>
          <w:sz w:val="32"/>
          <w:szCs w:val="32"/>
        </w:rPr>
      </w:pPr>
    </w:p>
    <w:p w14:paraId="7EAA62ED">
      <w:pPr>
        <w:pStyle w:val="13"/>
        <w:spacing w:line="600" w:lineRule="exact"/>
        <w:ind w:firstLine="640" w:firstLineChars="200"/>
        <w:rPr>
          <w:rFonts w:hAnsi="黑体"/>
          <w:bCs/>
          <w:sz w:val="32"/>
          <w:szCs w:val="32"/>
        </w:rPr>
      </w:pPr>
      <w:r>
        <w:rPr>
          <w:rFonts w:hint="eastAsia" w:hAnsi="黑体"/>
          <w:bCs/>
          <w:sz w:val="32"/>
          <w:szCs w:val="32"/>
        </w:rPr>
        <w:t>四、财政拨款收入支出决算总体情况说明</w:t>
      </w:r>
    </w:p>
    <w:p w14:paraId="797E4704">
      <w:pPr>
        <w:pStyle w:val="13"/>
        <w:spacing w:line="600" w:lineRule="exact"/>
        <w:rPr>
          <w:rFonts w:ascii="Times New Roman" w:hAnsi="Times New Roman" w:eastAsia="仿宋_GB2312"/>
          <w:sz w:val="32"/>
          <w:szCs w:val="32"/>
        </w:rPr>
      </w:pPr>
      <w:r>
        <w:rPr>
          <w:rFonts w:hint="eastAsia" w:ascii="Times New Roman" w:hAnsi="Times New Roman" w:eastAsia="仿宋_GB2312"/>
          <w:sz w:val="32"/>
          <w:szCs w:val="32"/>
        </w:rPr>
        <w:t xml:space="preserve">    2023年度财政拨款收、支总计2298.46万元，与上年相比，减少871.41万元,减少27.49%，主要是因为因为零基预算后，人才经费由财政直接管理，不由机关账户拨付支出。</w:t>
      </w:r>
    </w:p>
    <w:p w14:paraId="59206FD9">
      <w:pPr>
        <w:pStyle w:val="13"/>
        <w:spacing w:line="600" w:lineRule="exact"/>
        <w:ind w:firstLine="640" w:firstLineChars="200"/>
        <w:rPr>
          <w:rFonts w:hAnsi="黑体"/>
          <w:bCs/>
          <w:sz w:val="32"/>
          <w:szCs w:val="32"/>
        </w:rPr>
      </w:pPr>
      <w:r>
        <w:rPr>
          <w:rFonts w:hint="eastAsia" w:hAnsi="黑体"/>
          <w:bCs/>
          <w:sz w:val="32"/>
          <w:szCs w:val="32"/>
        </w:rPr>
        <w:t>五、一般公共预算财政拨款支出决算情况说明</w:t>
      </w:r>
    </w:p>
    <w:p w14:paraId="29798C0A">
      <w:pPr>
        <w:pStyle w:val="13"/>
        <w:spacing w:line="600" w:lineRule="exact"/>
        <w:ind w:firstLine="640" w:firstLineChars="200"/>
        <w:rPr>
          <w:rFonts w:ascii="楷体" w:hAnsi="楷体" w:eastAsia="楷体" w:cs="楷体"/>
          <w:bCs/>
          <w:sz w:val="32"/>
          <w:szCs w:val="32"/>
        </w:rPr>
      </w:pPr>
      <w:r>
        <w:rPr>
          <w:rFonts w:hint="eastAsia" w:ascii="楷体" w:hAnsi="楷体" w:eastAsia="楷体" w:cs="楷体"/>
          <w:bCs/>
          <w:sz w:val="32"/>
          <w:szCs w:val="32"/>
        </w:rPr>
        <w:t>（一）财政拨款支出决算总体情况</w:t>
      </w:r>
    </w:p>
    <w:p w14:paraId="0584FE8F">
      <w:pPr>
        <w:pStyle w:val="13"/>
        <w:spacing w:line="600" w:lineRule="exact"/>
        <w:ind w:firstLine="800" w:firstLineChars="250"/>
        <w:rPr>
          <w:rFonts w:ascii="Times New Roman" w:hAnsi="Times New Roman" w:eastAsia="仿宋_GB2312"/>
          <w:sz w:val="32"/>
          <w:szCs w:val="32"/>
        </w:rPr>
      </w:pPr>
      <w:r>
        <w:rPr>
          <w:rFonts w:hint="eastAsia" w:ascii="Times New Roman" w:hAnsi="Times New Roman" w:eastAsia="仿宋_GB2312"/>
          <w:sz w:val="32"/>
          <w:szCs w:val="32"/>
        </w:rPr>
        <w:t>2023年度财政拨款支出2297.79万元，占本年支出合计的98.92%，与上年相比，财政拨款支出减少867.90万元，减少27.42%，主要是因为因为零基预算后，人才经费由财政直接管理，不由机关账户拨付支出。</w:t>
      </w:r>
    </w:p>
    <w:p w14:paraId="3C2CFB12">
      <w:pPr>
        <w:pStyle w:val="13"/>
        <w:spacing w:line="600" w:lineRule="exact"/>
        <w:ind w:firstLine="800" w:firstLineChars="250"/>
        <w:rPr>
          <w:rFonts w:ascii="Times New Roman" w:hAnsi="Times New Roman" w:eastAsia="仿宋_GB2312"/>
          <w:sz w:val="32"/>
          <w:szCs w:val="32"/>
        </w:rPr>
      </w:pPr>
      <w:r>
        <w:rPr>
          <w:rFonts w:hint="eastAsia" w:ascii="楷体" w:hAnsi="楷体" w:eastAsia="楷体" w:cs="楷体"/>
          <w:bCs/>
          <w:sz w:val="32"/>
          <w:szCs w:val="32"/>
        </w:rPr>
        <w:t>（二）财政拨款支出决算结构情况</w:t>
      </w:r>
    </w:p>
    <w:p w14:paraId="262CFBB2">
      <w:pPr>
        <w:pStyle w:val="13"/>
        <w:spacing w:line="600" w:lineRule="exact"/>
        <w:ind w:firstLine="640" w:firstLineChars="200"/>
        <w:jc w:val="both"/>
        <w:rPr>
          <w:rFonts w:ascii="仿宋_GB2312" w:hAnsi="仿宋_GB2312" w:eastAsia="仿宋_GB2312" w:cs="仿宋_GB2312"/>
          <w:color w:val="FF0000"/>
          <w:sz w:val="32"/>
          <w:szCs w:val="32"/>
        </w:rPr>
      </w:pPr>
      <w:r>
        <w:rPr>
          <w:rFonts w:hint="eastAsia" w:ascii="Times New Roman" w:hAnsi="Times New Roman" w:eastAsia="仿宋_GB2312"/>
          <w:sz w:val="32"/>
          <w:szCs w:val="32"/>
        </w:rPr>
        <w:t>2023年度财政拨款支出2297.79万元，</w:t>
      </w:r>
      <w:r>
        <w:rPr>
          <w:rFonts w:hint="eastAsia" w:ascii="仿宋_GB2312" w:hAnsi="仿宋_GB2312" w:eastAsia="仿宋_GB2312" w:cs="仿宋_GB2312"/>
          <w:sz w:val="32"/>
          <w:szCs w:val="32"/>
        </w:rPr>
        <w:t>主要用于以下方面：一般公共服务（类）支出1845.63万元，占80.32%；科学技术（类）支出45.85万元，占2.0%；文化旅游体育和传媒（类）支出6万元，占0.26%；社会保障和就业（类）支出279.73万元，占12.17%；卫生健康（类）支出40.37万元，占1.76%；农林水（类）支出4.38万元，占0.19%；住房保障（类）支出75.84万元，占3.30%。</w:t>
      </w:r>
    </w:p>
    <w:p w14:paraId="27837115">
      <w:pPr>
        <w:pStyle w:val="13"/>
        <w:spacing w:line="600" w:lineRule="exact"/>
        <w:ind w:firstLine="800" w:firstLineChars="250"/>
        <w:rPr>
          <w:rFonts w:ascii="楷体" w:hAnsi="楷体" w:eastAsia="楷体" w:cs="楷体"/>
          <w:bCs/>
          <w:sz w:val="32"/>
          <w:szCs w:val="32"/>
        </w:rPr>
      </w:pPr>
      <w:r>
        <w:rPr>
          <w:rFonts w:hint="eastAsia" w:ascii="楷体" w:hAnsi="楷体" w:eastAsia="楷体" w:cs="楷体"/>
          <w:bCs/>
          <w:sz w:val="32"/>
          <w:szCs w:val="32"/>
        </w:rPr>
        <w:t>（三）财政拨款支出决算具体情况</w:t>
      </w:r>
    </w:p>
    <w:p w14:paraId="41D0E6FD">
      <w:pPr>
        <w:pStyle w:val="13"/>
        <w:spacing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2023年度财政拨款支出年初预算为1606.22万元，支出决算为2297.79万元，完成年初预算的143.06%。其中：</w:t>
      </w:r>
    </w:p>
    <w:p w14:paraId="374A4211">
      <w:pPr>
        <w:pStyle w:val="13"/>
        <w:spacing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一般公共服务支出（类）党委办公厅（室）及相关机构事务（室）及相关机构事务（款）行政运行（项）。年初预算为0万元，支出决算为1.07万元，</w:t>
      </w:r>
      <w:r>
        <w:rPr>
          <w:rFonts w:hint="eastAsia" w:ascii="仿宋_GB2312" w:hAnsi="仿宋_GB2312" w:eastAsia="仿宋_GB2312" w:cs="仿宋_GB2312"/>
          <w:color w:val="auto"/>
          <w:sz w:val="32"/>
          <w:szCs w:val="32"/>
        </w:rPr>
        <w:t>因预算金额为0，无法计算超预算百分比，</w:t>
      </w:r>
      <w:r>
        <w:rPr>
          <w:rFonts w:hint="eastAsia" w:ascii="仿宋_GB2312" w:hAnsi="仿宋_GB2312" w:eastAsia="仿宋_GB2312" w:cs="仿宋_GB2312"/>
          <w:sz w:val="32"/>
          <w:szCs w:val="32"/>
        </w:rPr>
        <w:t>决算数大于预算数的主要原因是拨付人员经费。</w:t>
      </w:r>
    </w:p>
    <w:p w14:paraId="4197A0D8">
      <w:pPr>
        <w:pStyle w:val="13"/>
        <w:spacing w:line="600" w:lineRule="exact"/>
        <w:ind w:firstLine="640" w:firstLineChars="200"/>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般公共服务支出（类）党委办公厅（室）及相关机构事务（室）及相关机构事务（款）其他党委办公厅（室）及相关机构事务支出（项）。年初预算为0万元，支出决算为32.38万元，因预算金额为0，无法计算超预算百分比，决算数大于预算数的主要原因是下拨财政专项工作经费。</w:t>
      </w:r>
    </w:p>
    <w:p w14:paraId="4A18BF89">
      <w:pPr>
        <w:pStyle w:val="13"/>
        <w:spacing w:line="600" w:lineRule="exact"/>
        <w:ind w:firstLine="640" w:firstLineChars="200"/>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一般公共服务支出（类）组织事务（款）行政运行（项）。年初预算为896.76万元，支出决算为1142.23万元，完成年初预算的127.37%，决算数大于预算数的主要原因是追加人员经费。 </w:t>
      </w:r>
    </w:p>
    <w:p w14:paraId="0E6B398E">
      <w:pPr>
        <w:pStyle w:val="13"/>
        <w:spacing w:line="600" w:lineRule="exact"/>
        <w:ind w:firstLine="640" w:firstLineChars="200"/>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一般公共服务支出（类）组织事务（款）一般行政管理事务（项）。年初预算为425万元，支出决算为414.03万元，完成年初预算的97.42%，决算数小于预算数的主要原因是厉行节约。</w:t>
      </w:r>
    </w:p>
    <w:p w14:paraId="556D67AF">
      <w:pPr>
        <w:pStyle w:val="13"/>
        <w:spacing w:line="600" w:lineRule="exact"/>
        <w:ind w:firstLine="640" w:firstLineChars="200"/>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一般公共服务支出（类）组织事务（款）其他组织事务支出（项）。年初预算为0万元，支出决算为255.92万元，因预算金额为0，无法计算超预算百分比，决算数大于预算数的主要原因是下拨公务员面试、遴选专项类、主题教育和大兴调查研究专项类、市级党建经费专项类及部分上年结转类支出。    </w:t>
      </w:r>
    </w:p>
    <w:p w14:paraId="23916838">
      <w:pPr>
        <w:pStyle w:val="13"/>
        <w:spacing w:line="600" w:lineRule="exact"/>
        <w:ind w:firstLine="640" w:firstLineChars="200"/>
        <w:jc w:val="both"/>
        <w:rPr>
          <w:rFonts w:ascii="仿宋_GB2312" w:hAnsi="仿宋_GB2312" w:eastAsia="仿宋_GB2312" w:cs="仿宋_GB2312"/>
          <w:color w:val="FF0000"/>
          <w:sz w:val="32"/>
          <w:szCs w:val="32"/>
        </w:rPr>
      </w:pPr>
      <w:r>
        <w:rPr>
          <w:rFonts w:hint="eastAsia" w:ascii="仿宋_GB2312" w:hAnsi="仿宋_GB2312" w:eastAsia="仿宋_GB2312" w:cs="仿宋_GB2312"/>
          <w:color w:val="auto"/>
          <w:sz w:val="32"/>
          <w:szCs w:val="32"/>
        </w:rPr>
        <w:t>科学技术支出（类）其他科学技术支出（款）其他科学技术支出（项）。年初预算为0万元，支出决算为45.85万元，因预算金额为0，无法计算超预算百分比，决算数大于预算数的主要原因是下拨新录用公务员初任培训、部分上年结转经费等支出。</w:t>
      </w:r>
    </w:p>
    <w:p w14:paraId="2179053E">
      <w:pPr>
        <w:pStyle w:val="13"/>
        <w:spacing w:line="600" w:lineRule="exact"/>
        <w:ind w:firstLine="640" w:firstLineChars="200"/>
        <w:jc w:val="both"/>
        <w:rPr>
          <w:rFonts w:ascii="仿宋_GB2312" w:hAnsi="仿宋_GB2312" w:eastAsia="仿宋_GB2312" w:cs="仿宋_GB2312"/>
          <w:color w:val="auto"/>
          <w:sz w:val="32"/>
          <w:szCs w:val="32"/>
        </w:rPr>
      </w:pPr>
      <w:r>
        <w:rPr>
          <w:rFonts w:hint="eastAsia" w:ascii="仿宋_GB2312" w:hAnsi="仿宋_GB2312" w:eastAsia="仿宋_GB2312" w:cs="仿宋_GB2312"/>
          <w:sz w:val="32"/>
          <w:szCs w:val="32"/>
        </w:rPr>
        <w:t>文化旅游体育和传媒支出</w:t>
      </w:r>
      <w:r>
        <w:rPr>
          <w:rFonts w:hint="eastAsia" w:ascii="仿宋_GB2312" w:hAnsi="仿宋_GB2312" w:eastAsia="仿宋_GB2312" w:cs="仿宋_GB2312"/>
          <w:color w:val="auto"/>
          <w:sz w:val="32"/>
          <w:szCs w:val="32"/>
        </w:rPr>
        <w:t>（类）文化和旅游（款）其他文化和旅游支出（项）。年初预算为0万元，支出决算为6万元，因预算金额为0，无法计算超预算百分比，决算数大于预算数的主要原因是下拨市本级党建专项支出。</w:t>
      </w:r>
    </w:p>
    <w:p w14:paraId="52381805">
      <w:pPr>
        <w:pStyle w:val="13"/>
        <w:spacing w:line="600" w:lineRule="exact"/>
        <w:ind w:firstLine="640" w:firstLineChars="200"/>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社会保障和就业支出（类）行政事业单位养老支出（款）  行政单位离退休（项）。年初预算为73.77万元，支出决算为73.77万元，完成年初预算的100%，决算数与预算数持平的主要原因是离退休干部人员经费支出。</w:t>
      </w:r>
    </w:p>
    <w:p w14:paraId="30B0966A">
      <w:pPr>
        <w:pStyle w:val="13"/>
        <w:spacing w:line="600" w:lineRule="exact"/>
        <w:ind w:firstLine="640" w:firstLineChars="200"/>
        <w:jc w:val="both"/>
        <w:rPr>
          <w:rFonts w:ascii="仿宋_GB2312" w:hAnsi="仿宋_GB2312" w:eastAsia="仿宋_GB2312" w:cs="仿宋_GB2312"/>
          <w:color w:val="FF0000"/>
          <w:sz w:val="32"/>
          <w:szCs w:val="32"/>
        </w:rPr>
      </w:pPr>
      <w:r>
        <w:rPr>
          <w:rFonts w:hint="eastAsia" w:ascii="仿宋_GB2312" w:hAnsi="仿宋_GB2312" w:eastAsia="仿宋_GB2312" w:cs="仿宋_GB2312"/>
          <w:color w:val="auto"/>
          <w:sz w:val="32"/>
          <w:szCs w:val="32"/>
        </w:rPr>
        <w:t>社会保障和就业支出（类）行政事业单位养老支出（款）机关事业单位基本养老保险缴费支出（项）。年初预算为76.83万元，支出决算为76.83万元，完成年初预算的100%，决算数与预算数持平的主要原因是单位养老保险经费支出。</w:t>
      </w:r>
    </w:p>
    <w:p w14:paraId="43E4160E">
      <w:pPr>
        <w:pStyle w:val="13"/>
        <w:spacing w:line="600" w:lineRule="exact"/>
        <w:ind w:firstLine="640" w:firstLineChars="200"/>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卫生健康支出（类）行政事业单位医疗（款）行政单位医疗（项）。年初预算为40.37万元，支出决算为40.37万元，完成年初预算的100%，决算数与预算数持平的主要原因是单位基本医疗经费支出。</w:t>
      </w:r>
    </w:p>
    <w:p w14:paraId="6BFE1C44">
      <w:pPr>
        <w:pStyle w:val="13"/>
        <w:spacing w:line="600" w:lineRule="exact"/>
        <w:ind w:firstLine="640" w:firstLineChars="200"/>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卫生健康支出（类）行政事业单位医疗（款）公务员医疗补助（项）。年初预算为17.65万元，支出决算为0万元，</w:t>
      </w:r>
      <w:r>
        <w:rPr>
          <w:rFonts w:hint="eastAsia" w:ascii="仿宋_GB2312" w:hAnsi="仿宋_GB2312" w:eastAsia="仿宋_GB2312" w:cs="仿宋_GB2312"/>
          <w:sz w:val="32"/>
          <w:szCs w:val="32"/>
        </w:rPr>
        <w:t>因决算为0，无法计算百分</w:t>
      </w:r>
      <w:r>
        <w:rPr>
          <w:rFonts w:hint="eastAsia" w:ascii="仿宋_GB2312" w:hAnsi="仿宋_GB2312" w:eastAsia="仿宋_GB2312" w:cs="仿宋_GB2312"/>
          <w:color w:val="auto"/>
          <w:sz w:val="32"/>
          <w:szCs w:val="32"/>
        </w:rPr>
        <w:t>比，决算数小于预算数的主要原因是此笔经费直接由财政代扣，不下单位。</w:t>
      </w:r>
    </w:p>
    <w:p w14:paraId="6BB0BE66">
      <w:pPr>
        <w:pStyle w:val="13"/>
        <w:spacing w:line="600" w:lineRule="exact"/>
        <w:ind w:firstLine="640" w:firstLineChars="200"/>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农林水支出（类）巩固脱贫攻坚成果衔接乡村振兴（款）其他巩固脱贫攻坚成果衔接乡村振兴支出（项）。年初预算为0万元，支出决算为4.38万元，因预算金额为0，无法计算超预算百分比，决算数大于预算数的下拨党建专项经费。</w:t>
      </w:r>
    </w:p>
    <w:p w14:paraId="1F488F9B">
      <w:pPr>
        <w:pStyle w:val="13"/>
        <w:spacing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color w:val="auto"/>
          <w:sz w:val="32"/>
          <w:szCs w:val="32"/>
        </w:rPr>
        <w:t>住房保障支出（类）住房改革支出（款）住房公积金（项）。年初预算为75.84万元，支出决算为75.84元，完成年初预算的100%，决算数与预算数持平的主要原因是单位住房公积金支出。</w:t>
      </w:r>
    </w:p>
    <w:p w14:paraId="4875C7F0">
      <w:pPr>
        <w:pStyle w:val="13"/>
        <w:spacing w:line="600" w:lineRule="exact"/>
        <w:ind w:firstLine="640" w:firstLineChars="200"/>
        <w:rPr>
          <w:rFonts w:hAnsi="黑体"/>
          <w:bCs/>
          <w:sz w:val="32"/>
          <w:szCs w:val="32"/>
        </w:rPr>
      </w:pPr>
      <w:r>
        <w:rPr>
          <w:rFonts w:hint="eastAsia" w:hAnsi="黑体"/>
          <w:bCs/>
          <w:sz w:val="32"/>
          <w:szCs w:val="32"/>
        </w:rPr>
        <w:t>六、一般公共预算财政拨款基本支出决算情况说明</w:t>
      </w:r>
    </w:p>
    <w:p w14:paraId="651B48BB">
      <w:pPr>
        <w:pStyle w:val="13"/>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2023年度财政拨款基本支出</w:t>
      </w:r>
      <w:r>
        <w:rPr>
          <w:rFonts w:hint="eastAsia" w:ascii="仿宋_GB2312" w:hAnsi="Times New Roman" w:eastAsia="仿宋_GB2312"/>
          <w:sz w:val="32"/>
          <w:szCs w:val="32"/>
        </w:rPr>
        <w:t>1245.48</w:t>
      </w:r>
      <w:r>
        <w:rPr>
          <w:rFonts w:hint="eastAsia" w:ascii="Times New Roman" w:hAnsi="Times New Roman" w:eastAsia="仿宋_GB2312"/>
          <w:sz w:val="32"/>
          <w:szCs w:val="32"/>
        </w:rPr>
        <w:t>万元，其中：</w:t>
      </w:r>
    </w:p>
    <w:p w14:paraId="4AD05CCB">
      <w:pPr>
        <w:pStyle w:val="13"/>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b/>
          <w:bCs/>
          <w:sz w:val="32"/>
          <w:szCs w:val="32"/>
        </w:rPr>
        <w:t>人员经费</w:t>
      </w:r>
      <w:r>
        <w:rPr>
          <w:rFonts w:hint="eastAsia" w:ascii="仿宋_GB2312" w:hAnsi="Times New Roman" w:eastAsia="仿宋_GB2312"/>
          <w:sz w:val="32"/>
          <w:szCs w:val="32"/>
        </w:rPr>
        <w:t>1046.2</w:t>
      </w:r>
      <w:r>
        <w:rPr>
          <w:rFonts w:hint="eastAsia" w:ascii="仿宋_GB2312" w:hAnsi="Times New Roman" w:eastAsia="仿宋_GB2312"/>
          <w:sz w:val="32"/>
          <w:szCs w:val="32"/>
          <w:lang w:val="en-US" w:eastAsia="zh-CN"/>
        </w:rPr>
        <w:t>8</w:t>
      </w:r>
      <w:r>
        <w:rPr>
          <w:rFonts w:hint="eastAsia" w:ascii="仿宋_GB2312" w:hAnsi="Times New Roman" w:eastAsia="仿宋_GB2312"/>
          <w:sz w:val="32"/>
          <w:szCs w:val="32"/>
        </w:rPr>
        <w:t>万</w:t>
      </w:r>
      <w:r>
        <w:rPr>
          <w:rFonts w:hint="eastAsia" w:ascii="Times New Roman" w:hAnsi="Times New Roman" w:eastAsia="仿宋_GB2312"/>
          <w:sz w:val="32"/>
          <w:szCs w:val="32"/>
        </w:rPr>
        <w:t>元，占基本支出</w:t>
      </w:r>
      <w:r>
        <w:rPr>
          <w:rFonts w:hint="eastAsia" w:ascii="仿宋_GB2312" w:hAnsi="Times New Roman" w:eastAsia="仿宋_GB2312"/>
          <w:sz w:val="32"/>
          <w:szCs w:val="32"/>
        </w:rPr>
        <w:t>的84.01%</w:t>
      </w:r>
      <w:r>
        <w:rPr>
          <w:rFonts w:hint="eastAsia" w:ascii="Times New Roman" w:hAnsi="Times New Roman" w:eastAsia="仿宋_GB2312"/>
          <w:sz w:val="32"/>
          <w:szCs w:val="32"/>
        </w:rPr>
        <w:t>,主要包括基本工资、津贴补贴、奖金、伙食补助费、机关事业单位基本养老保险缴费、职工基本医疗保险缴费、其他社会保障缴费、住房公积金、医疗费、其他工资福利支出、退休费、医疗费补助、其他对个人和家庭的补助。</w:t>
      </w:r>
    </w:p>
    <w:p w14:paraId="3E1DD7BE">
      <w:pPr>
        <w:pStyle w:val="13"/>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b/>
          <w:bCs/>
          <w:sz w:val="32"/>
          <w:szCs w:val="32"/>
        </w:rPr>
        <w:t>公用经费</w:t>
      </w:r>
      <w:r>
        <w:rPr>
          <w:rFonts w:hint="eastAsia" w:ascii="仿宋_GB2312" w:hAnsi="Times New Roman" w:eastAsia="仿宋_GB2312"/>
          <w:sz w:val="32"/>
          <w:szCs w:val="32"/>
        </w:rPr>
        <w:t>199.20</w:t>
      </w:r>
      <w:r>
        <w:rPr>
          <w:rFonts w:hint="eastAsia" w:ascii="Times New Roman" w:hAnsi="Times New Roman" w:eastAsia="仿宋_GB2312"/>
          <w:sz w:val="32"/>
          <w:szCs w:val="32"/>
        </w:rPr>
        <w:t>万元，占基本支出</w:t>
      </w:r>
      <w:r>
        <w:rPr>
          <w:rFonts w:hint="eastAsia" w:ascii="仿宋_GB2312" w:hAnsi="Times New Roman" w:eastAsia="仿宋_GB2312"/>
          <w:sz w:val="32"/>
          <w:szCs w:val="32"/>
        </w:rPr>
        <w:t>的15.99%</w:t>
      </w:r>
      <w:r>
        <w:rPr>
          <w:rFonts w:hint="eastAsia" w:ascii="Times New Roman" w:hAnsi="Times New Roman" w:eastAsia="仿宋_GB2312"/>
          <w:sz w:val="32"/>
          <w:szCs w:val="32"/>
        </w:rPr>
        <w:t>，主要包括办公费、印刷费、水费、电费、邮电费、取暖费、维修（护）费、劳务费、委托业务费、工会经费、公务用车运行维护费、  其他交通费用、其他商品和服务支出。</w:t>
      </w:r>
    </w:p>
    <w:p w14:paraId="16ED6693">
      <w:pPr>
        <w:pStyle w:val="13"/>
        <w:spacing w:line="600" w:lineRule="exact"/>
        <w:ind w:firstLine="640" w:firstLineChars="200"/>
        <w:rPr>
          <w:rFonts w:hAnsi="黑体"/>
          <w:bCs/>
          <w:sz w:val="32"/>
          <w:szCs w:val="32"/>
        </w:rPr>
      </w:pPr>
      <w:r>
        <w:rPr>
          <w:rFonts w:hint="eastAsia" w:hAnsi="黑体"/>
          <w:bCs/>
          <w:sz w:val="32"/>
          <w:szCs w:val="32"/>
        </w:rPr>
        <w:t>七、政府性基金预算收入支出决算情况</w:t>
      </w:r>
    </w:p>
    <w:p w14:paraId="7A108096">
      <w:pPr>
        <w:pStyle w:val="13"/>
        <w:spacing w:line="600" w:lineRule="exact"/>
        <w:rPr>
          <w:rFonts w:ascii="Times New Roman" w:hAnsi="Times New Roman" w:eastAsia="仿宋_GB2312"/>
          <w:sz w:val="32"/>
          <w:szCs w:val="32"/>
        </w:rPr>
      </w:pPr>
      <w:r>
        <w:rPr>
          <w:rFonts w:hint="eastAsia" w:ascii="Times New Roman" w:hAnsi="Times New Roman" w:eastAsia="仿宋_GB2312"/>
          <w:sz w:val="32"/>
          <w:szCs w:val="32"/>
        </w:rPr>
        <w:t xml:space="preserve">     2023年度政府性基金预算财政拨款收入0万元；年初结转和结余0万元；支出0万元，其中基本支出0万元，项目支出0万元；年末结转和结余0万元。</w:t>
      </w:r>
    </w:p>
    <w:p w14:paraId="25D04F63">
      <w:pPr>
        <w:pStyle w:val="13"/>
        <w:spacing w:line="600" w:lineRule="exact"/>
        <w:rPr>
          <w:rFonts w:ascii="Times New Roman" w:hAnsi="Times New Roman" w:eastAsia="仿宋_GB2312"/>
          <w:b/>
          <w:sz w:val="32"/>
          <w:szCs w:val="32"/>
        </w:rPr>
      </w:pPr>
      <w:r>
        <w:rPr>
          <w:rFonts w:hint="eastAsia" w:hAnsi="黑体"/>
          <w:bCs/>
          <w:sz w:val="32"/>
          <w:szCs w:val="32"/>
        </w:rPr>
        <w:t xml:space="preserve">    八、</w:t>
      </w:r>
      <w:r>
        <w:rPr>
          <w:rFonts w:hint="eastAsia" w:ascii="Times New Roman" w:hAnsi="Times New Roman" w:eastAsia="仿宋_GB2312"/>
          <w:b/>
          <w:sz w:val="32"/>
          <w:szCs w:val="32"/>
        </w:rPr>
        <w:t>国有资本经营预算财政拨款支出决算情况</w:t>
      </w:r>
    </w:p>
    <w:p w14:paraId="6345C7C4">
      <w:pPr>
        <w:pStyle w:val="13"/>
        <w:spacing w:line="600" w:lineRule="exact"/>
        <w:rPr>
          <w:rFonts w:ascii="Times New Roman" w:hAnsi="Times New Roman" w:eastAsia="仿宋_GB2312"/>
          <w:sz w:val="32"/>
          <w:szCs w:val="32"/>
        </w:rPr>
      </w:pPr>
      <w:r>
        <w:rPr>
          <w:rFonts w:hint="eastAsia" w:ascii="Times New Roman" w:hAnsi="Times New Roman" w:eastAsia="仿宋_GB2312"/>
          <w:sz w:val="32"/>
          <w:szCs w:val="32"/>
        </w:rPr>
        <w:t xml:space="preserve">    2023年度国有资本经营预算财政拨款收入0万元；年初结转和结余0万；支出0万元，其中：基本支出0万元，项目支出0万元；年末结转和结余0万元。</w:t>
      </w:r>
    </w:p>
    <w:p w14:paraId="143AAE2A">
      <w:pPr>
        <w:pStyle w:val="13"/>
        <w:spacing w:line="600" w:lineRule="exact"/>
        <w:ind w:firstLine="640" w:firstLineChars="200"/>
        <w:rPr>
          <w:rFonts w:hAnsi="黑体"/>
          <w:bCs/>
          <w:sz w:val="32"/>
          <w:szCs w:val="32"/>
        </w:rPr>
      </w:pPr>
      <w:r>
        <w:rPr>
          <w:rFonts w:hint="eastAsia" w:ascii="Times New Roman" w:hAnsi="Times New Roman" w:eastAsia="仿宋_GB2312"/>
          <w:b/>
          <w:sz w:val="32"/>
          <w:szCs w:val="32"/>
        </w:rPr>
        <w:t>九、</w:t>
      </w:r>
      <w:r>
        <w:rPr>
          <w:rFonts w:hint="eastAsia" w:hAnsi="黑体"/>
          <w:bCs/>
          <w:sz w:val="32"/>
          <w:szCs w:val="32"/>
        </w:rPr>
        <w:t>财政拨款三公经费支出决算情况说明</w:t>
      </w:r>
    </w:p>
    <w:p w14:paraId="7B5234A4">
      <w:pPr>
        <w:pStyle w:val="13"/>
        <w:spacing w:line="600" w:lineRule="exact"/>
        <w:ind w:firstLine="640" w:firstLineChars="200"/>
        <w:rPr>
          <w:rFonts w:ascii="楷体" w:hAnsi="楷体" w:eastAsia="楷体" w:cs="楷体"/>
          <w:b/>
          <w:sz w:val="32"/>
          <w:szCs w:val="32"/>
        </w:rPr>
      </w:pPr>
      <w:r>
        <w:rPr>
          <w:rFonts w:hint="eastAsia" w:ascii="楷体" w:hAnsi="楷体" w:eastAsia="楷体" w:cs="楷体"/>
          <w:b/>
          <w:sz w:val="32"/>
          <w:szCs w:val="32"/>
        </w:rPr>
        <w:t>（一）“三公”经费财政拨款支出决算总体情况说明</w:t>
      </w:r>
    </w:p>
    <w:p w14:paraId="5782016B">
      <w:pPr>
        <w:pStyle w:val="13"/>
        <w:spacing w:line="600" w:lineRule="exact"/>
        <w:ind w:firstLine="800" w:firstLineChars="250"/>
        <w:rPr>
          <w:rFonts w:ascii="Times New Roman" w:hAnsi="Times New Roman" w:eastAsia="仿宋_GB2312"/>
          <w:sz w:val="32"/>
          <w:szCs w:val="32"/>
        </w:rPr>
      </w:pPr>
      <w:r>
        <w:rPr>
          <w:rFonts w:hint="eastAsia" w:ascii="Times New Roman" w:hAnsi="Times New Roman" w:eastAsia="仿宋_GB2312"/>
          <w:sz w:val="32"/>
          <w:szCs w:val="32"/>
        </w:rPr>
        <w:t>“三公”经费财政拨款支出预算为87万元，支出决算为11.72万元，完成预算的13.47%，其中：</w:t>
      </w:r>
    </w:p>
    <w:p w14:paraId="4188785E">
      <w:pPr>
        <w:pStyle w:val="13"/>
        <w:spacing w:line="600" w:lineRule="exact"/>
        <w:ind w:firstLine="800" w:firstLineChars="250"/>
        <w:rPr>
          <w:rFonts w:ascii="Times New Roman" w:hAnsi="Times New Roman" w:eastAsia="仿宋_GB2312"/>
          <w:sz w:val="32"/>
          <w:szCs w:val="32"/>
        </w:rPr>
      </w:pPr>
      <w:r>
        <w:rPr>
          <w:rFonts w:hint="eastAsia" w:ascii="Times New Roman" w:hAnsi="Times New Roman" w:eastAsia="仿宋_GB2312"/>
          <w:sz w:val="32"/>
          <w:szCs w:val="32"/>
        </w:rPr>
        <w:t>因公出国（境）费支出预算为4.5万元，支出决算为0万元，</w:t>
      </w:r>
      <w:r>
        <w:rPr>
          <w:rFonts w:hint="eastAsia" w:ascii="仿宋_GB2312" w:hAnsi="仿宋_GB2312" w:eastAsia="仿宋_GB2312" w:cs="仿宋_GB2312"/>
          <w:sz w:val="32"/>
          <w:szCs w:val="32"/>
        </w:rPr>
        <w:t>因决算为0，无法计算百分比</w:t>
      </w:r>
      <w:r>
        <w:rPr>
          <w:rFonts w:hint="eastAsia" w:ascii="Times New Roman" w:hAnsi="Times New Roman" w:eastAsia="仿宋_GB2312"/>
          <w:sz w:val="32"/>
          <w:szCs w:val="32"/>
        </w:rPr>
        <w:t>，主要原因是</w:t>
      </w:r>
      <w:r>
        <w:rPr>
          <w:rFonts w:hint="eastAsia" w:ascii="仿宋_GB2312" w:hAnsi="仿宋_GB2312" w:eastAsia="仿宋_GB2312" w:cs="仿宋_GB2312"/>
          <w:sz w:val="32"/>
          <w:szCs w:val="32"/>
        </w:rPr>
        <w:t>未发生因公出国（境）费支出</w:t>
      </w:r>
      <w:r>
        <w:rPr>
          <w:rFonts w:hint="eastAsia" w:ascii="Times New Roman" w:hAnsi="Times New Roman" w:eastAsia="仿宋_GB2312"/>
          <w:sz w:val="32"/>
          <w:szCs w:val="32"/>
        </w:rPr>
        <w:t>；与上年一致，无增减变动，主要原因是未安排因公出国（境）活动。</w:t>
      </w:r>
    </w:p>
    <w:p w14:paraId="26642D86">
      <w:pPr>
        <w:pStyle w:val="13"/>
        <w:spacing w:line="600" w:lineRule="exact"/>
        <w:ind w:firstLine="800" w:firstLineChars="250"/>
        <w:rPr>
          <w:rFonts w:ascii="仿宋_GB2312" w:hAnsi="仿宋_GB2312" w:eastAsia="仿宋_GB2312" w:cs="仿宋_GB2312"/>
          <w:sz w:val="32"/>
          <w:szCs w:val="32"/>
        </w:rPr>
      </w:pPr>
      <w:r>
        <w:rPr>
          <w:rFonts w:hint="eastAsia" w:ascii="Times New Roman" w:hAnsi="Times New Roman" w:eastAsia="仿宋_GB2312"/>
          <w:sz w:val="32"/>
          <w:szCs w:val="32"/>
        </w:rPr>
        <w:t>公务接待费支出预算为55万元，支出决算为2.2万元，完成预算的0.04%，</w:t>
      </w:r>
      <w:r>
        <w:rPr>
          <w:rFonts w:hint="eastAsia" w:ascii="仿宋_GB2312" w:hAnsi="仿宋_GB2312" w:eastAsia="仿宋_GB2312" w:cs="仿宋_GB2312"/>
          <w:sz w:val="32"/>
          <w:szCs w:val="32"/>
        </w:rPr>
        <w:t>决算数小于预算数的主要原因是厉行节约要求，从严控制“三公”经费开支。</w:t>
      </w:r>
      <w:r>
        <w:rPr>
          <w:rFonts w:hint="eastAsia" w:ascii="Times New Roman" w:hAnsi="Times New Roman" w:eastAsia="仿宋_GB2312"/>
          <w:sz w:val="32"/>
          <w:szCs w:val="32"/>
        </w:rPr>
        <w:t>与上年相比减少0.88万元，减少28.57%,</w:t>
      </w:r>
      <w:r>
        <w:rPr>
          <w:rFonts w:hint="eastAsia" w:ascii="仿宋_GB2312" w:hAnsi="仿宋_GB2312" w:eastAsia="仿宋_GB2312" w:cs="仿宋_GB2312"/>
          <w:sz w:val="32"/>
          <w:szCs w:val="32"/>
        </w:rPr>
        <w:t>减少主要原因是从严控制“三公”经费开支。</w:t>
      </w:r>
    </w:p>
    <w:p w14:paraId="62979EB9">
      <w:pPr>
        <w:pStyle w:val="13"/>
        <w:spacing w:line="600" w:lineRule="exact"/>
        <w:ind w:firstLine="800" w:firstLineChars="250"/>
        <w:rPr>
          <w:rFonts w:ascii="仿宋_GB2312" w:hAnsi="仿宋_GB2312" w:eastAsia="仿宋_GB2312" w:cs="仿宋_GB2312"/>
          <w:sz w:val="32"/>
          <w:szCs w:val="32"/>
        </w:rPr>
      </w:pPr>
      <w:r>
        <w:rPr>
          <w:rFonts w:hint="eastAsia" w:ascii="仿宋_GB2312" w:hAnsi="仿宋_GB2312" w:eastAsia="仿宋_GB2312" w:cs="仿宋_GB2312"/>
          <w:sz w:val="32"/>
          <w:szCs w:val="32"/>
        </w:rPr>
        <w:t>公务用车购置费支出预算为0万元，支出决算为0万元，决算数等于预算数，主要原因是我单位严格按预算执行决算；与上年一致，无增减变动，主要原因是两年均未购置公务用车。</w:t>
      </w:r>
    </w:p>
    <w:p w14:paraId="68342646">
      <w:pPr>
        <w:pStyle w:val="13"/>
        <w:spacing w:line="600" w:lineRule="exact"/>
        <w:ind w:firstLine="640" w:firstLineChars="200"/>
        <w:rPr>
          <w:rFonts w:ascii="Times New Roman" w:hAnsi="Times New Roman" w:eastAsia="仿宋_GB2312"/>
          <w:sz w:val="32"/>
          <w:szCs w:val="32"/>
        </w:rPr>
      </w:pPr>
      <w:r>
        <w:rPr>
          <w:rFonts w:hint="eastAsia" w:ascii="仿宋_GB2312" w:hAnsi="仿宋_GB2312" w:eastAsia="仿宋_GB2312" w:cs="仿宋_GB2312"/>
          <w:sz w:val="32"/>
          <w:szCs w:val="32"/>
        </w:rPr>
        <w:t>公务用车运行维护费支出预算为27.50万元，</w:t>
      </w:r>
      <w:r>
        <w:rPr>
          <w:rFonts w:hint="eastAsia" w:ascii="Times New Roman" w:hAnsi="Times New Roman" w:eastAsia="仿宋_GB2312"/>
          <w:sz w:val="32"/>
          <w:szCs w:val="32"/>
        </w:rPr>
        <w:t>支出决算为9.52万元，完成预算的34.62%，</w:t>
      </w:r>
      <w:r>
        <w:rPr>
          <w:rFonts w:hint="eastAsia" w:ascii="仿宋_GB2312" w:hAnsi="仿宋_GB2312" w:eastAsia="仿宋_GB2312" w:cs="仿宋_GB2312"/>
          <w:sz w:val="32"/>
          <w:szCs w:val="32"/>
        </w:rPr>
        <w:t>决算数小于预算数的主要原因是厉行节约要求，从严控制“三公”经费开支，全年实际支出比预算有所节约。</w:t>
      </w:r>
      <w:r>
        <w:rPr>
          <w:rFonts w:hint="eastAsia" w:ascii="Times New Roman" w:hAnsi="Times New Roman" w:eastAsia="仿宋_GB2312"/>
          <w:sz w:val="32"/>
          <w:szCs w:val="32"/>
        </w:rPr>
        <w:t>与上年相比减少6.19万元，减少39.40%,减少的主要原因是</w:t>
      </w:r>
      <w:r>
        <w:rPr>
          <w:rFonts w:hint="eastAsia" w:ascii="仿宋_GB2312" w:hAnsi="仿宋_GB2312" w:eastAsia="仿宋_GB2312" w:cs="仿宋_GB2312"/>
          <w:sz w:val="32"/>
          <w:szCs w:val="32"/>
        </w:rPr>
        <w:t>厉行节约要求，从严控制“三公”经费开支</w:t>
      </w:r>
      <w:r>
        <w:rPr>
          <w:rFonts w:hint="eastAsia" w:ascii="Times New Roman" w:hAnsi="Times New Roman" w:eastAsia="仿宋_GB2312"/>
          <w:sz w:val="32"/>
          <w:szCs w:val="32"/>
        </w:rPr>
        <w:t>。</w:t>
      </w:r>
    </w:p>
    <w:p w14:paraId="0F5E501B">
      <w:pPr>
        <w:pStyle w:val="13"/>
        <w:spacing w:line="600" w:lineRule="exact"/>
        <w:ind w:firstLine="640" w:firstLineChars="200"/>
        <w:rPr>
          <w:rFonts w:ascii="楷体" w:hAnsi="楷体" w:eastAsia="楷体" w:cs="楷体"/>
          <w:b/>
          <w:sz w:val="32"/>
          <w:szCs w:val="32"/>
        </w:rPr>
      </w:pPr>
      <w:r>
        <w:rPr>
          <w:rFonts w:hint="eastAsia" w:ascii="楷体" w:hAnsi="楷体" w:eastAsia="楷体" w:cs="楷体"/>
          <w:b/>
          <w:sz w:val="32"/>
          <w:szCs w:val="32"/>
        </w:rPr>
        <w:t>（二）“三公”经费财政拨款支出决算具体情况说明</w:t>
      </w:r>
    </w:p>
    <w:p w14:paraId="34B2E50D">
      <w:pPr>
        <w:pStyle w:val="13"/>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2023年度“三公”经费财政拨款支出决算中，公务接待费支出决算2.2万元，占18.77%,因公出国（境）费支出决算0万元，占0%,公务用车购置费及运行维护费支出决算9.52万元，占81.23%。其中：</w:t>
      </w:r>
    </w:p>
    <w:p w14:paraId="6B104E24">
      <w:pPr>
        <w:pStyle w:val="13"/>
        <w:spacing w:line="600" w:lineRule="exact"/>
        <w:ind w:firstLine="640" w:firstLineChars="200"/>
        <w:rPr>
          <w:rFonts w:ascii="楷体" w:hAnsi="楷体" w:eastAsia="楷体" w:cs="楷体"/>
          <w:b/>
          <w:bCs/>
          <w:color w:val="auto"/>
          <w:sz w:val="32"/>
          <w:szCs w:val="32"/>
        </w:rPr>
      </w:pPr>
      <w:r>
        <w:rPr>
          <w:rFonts w:hint="eastAsia" w:ascii="Times New Roman" w:hAnsi="Times New Roman" w:eastAsia="仿宋_GB2312"/>
          <w:sz w:val="32"/>
          <w:szCs w:val="32"/>
        </w:rPr>
        <w:t>1、因公出国（境）费支出决算为0万元，全年安排因公出国（境）团组0个，累计0人次。</w:t>
      </w:r>
    </w:p>
    <w:p w14:paraId="760980F6">
      <w:pPr>
        <w:pStyle w:val="13"/>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2、公务接待费支出决算为2.2万元，全年共接待来访团组13个、来宾92人次，主要是开展考察、调研等活动发生的接待支出。</w:t>
      </w:r>
    </w:p>
    <w:p w14:paraId="085A5EE9">
      <w:pPr>
        <w:pStyle w:val="13"/>
        <w:spacing w:line="600" w:lineRule="exact"/>
        <w:ind w:firstLine="640" w:firstLineChars="200"/>
        <w:rPr>
          <w:rFonts w:ascii="楷体" w:hAnsi="楷体" w:eastAsia="楷体" w:cs="楷体"/>
          <w:b/>
          <w:bCs/>
          <w:color w:val="auto"/>
          <w:sz w:val="32"/>
          <w:szCs w:val="32"/>
        </w:rPr>
      </w:pPr>
      <w:r>
        <w:rPr>
          <w:rFonts w:hint="eastAsia" w:ascii="Times New Roman" w:hAnsi="Times New Roman" w:eastAsia="仿宋_GB2312"/>
          <w:sz w:val="32"/>
          <w:szCs w:val="32"/>
        </w:rPr>
        <w:t>3、公务用车购置费及运行维护费支出决算9.52万元</w:t>
      </w:r>
      <w:r>
        <w:rPr>
          <w:rFonts w:hint="eastAsia" w:ascii="Times New Roman" w:hAnsi="Times New Roman" w:eastAsia="仿宋_GB2312"/>
          <w:sz w:val="32"/>
          <w:szCs w:val="32"/>
          <w:lang w:val="en-US" w:eastAsia="zh-CN"/>
        </w:rPr>
        <w:t>,</w:t>
      </w:r>
      <w:r>
        <w:rPr>
          <w:rFonts w:hint="eastAsia" w:ascii="仿宋_GB2312" w:hAnsi="仿宋_GB2312" w:eastAsia="仿宋_GB2312" w:cs="仿宋_GB2312"/>
          <w:sz w:val="32"/>
          <w:szCs w:val="32"/>
        </w:rPr>
        <w:t>其中：公务用车购置支出0万元，更新公务用车0辆。公务用车运行费支出9.52万元。主要是按规定保留的公务用车的燃料费、维修费、过桥过路费、保险费、安全奖励费用等支出。截至2023年12月31日，我单位开支财政拨款的公务用车保有量为3辆。</w:t>
      </w:r>
    </w:p>
    <w:p w14:paraId="160C8B5B">
      <w:pPr>
        <w:pStyle w:val="13"/>
        <w:spacing w:line="600" w:lineRule="exact"/>
        <w:ind w:firstLine="640" w:firstLineChars="200"/>
        <w:rPr>
          <w:rFonts w:hAnsi="黑体"/>
          <w:bCs/>
          <w:sz w:val="32"/>
          <w:szCs w:val="32"/>
        </w:rPr>
      </w:pPr>
      <w:r>
        <w:rPr>
          <w:rFonts w:hint="eastAsia" w:hAnsi="黑体"/>
          <w:bCs/>
          <w:sz w:val="32"/>
          <w:szCs w:val="32"/>
        </w:rPr>
        <w:t>十、关于机关运行经费支出说明</w:t>
      </w:r>
    </w:p>
    <w:p w14:paraId="5EC10397">
      <w:pPr>
        <w:pStyle w:val="13"/>
        <w:ind w:firstLine="640" w:firstLineChars="200"/>
        <w:rPr>
          <w:rFonts w:ascii="楷体" w:hAnsi="楷体" w:eastAsia="楷体" w:cs="楷体"/>
          <w:sz w:val="32"/>
          <w:szCs w:val="32"/>
        </w:rPr>
      </w:pPr>
      <w:r>
        <w:rPr>
          <w:rFonts w:hint="eastAsia" w:ascii="Times New Roman" w:hAnsi="Times New Roman" w:eastAsia="仿宋_GB2312"/>
          <w:sz w:val="32"/>
          <w:szCs w:val="32"/>
        </w:rPr>
        <w:t>本部门2023年度机关运行经费支出</w:t>
      </w:r>
      <w:r>
        <w:rPr>
          <w:rFonts w:ascii="Times New Roman" w:hAnsi="Times New Roman" w:eastAsia="仿宋_GB2312"/>
          <w:sz w:val="32"/>
          <w:szCs w:val="32"/>
        </w:rPr>
        <w:t>199.2</w:t>
      </w:r>
      <w:r>
        <w:rPr>
          <w:rFonts w:hint="eastAsia" w:ascii="Times New Roman" w:hAnsi="Times New Roman" w:eastAsia="仿宋_GB2312"/>
          <w:sz w:val="32"/>
          <w:szCs w:val="32"/>
        </w:rPr>
        <w:t>万元，</w:t>
      </w:r>
      <w:r>
        <w:rPr>
          <w:rFonts w:hint="eastAsia" w:ascii="仿宋_GB2312" w:hAnsi="仿宋_GB2312" w:eastAsia="仿宋_GB2312" w:cs="仿宋_GB2312"/>
          <w:sz w:val="32"/>
          <w:szCs w:val="32"/>
        </w:rPr>
        <w:t>与年初预算数持平。主要原因是严格按照预算支出机关运行经费。</w:t>
      </w:r>
    </w:p>
    <w:p w14:paraId="1144A4E5">
      <w:pPr>
        <w:pStyle w:val="13"/>
        <w:spacing w:line="600" w:lineRule="exact"/>
        <w:ind w:firstLine="640" w:firstLineChars="200"/>
        <w:rPr>
          <w:rFonts w:hAnsi="黑体"/>
          <w:bCs/>
          <w:sz w:val="32"/>
          <w:szCs w:val="32"/>
        </w:rPr>
      </w:pPr>
      <w:r>
        <w:rPr>
          <w:rFonts w:hint="eastAsia" w:hAnsi="黑体"/>
          <w:bCs/>
          <w:sz w:val="32"/>
          <w:szCs w:val="32"/>
        </w:rPr>
        <w:t>十一、一般性支出情况说明</w:t>
      </w:r>
    </w:p>
    <w:p w14:paraId="37A26D6A">
      <w:pPr>
        <w:pStyle w:val="13"/>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本单位无会议费的预算和支出决算数；本单位无培训费的预算和支出决算数；本单位无举办节庆、晚会、论坛、赛事等活动的预算和支出决算数。。本单位无举办节庆、晚会、论坛、赛事等活动的预算和支出决算数。</w:t>
      </w:r>
    </w:p>
    <w:p w14:paraId="6FB60F05">
      <w:pPr>
        <w:pStyle w:val="13"/>
        <w:spacing w:line="600" w:lineRule="exact"/>
        <w:ind w:firstLine="640" w:firstLineChars="200"/>
        <w:rPr>
          <w:rFonts w:hint="eastAsia" w:ascii="Times New Roman" w:hAnsi="Times New Roman" w:eastAsia="仿宋_GB2312"/>
          <w:sz w:val="32"/>
          <w:szCs w:val="32"/>
        </w:rPr>
      </w:pPr>
      <w:r>
        <w:rPr>
          <w:rFonts w:hint="eastAsia" w:hAnsi="黑体"/>
          <w:bCs/>
          <w:sz w:val="32"/>
          <w:szCs w:val="32"/>
        </w:rPr>
        <w:t>十二、关于政府采购支出说明</w:t>
      </w:r>
    </w:p>
    <w:p w14:paraId="23A8C580">
      <w:pPr>
        <w:pStyle w:val="13"/>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本部门202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年度政府采购支出总额</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万元，其中：政府采购货物支出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万元、政府采购工程支出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万元、政府采购服务支出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万元。授予中小企业合同金额</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（由于预算数为</w:t>
      </w:r>
      <w:r>
        <w:rPr>
          <w:rFonts w:hint="eastAsia" w:ascii="Times New Roman" w:hAnsi="Times New Roman" w:eastAsia="仿宋_GB2312"/>
          <w:sz w:val="32"/>
          <w:szCs w:val="32"/>
          <w:lang w:val="en-US" w:eastAsia="zh-CN"/>
        </w:rPr>
        <w:t>0，故无法计算</w:t>
      </w:r>
      <w:r>
        <w:rPr>
          <w:rFonts w:hint="eastAsia" w:ascii="Times New Roman" w:hAnsi="Times New Roman" w:eastAsia="仿宋_GB2312"/>
          <w:sz w:val="32"/>
          <w:szCs w:val="32"/>
        </w:rPr>
        <w:t>占政府采购支出总额的</w:t>
      </w:r>
      <w:r>
        <w:rPr>
          <w:rFonts w:hint="eastAsia" w:ascii="Times New Roman" w:hAnsi="Times New Roman" w:eastAsia="仿宋_GB2312"/>
          <w:sz w:val="32"/>
          <w:szCs w:val="32"/>
          <w:lang w:eastAsia="zh-CN"/>
        </w:rPr>
        <w:t>比重）</w:t>
      </w:r>
      <w:r>
        <w:rPr>
          <w:rFonts w:hint="eastAsia" w:ascii="Times New Roman" w:hAnsi="Times New Roman" w:eastAsia="仿宋_GB2312"/>
          <w:sz w:val="32"/>
          <w:szCs w:val="32"/>
        </w:rPr>
        <w:t>，其中：授予小微企业合同金额</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（由于预算数为</w:t>
      </w:r>
      <w:r>
        <w:rPr>
          <w:rFonts w:hint="eastAsia" w:ascii="Times New Roman" w:hAnsi="Times New Roman" w:eastAsia="仿宋_GB2312"/>
          <w:sz w:val="32"/>
          <w:szCs w:val="32"/>
          <w:lang w:val="en-US" w:eastAsia="zh-CN"/>
        </w:rPr>
        <w:t>0，故无法计算</w:t>
      </w:r>
      <w:r>
        <w:rPr>
          <w:rFonts w:hint="eastAsia" w:ascii="Times New Roman" w:hAnsi="Times New Roman" w:eastAsia="仿宋_GB2312"/>
          <w:sz w:val="32"/>
          <w:szCs w:val="32"/>
        </w:rPr>
        <w:t>占</w:t>
      </w:r>
      <w:r>
        <w:rPr>
          <w:rFonts w:hint="eastAsia" w:ascii="Times New Roman" w:hAnsi="Times New Roman" w:eastAsia="仿宋_GB2312"/>
          <w:sz w:val="32"/>
          <w:szCs w:val="32"/>
          <w:lang w:eastAsia="zh-CN"/>
        </w:rPr>
        <w:t>授予中小企业合同金额</w:t>
      </w:r>
      <w:r>
        <w:rPr>
          <w:rFonts w:hint="eastAsia" w:ascii="Times New Roman" w:hAnsi="Times New Roman" w:eastAsia="仿宋_GB2312"/>
          <w:sz w:val="32"/>
          <w:szCs w:val="32"/>
        </w:rPr>
        <w:t>的</w:t>
      </w:r>
      <w:r>
        <w:rPr>
          <w:rFonts w:hint="eastAsia" w:ascii="Times New Roman" w:hAnsi="Times New Roman" w:eastAsia="仿宋_GB2312"/>
          <w:sz w:val="32"/>
          <w:szCs w:val="32"/>
          <w:lang w:eastAsia="zh-CN"/>
        </w:rPr>
        <w:t>比重）</w:t>
      </w:r>
      <w:r>
        <w:rPr>
          <w:rFonts w:hint="eastAsia" w:ascii="Times New Roman" w:hAnsi="Times New Roman" w:eastAsia="仿宋_GB2312"/>
          <w:sz w:val="32"/>
          <w:szCs w:val="32"/>
        </w:rPr>
        <w:t>。货物采购授予中小企业合同金额占货物支出金额的</w:t>
      </w:r>
      <w:r>
        <w:rPr>
          <w:rFonts w:hint="eastAsia" w:ascii="Times New Roman" w:hAnsi="Times New Roman" w:eastAsia="仿宋_GB2312"/>
          <w:sz w:val="32"/>
          <w:szCs w:val="32"/>
          <w:lang w:eastAsia="zh-CN"/>
        </w:rPr>
        <w:t>比重</w:t>
      </w:r>
      <w:r>
        <w:rPr>
          <w:rFonts w:hint="eastAsia" w:ascii="Times New Roman" w:hAnsi="Times New Roman" w:eastAsia="仿宋_GB2312"/>
          <w:sz w:val="32"/>
          <w:szCs w:val="32"/>
        </w:rPr>
        <w:t>，工程采购授予中小企业合同金额占工程支出金额的</w:t>
      </w:r>
      <w:r>
        <w:rPr>
          <w:rFonts w:hint="eastAsia" w:ascii="Times New Roman" w:hAnsi="Times New Roman" w:eastAsia="仿宋_GB2312"/>
          <w:sz w:val="32"/>
          <w:szCs w:val="32"/>
          <w:lang w:eastAsia="zh-CN"/>
        </w:rPr>
        <w:t>比重</w:t>
      </w:r>
      <w:r>
        <w:rPr>
          <w:rFonts w:hint="eastAsia" w:ascii="Times New Roman" w:hAnsi="Times New Roman" w:eastAsia="仿宋_GB2312"/>
          <w:sz w:val="32"/>
          <w:szCs w:val="32"/>
        </w:rPr>
        <w:t>，服务采购授予中小企业合同金额占服务支出金额的</w:t>
      </w:r>
      <w:r>
        <w:rPr>
          <w:rFonts w:hint="eastAsia" w:ascii="Times New Roman" w:hAnsi="Times New Roman" w:eastAsia="仿宋_GB2312"/>
          <w:sz w:val="32"/>
          <w:szCs w:val="32"/>
          <w:lang w:eastAsia="zh-CN"/>
        </w:rPr>
        <w:t>比重，由于各项预算数为</w:t>
      </w:r>
      <w:r>
        <w:rPr>
          <w:rFonts w:hint="eastAsia" w:ascii="Times New Roman" w:hAnsi="Times New Roman" w:eastAsia="仿宋_GB2312"/>
          <w:sz w:val="32"/>
          <w:szCs w:val="32"/>
          <w:lang w:val="en-US" w:eastAsia="zh-CN"/>
        </w:rPr>
        <w:t>0，故无法计算各项占比</w:t>
      </w:r>
      <w:r>
        <w:rPr>
          <w:rFonts w:hint="eastAsia" w:ascii="Times New Roman" w:hAnsi="Times New Roman" w:eastAsia="仿宋_GB2312"/>
          <w:sz w:val="32"/>
          <w:szCs w:val="32"/>
        </w:rPr>
        <w:t>。</w:t>
      </w:r>
    </w:p>
    <w:p w14:paraId="3E1D5BD3">
      <w:pPr>
        <w:pStyle w:val="13"/>
        <w:spacing w:line="600" w:lineRule="exact"/>
        <w:ind w:firstLine="640" w:firstLineChars="200"/>
        <w:rPr>
          <w:rFonts w:ascii="Times New Roman" w:hAnsi="Times New Roman" w:eastAsia="仿宋_GB2312"/>
          <w:sz w:val="32"/>
          <w:szCs w:val="32"/>
        </w:rPr>
      </w:pPr>
      <w:r>
        <w:rPr>
          <w:rFonts w:hint="eastAsia" w:hAnsi="黑体"/>
          <w:bCs/>
          <w:sz w:val="32"/>
          <w:szCs w:val="32"/>
        </w:rPr>
        <w:t>十三、关于国有资产占用情况说明</w:t>
      </w:r>
    </w:p>
    <w:p w14:paraId="5DDC2C7B">
      <w:pPr>
        <w:pStyle w:val="13"/>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截至2023年12月31日，本单位共有车辆3辆，其中，主要领导干部用车0辆，机要通信用车0辆、应急保障用车0辆、执法执勤用车0辆、特种专业技术用车0辆、其他用车3辆，</w:t>
      </w:r>
      <w:r>
        <w:rPr>
          <w:rFonts w:hint="eastAsia" w:ascii="仿宋_GB2312" w:hAnsi="仿宋_GB2312" w:eastAsia="仿宋_GB2312" w:cs="仿宋_GB2312"/>
          <w:sz w:val="32"/>
          <w:szCs w:val="32"/>
        </w:rPr>
        <w:t>其他用车主要是用于机要通信和应急保障之外公务用途的车辆</w:t>
      </w:r>
      <w:r>
        <w:rPr>
          <w:rFonts w:hint="eastAsia" w:ascii="Times New Roman" w:hAnsi="Times New Roman" w:eastAsia="仿宋_GB2312"/>
          <w:sz w:val="32"/>
          <w:szCs w:val="32"/>
        </w:rPr>
        <w:t>；单位价值50万元以上通用设备0台（套）；单位价值100万元以上专用设备0台（套）。</w:t>
      </w:r>
    </w:p>
    <w:p w14:paraId="49FA4868">
      <w:pPr>
        <w:pStyle w:val="13"/>
        <w:spacing w:line="600" w:lineRule="exact"/>
        <w:ind w:firstLine="640" w:firstLineChars="200"/>
        <w:rPr>
          <w:rFonts w:ascii="Times New Roman" w:hAnsi="Times New Roman" w:eastAsia="仿宋_GB2312"/>
          <w:sz w:val="32"/>
          <w:szCs w:val="32"/>
        </w:rPr>
      </w:pPr>
      <w:r>
        <w:rPr>
          <w:rFonts w:hint="eastAsia" w:hAnsi="黑体"/>
          <w:bCs/>
          <w:sz w:val="32"/>
          <w:szCs w:val="32"/>
        </w:rPr>
        <w:t>十四、关于</w:t>
      </w:r>
      <w:r>
        <w:rPr>
          <w:rFonts w:hint="eastAsia" w:ascii="Times New Roman" w:hAnsi="Times New Roman" w:eastAsia="仿宋_GB2312"/>
          <w:sz w:val="32"/>
          <w:szCs w:val="32"/>
        </w:rPr>
        <w:t>2023</w:t>
      </w:r>
      <w:r>
        <w:rPr>
          <w:rFonts w:hint="eastAsia" w:hAnsi="黑体"/>
          <w:bCs/>
          <w:sz w:val="32"/>
          <w:szCs w:val="32"/>
        </w:rPr>
        <w:t>年度预算绩效情况的说明</w:t>
      </w:r>
    </w:p>
    <w:p w14:paraId="358348B9">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（一）绩效管理工作开展情况</w:t>
      </w:r>
    </w:p>
    <w:p w14:paraId="1D1E7F0C">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仿宋_GB2312" w:hAnsi="仿宋_GB2312" w:eastAsia="仿宋_GB2312" w:cs="仿宋_GB2312"/>
          <w:b w:val="0"/>
          <w:bCs w:val="0"/>
          <w:color w:val="000000"/>
          <w:kern w:val="0"/>
          <w:sz w:val="32"/>
          <w:szCs w:val="32"/>
          <w:lang w:val="en-US" w:eastAsia="zh-CN" w:bidi="ar-SA"/>
        </w:rPr>
      </w:pPr>
      <w:r>
        <w:rPr>
          <w:rFonts w:hint="eastAsia" w:ascii="仿宋_GB2312" w:hAnsi="仿宋_GB2312" w:eastAsia="仿宋_GB2312" w:cs="仿宋_GB2312"/>
          <w:b w:val="0"/>
          <w:bCs w:val="0"/>
          <w:color w:val="000000"/>
          <w:kern w:val="0"/>
          <w:sz w:val="32"/>
          <w:szCs w:val="32"/>
          <w:lang w:val="en-US" w:eastAsia="zh-CN" w:bidi="ar-SA"/>
        </w:rPr>
        <w:t>根据预算绩效管理要求，我们组织对2023年度整体支出和项目资金实施了全覆盖性的绩效评价，撰写了绩效自评报告。</w:t>
      </w:r>
    </w:p>
    <w:p w14:paraId="3F6D06AE">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仿宋_GB2312" w:hAnsi="仿宋_GB2312" w:eastAsia="仿宋_GB2312" w:cs="仿宋_GB2312"/>
          <w:b w:val="0"/>
          <w:bCs w:val="0"/>
          <w:color w:val="000000"/>
          <w:kern w:val="0"/>
          <w:sz w:val="32"/>
          <w:szCs w:val="32"/>
          <w:lang w:val="en-US" w:eastAsia="zh-CN" w:bidi="ar-SA"/>
        </w:rPr>
      </w:pPr>
      <w:r>
        <w:rPr>
          <w:rFonts w:hint="eastAsia" w:ascii="仿宋_GB2312" w:hAnsi="仿宋_GB2312" w:eastAsia="仿宋_GB2312" w:cs="仿宋_GB2312"/>
          <w:b w:val="0"/>
          <w:bCs w:val="0"/>
          <w:color w:val="000000"/>
          <w:kern w:val="0"/>
          <w:sz w:val="32"/>
          <w:szCs w:val="32"/>
          <w:lang w:val="en-US" w:eastAsia="zh-CN" w:bidi="ar-SA"/>
        </w:rPr>
        <w:t>组织开展整体支出绩效评价，涉及一般公共预算支出2294.28万元，政府性基金预算支出0万元，国有资本经营预算支出0万元。从评价情况来看，整体支出绩效评价中，2023年整体支出2322.87万元，其中：基本支出1270.56万元，项目支出1052.31万元，本单位整体支出绩效自评综合评分100分，评价结果等次为良好。</w:t>
      </w:r>
    </w:p>
    <w:p w14:paraId="720F3616">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val="0"/>
          <w:bCs w:val="0"/>
          <w:color w:val="000000"/>
          <w:kern w:val="0"/>
          <w:sz w:val="32"/>
          <w:szCs w:val="32"/>
          <w:lang w:val="en-US" w:eastAsia="zh-CN" w:bidi="ar-SA"/>
        </w:rPr>
        <w:t>组织对一般公共预算项目支出全面开展绩效自评，项目18个，共涉及资金1052.31万元，占一般公共预算项目支出总额的100%。组织对政府性基金预算项目支出开展绩效自评，项目0个，共涉及资金0万元，</w:t>
      </w:r>
      <w:r>
        <w:rPr>
          <w:rFonts w:hint="eastAsia" w:ascii="Times New Roman" w:hAnsi="Times New Roman" w:eastAsia="仿宋_GB2312"/>
          <w:sz w:val="32"/>
          <w:szCs w:val="32"/>
          <w:lang w:eastAsia="zh-CN"/>
        </w:rPr>
        <w:t>由于各项预算数为</w:t>
      </w:r>
      <w:r>
        <w:rPr>
          <w:rFonts w:hint="eastAsia" w:ascii="Times New Roman" w:hAnsi="Times New Roman" w:eastAsia="仿宋_GB2312"/>
          <w:sz w:val="32"/>
          <w:szCs w:val="32"/>
          <w:lang w:val="en-US" w:eastAsia="zh-CN"/>
        </w:rPr>
        <w:t>0，故无法计算各项占比</w:t>
      </w:r>
      <w:r>
        <w:rPr>
          <w:rFonts w:hint="eastAsia" w:ascii="仿宋_GB2312" w:hAnsi="仿宋_GB2312" w:eastAsia="仿宋_GB2312" w:cs="仿宋_GB2312"/>
          <w:b w:val="0"/>
          <w:bCs w:val="0"/>
          <w:color w:val="000000"/>
          <w:kern w:val="0"/>
          <w:sz w:val="32"/>
          <w:szCs w:val="32"/>
          <w:lang w:val="en-US" w:eastAsia="zh-CN" w:bidi="ar-SA"/>
        </w:rPr>
        <w:t>。组织对国有资本经营预算项目支出开展绩效自评，项目0个，共涉及资金0万元，</w:t>
      </w:r>
      <w:r>
        <w:rPr>
          <w:rFonts w:hint="eastAsia" w:ascii="Times New Roman" w:hAnsi="Times New Roman" w:eastAsia="仿宋_GB2312"/>
          <w:sz w:val="32"/>
          <w:szCs w:val="32"/>
          <w:lang w:eastAsia="zh-CN"/>
        </w:rPr>
        <w:t>由于各项预算数为</w:t>
      </w:r>
      <w:r>
        <w:rPr>
          <w:rFonts w:hint="eastAsia" w:ascii="Times New Roman" w:hAnsi="Times New Roman" w:eastAsia="仿宋_GB2312"/>
          <w:sz w:val="32"/>
          <w:szCs w:val="32"/>
          <w:lang w:val="en-US" w:eastAsia="zh-CN"/>
        </w:rPr>
        <w:t>0，故无法计算各项占比</w:t>
      </w:r>
      <w:r>
        <w:rPr>
          <w:rFonts w:hint="eastAsia" w:ascii="仿宋_GB2312" w:hAnsi="仿宋_GB2312" w:eastAsia="仿宋_GB2312" w:cs="仿宋_GB2312"/>
          <w:b w:val="0"/>
          <w:bCs w:val="0"/>
          <w:color w:val="000000"/>
          <w:kern w:val="0"/>
          <w:sz w:val="32"/>
          <w:szCs w:val="32"/>
          <w:lang w:val="en-US" w:eastAsia="zh-CN" w:bidi="ar-SA"/>
        </w:rPr>
        <w:t>。从评价情况来看，项目绩效自评得分100分，评价结果等次为良好。</w:t>
      </w:r>
    </w:p>
    <w:p w14:paraId="7E606CB3">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（二）</w:t>
      </w:r>
      <w:r>
        <w:rPr>
          <w:rFonts w:hint="eastAsia" w:ascii="楷体" w:hAnsi="楷体" w:eastAsia="楷体" w:cs="楷体"/>
          <w:b/>
          <w:bCs/>
          <w:sz w:val="32"/>
          <w:szCs w:val="32"/>
        </w:rPr>
        <w:t>部门</w:t>
      </w:r>
      <w:r>
        <w:rPr>
          <w:rFonts w:hint="eastAsia" w:ascii="楷体" w:hAnsi="楷体" w:eastAsia="楷体" w:cs="楷体"/>
          <w:b/>
          <w:bCs/>
          <w:sz w:val="32"/>
          <w:szCs w:val="32"/>
          <w:lang w:eastAsia="zh-CN"/>
        </w:rPr>
        <w:t>（单位）</w:t>
      </w:r>
      <w:r>
        <w:rPr>
          <w:rFonts w:hint="eastAsia" w:ascii="楷体" w:hAnsi="楷体" w:eastAsia="楷体" w:cs="楷体"/>
          <w:b/>
          <w:bCs/>
          <w:sz w:val="32"/>
          <w:szCs w:val="32"/>
        </w:rPr>
        <w:t>整体支出绩效情况</w:t>
      </w:r>
    </w:p>
    <w:p w14:paraId="06DF8361">
      <w:pPr>
        <w:pStyle w:val="13"/>
        <w:spacing w:line="60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b w:val="0"/>
          <w:bCs w:val="0"/>
          <w:color w:val="000000"/>
          <w:kern w:val="0"/>
          <w:sz w:val="32"/>
          <w:szCs w:val="32"/>
          <w:lang w:val="en-US" w:eastAsia="zh-CN" w:bidi="ar-SA"/>
        </w:rPr>
        <w:t>根据年初设定的绩效目标，绩效自评得分为100分。全年预算数为2326.31万元，执行数为2322.87万元，完成预算的99.85%。</w:t>
      </w:r>
      <w:r>
        <w:rPr>
          <w:rFonts w:hint="eastAsia" w:ascii="仿宋_GB2312" w:hAnsi="仿宋_GB2312" w:eastAsia="仿宋_GB2312" w:cs="仿宋_GB2312"/>
          <w:sz w:val="32"/>
          <w:szCs w:val="32"/>
        </w:rPr>
        <w:t>绩效目标完成情况：</w:t>
      </w:r>
      <w:r>
        <w:rPr>
          <w:rFonts w:hint="eastAsia" w:ascii="仿宋_GB2312" w:hAnsi="仿宋_GB2312" w:eastAsia="仿宋_GB2312" w:cs="仿宋_GB2312"/>
          <w:sz w:val="32"/>
          <w:szCs w:val="32"/>
          <w:lang w:eastAsia="zh-CN"/>
        </w:rPr>
        <w:t>一是</w:t>
      </w:r>
      <w:r>
        <w:rPr>
          <w:rFonts w:hint="eastAsia" w:ascii="仿宋_GB2312" w:hAnsi="仿宋_GB2312" w:eastAsia="仿宋_GB2312" w:cs="仿宋_GB2312"/>
          <w:sz w:val="32"/>
          <w:szCs w:val="32"/>
        </w:rPr>
        <w:t>本年预算配置控制较好，财政供养人员控制在预算编制以内。</w:t>
      </w:r>
      <w:r>
        <w:rPr>
          <w:rFonts w:hint="eastAsia" w:ascii="仿宋_GB2312" w:hAnsi="仿宋_GB2312" w:eastAsia="仿宋_GB2312" w:cs="仿宋_GB2312"/>
          <w:sz w:val="32"/>
          <w:szCs w:val="32"/>
          <w:lang w:eastAsia="zh-CN"/>
        </w:rPr>
        <w:t>二是</w:t>
      </w:r>
      <w:r>
        <w:rPr>
          <w:rFonts w:hint="eastAsia" w:ascii="仿宋_GB2312" w:hAnsi="仿宋_GB2312" w:eastAsia="仿宋_GB2312" w:cs="仿宋_GB2312"/>
          <w:sz w:val="32"/>
          <w:szCs w:val="32"/>
        </w:rPr>
        <w:t>预算执行方面，全年收支基本平衡，基本支出中财政政策性工资有所追加；预算资金按规定管理使用。</w:t>
      </w:r>
      <w:r>
        <w:rPr>
          <w:rFonts w:hint="eastAsia" w:ascii="仿宋_GB2312" w:hAnsi="仿宋_GB2312" w:eastAsia="仿宋_GB2312" w:cs="仿宋_GB2312"/>
          <w:sz w:val="32"/>
          <w:szCs w:val="32"/>
          <w:lang w:eastAsia="zh-CN"/>
        </w:rPr>
        <w:t>三是</w:t>
      </w:r>
      <w:r>
        <w:rPr>
          <w:rFonts w:hint="eastAsia" w:ascii="仿宋_GB2312" w:hAnsi="仿宋_GB2312" w:eastAsia="仿宋_GB2312" w:cs="仿宋_GB2312"/>
          <w:sz w:val="32"/>
          <w:szCs w:val="32"/>
        </w:rPr>
        <w:t>预算管理方面，我部加强了财务、车辆、资产内部管理，执行总体较为有效。发现的主要问题及原因：新的预算编制方式不太适应，对项目资金的规使用</w:t>
      </w:r>
      <w:r>
        <w:rPr>
          <w:rFonts w:hint="eastAsia" w:ascii="仿宋_GB2312" w:hAnsi="仿宋_GB2312" w:eastAsia="仿宋_GB2312" w:cs="仿宋_GB2312"/>
          <w:sz w:val="32"/>
          <w:szCs w:val="32"/>
          <w:lang w:eastAsia="zh-CN"/>
        </w:rPr>
        <w:t>管理</w:t>
      </w:r>
      <w:r>
        <w:rPr>
          <w:rFonts w:hint="eastAsia" w:ascii="仿宋_GB2312" w:hAnsi="仿宋_GB2312" w:eastAsia="仿宋_GB2312" w:cs="仿宋_GB2312"/>
          <w:sz w:val="32"/>
          <w:szCs w:val="32"/>
        </w:rPr>
        <w:t>有待进一步改进。下一步改进措施：争取有关专项资金及时拨付到位，提高资金使用效率。</w:t>
      </w:r>
    </w:p>
    <w:p w14:paraId="7591D0A6">
      <w:pPr>
        <w:pStyle w:val="13"/>
        <w:spacing w:line="600" w:lineRule="exact"/>
        <w:ind w:firstLine="640" w:firstLineChars="200"/>
        <w:jc w:val="both"/>
        <w:rPr>
          <w:rFonts w:hint="eastAsia" w:ascii="仿宋_GB2312" w:hAnsi="仿宋_GB2312" w:eastAsia="仿宋_GB2312" w:cs="仿宋_GB2312"/>
          <w:sz w:val="32"/>
          <w:szCs w:val="32"/>
        </w:rPr>
      </w:pPr>
      <w:r>
        <w:rPr>
          <w:rFonts w:hint="eastAsia" w:ascii="楷体" w:hAnsi="楷体" w:eastAsia="楷体" w:cs="楷体"/>
          <w:b/>
          <w:bCs/>
          <w:sz w:val="32"/>
          <w:szCs w:val="32"/>
          <w:lang w:eastAsia="zh-CN"/>
        </w:rPr>
        <w:t>（三）</w:t>
      </w:r>
      <w:r>
        <w:rPr>
          <w:rFonts w:hint="eastAsia" w:ascii="楷体" w:hAnsi="楷体" w:eastAsia="楷体" w:cs="楷体"/>
          <w:b/>
          <w:bCs/>
          <w:sz w:val="32"/>
          <w:szCs w:val="32"/>
        </w:rPr>
        <w:t>存在的问题及原因分析</w:t>
      </w:r>
    </w:p>
    <w:p w14:paraId="239A161D">
      <w:pPr>
        <w:pStyle w:val="13"/>
        <w:ind w:firstLine="640" w:firstLineChars="200"/>
        <w:jc w:val="both"/>
        <w:rPr>
          <w:rFonts w:ascii="方正小标宋_GBK" w:hAnsi="方正小标宋_GBK" w:eastAsia="方正小标宋_GBK" w:cs="方正小标宋_GBK"/>
          <w:sz w:val="72"/>
          <w:szCs w:val="72"/>
        </w:rPr>
      </w:pPr>
      <w:r>
        <w:rPr>
          <w:rFonts w:hint="eastAsia" w:ascii="仿宋_GB2312" w:hAnsi="仿宋_GB2312" w:eastAsia="仿宋_GB2312" w:cs="仿宋_GB2312"/>
          <w:sz w:val="32"/>
          <w:szCs w:val="32"/>
        </w:rPr>
        <w:t>新的预算编制方式不太适应，对项目资金的使用</w:t>
      </w:r>
      <w:r>
        <w:rPr>
          <w:rFonts w:hint="eastAsia" w:ascii="仿宋_GB2312" w:hAnsi="仿宋_GB2312" w:eastAsia="仿宋_GB2312" w:cs="仿宋_GB2312"/>
          <w:sz w:val="32"/>
          <w:szCs w:val="32"/>
          <w:lang w:eastAsia="zh-CN"/>
        </w:rPr>
        <w:t>管理</w:t>
      </w:r>
      <w:r>
        <w:rPr>
          <w:rFonts w:hint="eastAsia" w:ascii="仿宋_GB2312" w:hAnsi="仿宋_GB2312" w:eastAsia="仿宋_GB2312" w:cs="仿宋_GB2312"/>
          <w:sz w:val="32"/>
          <w:szCs w:val="32"/>
        </w:rPr>
        <w:t>有待进一步改进。</w:t>
      </w:r>
      <w:r>
        <w:rPr>
          <w:rFonts w:hint="eastAsia" w:ascii="仿宋_GB2312" w:hAnsi="仿宋_GB2312" w:eastAsia="仿宋_GB2312" w:cs="仿宋_GB2312"/>
          <w:b w:val="0"/>
          <w:bCs w:val="0"/>
          <w:sz w:val="32"/>
          <w:szCs w:val="32"/>
          <w:lang w:val="en-US" w:eastAsia="zh-CN"/>
        </w:rPr>
        <w:t>预算绩效管理开展情况、绩效目标和绩效评价报告等，已在市政府部门财政预决算公开平台上向社会公开，详见附件。</w:t>
      </w:r>
    </w:p>
    <w:p w14:paraId="2BD36B56">
      <w:pPr>
        <w:pStyle w:val="13"/>
        <w:jc w:val="both"/>
        <w:rPr>
          <w:rFonts w:ascii="方正小标宋_GBK" w:hAnsi="方正小标宋_GBK" w:eastAsia="方正小标宋_GBK" w:cs="方正小标宋_GBK"/>
          <w:sz w:val="72"/>
          <w:szCs w:val="72"/>
        </w:rPr>
      </w:pPr>
    </w:p>
    <w:p w14:paraId="2904FB59">
      <w:pPr>
        <w:pStyle w:val="13"/>
        <w:jc w:val="both"/>
        <w:rPr>
          <w:rFonts w:ascii="方正小标宋_GBK" w:hAnsi="方正小标宋_GBK" w:eastAsia="方正小标宋_GBK" w:cs="方正小标宋_GBK"/>
          <w:sz w:val="72"/>
          <w:szCs w:val="72"/>
        </w:rPr>
      </w:pPr>
    </w:p>
    <w:p w14:paraId="369A5A10">
      <w:pPr>
        <w:pStyle w:val="13"/>
        <w:jc w:val="both"/>
        <w:rPr>
          <w:rFonts w:ascii="方正小标宋_GBK" w:hAnsi="方正小标宋_GBK" w:eastAsia="方正小标宋_GBK" w:cs="方正小标宋_GBK"/>
          <w:sz w:val="72"/>
          <w:szCs w:val="72"/>
        </w:rPr>
      </w:pPr>
    </w:p>
    <w:p w14:paraId="3FC6448F">
      <w:pPr>
        <w:pStyle w:val="13"/>
        <w:jc w:val="both"/>
        <w:rPr>
          <w:rFonts w:ascii="方正小标宋_GBK" w:hAnsi="方正小标宋_GBK" w:eastAsia="方正小标宋_GBK" w:cs="方正小标宋_GBK"/>
          <w:sz w:val="72"/>
          <w:szCs w:val="72"/>
        </w:rPr>
      </w:pPr>
    </w:p>
    <w:p w14:paraId="19B2EED4">
      <w:pPr>
        <w:pStyle w:val="13"/>
        <w:jc w:val="both"/>
        <w:rPr>
          <w:rFonts w:ascii="方正小标宋_GBK" w:hAnsi="方正小标宋_GBK" w:eastAsia="方正小标宋_GBK" w:cs="方正小标宋_GBK"/>
          <w:sz w:val="72"/>
          <w:szCs w:val="72"/>
        </w:rPr>
      </w:pPr>
      <w:bookmarkStart w:id="0" w:name="_GoBack"/>
      <w:bookmarkEnd w:id="0"/>
    </w:p>
    <w:p w14:paraId="256E5A3D">
      <w:pPr>
        <w:pStyle w:val="13"/>
        <w:jc w:val="center"/>
        <w:rPr>
          <w:rFonts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第四部分</w:t>
      </w:r>
    </w:p>
    <w:p w14:paraId="193D1312">
      <w:pPr>
        <w:jc w:val="center"/>
        <w:rPr>
          <w:rFonts w:ascii="方正小标宋_GBK" w:hAnsi="方正小标宋_GBK" w:eastAsia="方正小标宋_GBK" w:cs="方正小标宋_GBK"/>
          <w:color w:val="000000"/>
          <w:kern w:val="0"/>
          <w:sz w:val="70"/>
          <w:szCs w:val="70"/>
        </w:rPr>
      </w:pPr>
    </w:p>
    <w:p w14:paraId="27B6AE73">
      <w:pPr>
        <w:jc w:val="center"/>
        <w:rPr>
          <w:rFonts w:ascii="方正小标宋_GBK" w:hAnsi="方正小标宋_GBK" w:eastAsia="方正小标宋_GBK" w:cs="方正小标宋_GBK"/>
          <w:color w:val="000000"/>
          <w:kern w:val="0"/>
          <w:sz w:val="70"/>
          <w:szCs w:val="70"/>
        </w:rPr>
      </w:pPr>
      <w:r>
        <w:rPr>
          <w:rFonts w:hint="eastAsia" w:ascii="方正小标宋_GBK" w:hAnsi="方正小标宋_GBK" w:eastAsia="方正小标宋_GBK" w:cs="方正小标宋_GBK"/>
          <w:color w:val="000000"/>
          <w:kern w:val="0"/>
          <w:sz w:val="70"/>
          <w:szCs w:val="70"/>
        </w:rPr>
        <w:t>名词解释</w:t>
      </w:r>
    </w:p>
    <w:p w14:paraId="7A41532B">
      <w:pPr>
        <w:widowControl/>
        <w:jc w:val="left"/>
        <w:rPr>
          <w:rFonts w:ascii="宋体" w:hAnsi="宋体" w:cs="黑体"/>
          <w:color w:val="000000"/>
          <w:kern w:val="0"/>
          <w:sz w:val="32"/>
          <w:szCs w:val="32"/>
        </w:rPr>
      </w:pPr>
      <w:r>
        <w:rPr>
          <w:rFonts w:hint="eastAsia" w:ascii="方正小标宋_GBK" w:hAnsi="方正小标宋_GBK" w:eastAsia="方正小标宋_GBK" w:cs="方正小标宋_GBK"/>
          <w:color w:val="000000"/>
          <w:kern w:val="0"/>
          <w:sz w:val="70"/>
          <w:szCs w:val="70"/>
        </w:rPr>
        <w:br w:type="page"/>
      </w:r>
    </w:p>
    <w:p w14:paraId="1B541FDA">
      <w:pPr>
        <w:pStyle w:val="13"/>
        <w:spacing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财政拨款收入：指本级财政当年拨付的资金。</w:t>
      </w:r>
    </w:p>
    <w:p w14:paraId="539D238C">
      <w:pPr>
        <w:pStyle w:val="13"/>
        <w:spacing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其他收入：指除上述“财政拨款收入”、“上级补助收入”、“事业收入”、“经营收入”、“附属单位上缴收入”等以外的收入。</w:t>
      </w:r>
    </w:p>
    <w:p w14:paraId="32B300D9">
      <w:pPr>
        <w:pStyle w:val="13"/>
        <w:spacing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上年结转和结余：指以前年度尚未完成、结转到本年按有关规定继续使用的资金。</w:t>
      </w:r>
    </w:p>
    <w:p w14:paraId="014AA050">
      <w:pPr>
        <w:pStyle w:val="13"/>
        <w:spacing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年末结转和结余资金：指本年度或以前年度预算安排、因客观条件发生变化无法按原计划实施，需要延迟到以后年度按有关规定继续使用的资金。</w:t>
      </w:r>
    </w:p>
    <w:p w14:paraId="68CC7AD1">
      <w:pPr>
        <w:pStyle w:val="13"/>
        <w:spacing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服务支出（类）：是指用于人大、政协、政府办公厅（室）及相关机构事务、发展与改革事务、统计信息事务、财政事务、税收事务、审计事务、人力资源事务、纪检监察事务、商贸事务、工商行政管理事务、质量技术监督与检验检疫事务、民族事务、档案事务、民主党派及工商联事务、群众团体事务、党委办公厅（室）及相关机构事务、组织事务、宣传事务、统战事务、其他一般公共服务等方面的支出，包括保障机构正常运转、完成日常和特定的工作任务或事业发展目标的支出。</w:t>
      </w:r>
    </w:p>
    <w:p w14:paraId="2110A361">
      <w:pPr>
        <w:pStyle w:val="13"/>
        <w:spacing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教育支出（类）：是指用于政府教育事务支出，包括保障机构正常运转、完成日常和特定的工作任务或事业发展目标的支出。</w:t>
      </w:r>
    </w:p>
    <w:p w14:paraId="15A94135">
      <w:pPr>
        <w:pStyle w:val="13"/>
        <w:spacing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社会保障和就业支出（类）：是指用于社会保障和就业方面的支出，包括保障机构正常运转、完成日常和特定的工作任务或事业发展目标的支出。归口管理的行政单位离退休，指离退休人员管理机构统一管理的机关离退休人员的经费。</w:t>
      </w:r>
    </w:p>
    <w:p w14:paraId="09D3FEE8">
      <w:pPr>
        <w:pStyle w:val="13"/>
        <w:spacing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卫生健康支出（类）：是指用于医疗卫生与计划生育方面的支出，包括保障机构正常运转、完成日常和特定的工作任务或事业发展目标的支出。</w:t>
      </w:r>
    </w:p>
    <w:p w14:paraId="471642CD">
      <w:pPr>
        <w:pStyle w:val="13"/>
        <w:spacing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农林水支出（类）：是指用于农林水事务支出，包括保障机构正常运转、完成日常和特定的工作任务或事业发展目标的支出。</w:t>
      </w:r>
    </w:p>
    <w:p w14:paraId="523A903D">
      <w:pPr>
        <w:pStyle w:val="13"/>
        <w:spacing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其他支出（类）：是指用于反映除上述项目以外其他不能划分到具体功能科目中的支出项目，包括保障机构正常运转、完成日常和特定的工作任务或事业发展目标的支出。</w:t>
      </w:r>
    </w:p>
    <w:p w14:paraId="7DFC2C01">
      <w:pPr>
        <w:pStyle w:val="13"/>
        <w:spacing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基本支出：指保障机构正常运转、完成支日常工作任务而发生的人员支出和公用支出。</w:t>
      </w:r>
    </w:p>
    <w:p w14:paraId="2042F99B">
      <w:pPr>
        <w:pStyle w:val="13"/>
        <w:spacing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项目支出：指在基本支出之外为完成特定行政任务和事业发展目标所发生的支出。</w:t>
      </w:r>
    </w:p>
    <w:p w14:paraId="2F719FD3">
      <w:pPr>
        <w:pStyle w:val="13"/>
        <w:spacing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三公”经费：指用财政拨款安排的因公出国（境）费、公务用车购置及运行费和公务接待费。其中，因公出国（境）费反映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14:paraId="4FE97F75">
      <w:pPr>
        <w:pStyle w:val="13"/>
        <w:spacing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工资福利支出：反映单位开支的在职职工和编制外长期聘用人员的各类劳动报酬，以及为上述人员缴纳的各项社会保险费等。</w:t>
      </w:r>
    </w:p>
    <w:p w14:paraId="3D341A03">
      <w:pPr>
        <w:pStyle w:val="13"/>
        <w:spacing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基本工资：反映按规定发放的基本工资，包括公务员的职务工资、级别工资；机关工人的岗位工资、技术等级工资；事业单位工作人员的岗位工资、薪级工资；各类学校毕业生试用期(见习期)工资、新参加工作工人学徒期、熟练期工资；军队（武警）军官、文职干部的职务（专业技术等级）工资、军衔（级别）工资、基础工资和军龄工资；军队士官的军衔等级工资、基础工资和军龄工资等。</w:t>
      </w:r>
    </w:p>
    <w:p w14:paraId="17E52467">
      <w:pPr>
        <w:pStyle w:val="13"/>
        <w:spacing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津贴补贴：反映经国家批准建立的机关事业单位艰苦边远地区津贴、机关工作人员地区附加津贴、机关工作人员岗位津贴、事业单位工作人员特殊岗位津贴补贴等。</w:t>
      </w:r>
    </w:p>
    <w:p w14:paraId="797528B9">
      <w:pPr>
        <w:pStyle w:val="13"/>
        <w:spacing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奖金：反映机关工作人员年终一次性奖金。</w:t>
      </w:r>
    </w:p>
    <w:p w14:paraId="2BFE065B">
      <w:pPr>
        <w:pStyle w:val="13"/>
        <w:spacing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伙食补助费：反映单位发给职工的伙食补助费，如误餐补助等。</w:t>
      </w:r>
    </w:p>
    <w:p w14:paraId="5180F6A9">
      <w:pPr>
        <w:pStyle w:val="13"/>
        <w:spacing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机关事业单位基本养老保险缴费：反映机关事业单位缴纳的基本养老保险费。由单位代扣的工作人员基本养老保险缴费，不在此科目反映。</w:t>
      </w:r>
    </w:p>
    <w:p w14:paraId="4832B671">
      <w:pPr>
        <w:pStyle w:val="13"/>
        <w:spacing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职工基本医疗保险缴费：反映单位为职工缴纳的基本医疗保险费。</w:t>
      </w:r>
    </w:p>
    <w:p w14:paraId="52070382">
      <w:pPr>
        <w:pStyle w:val="13"/>
        <w:spacing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其他社会保障缴费：反映单位为职工缴纳的基本医疗、失业、工伤、生育等社会保险费，残疾人就业保障金，军队（含武警）为军人缴纳的伤亡、退役医疗等社会保险费。</w:t>
      </w:r>
    </w:p>
    <w:p w14:paraId="3D168B45">
      <w:pPr>
        <w:pStyle w:val="13"/>
        <w:spacing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住房公积金：反映行政事业单位按人力资源和社会保障部、财政部规定的基本工资和津贴补贴以及规定比例为职工缴纳的住房公积金。</w:t>
      </w:r>
    </w:p>
    <w:p w14:paraId="58892D07">
      <w:pPr>
        <w:pStyle w:val="13"/>
        <w:spacing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医疗费：反映未参加医疗保险单位的医疗经费和单位按规定为职工支出的其他医疗费用。</w:t>
      </w:r>
    </w:p>
    <w:p w14:paraId="22426CEF">
      <w:pPr>
        <w:pStyle w:val="13"/>
        <w:spacing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其他工资福利支出：反映上述项目未包括的人员支出，如各种加班工资、病假两个月以上期间的人员工资、编制外长期聘用人员，公务员及参照和依照公务员制度管理的单位工作人员转入企业工作并按规定参加企业职工基本养老保险后给予的一次性补贴等。</w:t>
      </w:r>
    </w:p>
    <w:p w14:paraId="2FD68C50">
      <w:pPr>
        <w:pStyle w:val="13"/>
        <w:spacing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商品和服务支出：反映单位购买商品和服务的支出（不包括用于购置固定资产的支出、战略性和应急储备支出）。</w:t>
      </w:r>
    </w:p>
    <w:p w14:paraId="06DFBC14">
      <w:pPr>
        <w:pStyle w:val="13"/>
        <w:spacing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办公费：反映单位购买按财务会计制度规定不符合固定资产确认标准的日常办公用品、书报杂志等支出。</w:t>
      </w:r>
    </w:p>
    <w:p w14:paraId="683B987A">
      <w:pPr>
        <w:pStyle w:val="13"/>
        <w:spacing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印刷费：反映单位的印刷费支出。</w:t>
      </w:r>
    </w:p>
    <w:p w14:paraId="1556F864">
      <w:pPr>
        <w:pStyle w:val="13"/>
        <w:spacing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邮电费：反映单位开支的信函、包裹、货物等物品的邮寄费及电话费、电报费、传真费、网络通讯费等。</w:t>
      </w:r>
    </w:p>
    <w:p w14:paraId="299C9FED">
      <w:pPr>
        <w:pStyle w:val="13"/>
        <w:spacing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差旅费：反映单位工作人员出差发生的城市间交通费、住宿费、伙食补贴费和市内交通费。</w:t>
      </w:r>
    </w:p>
    <w:p w14:paraId="4C3CB668">
      <w:pPr>
        <w:pStyle w:val="13"/>
        <w:spacing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会议费：反映会议中按规定开支的住宿费、伙食费、会议室租金、交通费、文件印刷费、医药费等。</w:t>
      </w:r>
    </w:p>
    <w:p w14:paraId="45F1D25A">
      <w:pPr>
        <w:pStyle w:val="13"/>
        <w:spacing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劳务费：反映支付给单位和个人的劳务费用，如临时聘用人员、钟点工工资，稿费、翻译费，评审费等。</w:t>
      </w:r>
    </w:p>
    <w:p w14:paraId="79C00E30">
      <w:pPr>
        <w:pStyle w:val="13"/>
        <w:spacing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工会经费：反映单位按规定提取的工会经费。</w:t>
      </w:r>
    </w:p>
    <w:p w14:paraId="55B0CB8F">
      <w:pPr>
        <w:pStyle w:val="13"/>
        <w:spacing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公务用车运行维护费：反映单位按规定保留的公务用车燃料费、维修费、过桥过路费、保险费、安全奖励费用等支出。</w:t>
      </w:r>
    </w:p>
    <w:p w14:paraId="6E9BF37C">
      <w:pPr>
        <w:pStyle w:val="13"/>
        <w:spacing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其他交通费用：反映单位除公务用车运行维护费以外的其他交通费用。如公务交通补贴，租车费用、出租车费用，飞机、船舶等的燃料费、维修费、保险费等。</w:t>
      </w:r>
    </w:p>
    <w:p w14:paraId="09D6634E">
      <w:pPr>
        <w:pStyle w:val="13"/>
        <w:spacing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税金及附加费用：反映单位提供劳务或销售产品应负担的税金及附加费用，包括营业税、消费税、城市维护建设税、资源税和教育附加等。</w:t>
      </w:r>
    </w:p>
    <w:p w14:paraId="776E460A">
      <w:pPr>
        <w:pStyle w:val="13"/>
        <w:spacing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其他商品和服务支出：反映上述科目未包括的日常公用支出。如行政赔偿费和诉讼费、国内组织的会员费、来访费、广告宣传、其他劳务费及离休人员特需费、公用经费等。</w:t>
      </w:r>
    </w:p>
    <w:p w14:paraId="128C58B2">
      <w:pPr>
        <w:pStyle w:val="13"/>
        <w:spacing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对个人和家庭的补助：反映政府用于对个人和家庭的补助支出。</w:t>
      </w:r>
    </w:p>
    <w:p w14:paraId="7E1C9161">
      <w:pPr>
        <w:pStyle w:val="13"/>
        <w:spacing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退休费：反映行政事业单位和军队移交政府安置的退休人员的退休费和其他补贴。</w:t>
      </w:r>
    </w:p>
    <w:p w14:paraId="0C50E227">
      <w:pPr>
        <w:pStyle w:val="13"/>
        <w:spacing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办公设备购置：反映用于购置并按财务会计制度规定纳入固定资产核算范围的办公家具和办公设备的支出，以及按规定提取的修购基金。</w:t>
      </w:r>
    </w:p>
    <w:p w14:paraId="0CB5642F">
      <w:pPr>
        <w:pStyle w:val="13"/>
        <w:spacing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专用设备购置：反映用于购置具有专门用途、并按财务会计制度规定纳入固定资产核算范围的各类专用设备的支出。如通信设备、发电设备、交通监控设备、卫星转发器、气象设备、进出口监管设备等，以及按规定提取的修购基金。</w:t>
      </w:r>
    </w:p>
    <w:p w14:paraId="59C73DFC">
      <w:pPr>
        <w:pStyle w:val="13"/>
        <w:spacing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机关运行经费：指为保障行政单位（包括参照公务员法管理的事业单位）运行用于购买货物和服务的各项资金，包括办公及印刷费、邮电费、差旅费、会议费、福利费、日常维修费、专用材料及一般设备购置费、办公用房水电费、办公用房取暖费、 办公用房物业管理费、 公务用车运行维护费以及其他费用。</w:t>
      </w:r>
    </w:p>
    <w:p w14:paraId="29ED6A04">
      <w:pPr>
        <w:pStyle w:val="13"/>
        <w:jc w:val="center"/>
        <w:rPr>
          <w:sz w:val="84"/>
          <w:szCs w:val="84"/>
        </w:rPr>
      </w:pPr>
    </w:p>
    <w:p w14:paraId="267B8CA8">
      <w:pPr>
        <w:pStyle w:val="13"/>
        <w:jc w:val="center"/>
        <w:rPr>
          <w:sz w:val="84"/>
          <w:szCs w:val="84"/>
        </w:rPr>
      </w:pPr>
    </w:p>
    <w:p w14:paraId="198BDECD">
      <w:pPr>
        <w:pStyle w:val="13"/>
        <w:jc w:val="center"/>
        <w:rPr>
          <w:sz w:val="84"/>
          <w:szCs w:val="84"/>
        </w:rPr>
      </w:pPr>
    </w:p>
    <w:p w14:paraId="13EAC083">
      <w:pPr>
        <w:pStyle w:val="13"/>
        <w:jc w:val="center"/>
        <w:rPr>
          <w:sz w:val="84"/>
          <w:szCs w:val="84"/>
        </w:rPr>
      </w:pPr>
    </w:p>
    <w:p w14:paraId="2775DA15">
      <w:pPr>
        <w:pStyle w:val="13"/>
        <w:jc w:val="center"/>
        <w:rPr>
          <w:sz w:val="84"/>
          <w:szCs w:val="84"/>
        </w:rPr>
      </w:pPr>
    </w:p>
    <w:p w14:paraId="674BD1FA">
      <w:pPr>
        <w:pStyle w:val="13"/>
        <w:jc w:val="center"/>
        <w:rPr>
          <w:sz w:val="84"/>
          <w:szCs w:val="84"/>
        </w:rPr>
      </w:pPr>
    </w:p>
    <w:p w14:paraId="3C756DE7">
      <w:pPr>
        <w:pStyle w:val="13"/>
        <w:jc w:val="center"/>
        <w:rPr>
          <w:sz w:val="84"/>
          <w:szCs w:val="84"/>
        </w:rPr>
      </w:pPr>
    </w:p>
    <w:p w14:paraId="7846BCCE">
      <w:pPr>
        <w:pStyle w:val="13"/>
        <w:jc w:val="center"/>
        <w:rPr>
          <w:sz w:val="84"/>
          <w:szCs w:val="84"/>
        </w:rPr>
      </w:pPr>
    </w:p>
    <w:p w14:paraId="7EFAD3E1">
      <w:pPr>
        <w:pStyle w:val="13"/>
        <w:jc w:val="center"/>
        <w:rPr>
          <w:sz w:val="84"/>
          <w:szCs w:val="84"/>
        </w:rPr>
      </w:pPr>
    </w:p>
    <w:p w14:paraId="05192D83">
      <w:pPr>
        <w:pStyle w:val="13"/>
        <w:jc w:val="center"/>
        <w:rPr>
          <w:sz w:val="84"/>
          <w:szCs w:val="84"/>
        </w:rPr>
      </w:pPr>
    </w:p>
    <w:p w14:paraId="3A213C77">
      <w:pPr>
        <w:pStyle w:val="13"/>
        <w:jc w:val="center"/>
        <w:rPr>
          <w:sz w:val="84"/>
          <w:szCs w:val="84"/>
        </w:rPr>
      </w:pPr>
    </w:p>
    <w:p w14:paraId="642811BB">
      <w:pPr>
        <w:pStyle w:val="13"/>
        <w:jc w:val="center"/>
        <w:rPr>
          <w:sz w:val="84"/>
          <w:szCs w:val="84"/>
        </w:rPr>
      </w:pPr>
      <w:r>
        <w:rPr>
          <w:rFonts w:hint="eastAsia"/>
          <w:sz w:val="84"/>
          <w:szCs w:val="84"/>
        </w:rPr>
        <w:t xml:space="preserve">第五部分 </w:t>
      </w:r>
    </w:p>
    <w:p w14:paraId="332C5016">
      <w:pPr>
        <w:pStyle w:val="13"/>
        <w:jc w:val="center"/>
        <w:rPr>
          <w:sz w:val="84"/>
          <w:szCs w:val="84"/>
        </w:rPr>
      </w:pPr>
      <w:r>
        <w:rPr>
          <w:rFonts w:hint="eastAsia"/>
          <w:sz w:val="84"/>
          <w:szCs w:val="84"/>
        </w:rPr>
        <w:t>附件</w:t>
      </w:r>
    </w:p>
    <w:p w14:paraId="1A908074">
      <w:pPr>
        <w:pStyle w:val="13"/>
        <w:spacing w:line="600" w:lineRule="exact"/>
        <w:ind w:firstLine="640" w:firstLineChars="200"/>
        <w:jc w:val="both"/>
        <w:rPr>
          <w:rFonts w:ascii="仿宋_GB2312" w:hAnsi="仿宋_GB2312" w:eastAsia="仿宋_GB2312" w:cs="仿宋_GB2312"/>
          <w:sz w:val="32"/>
          <w:szCs w:val="32"/>
        </w:rPr>
      </w:pPr>
    </w:p>
    <w:p w14:paraId="761C0387">
      <w:pPr>
        <w:pStyle w:val="13"/>
        <w:spacing w:line="600" w:lineRule="exact"/>
        <w:ind w:firstLine="640" w:firstLineChars="200"/>
        <w:jc w:val="both"/>
        <w:rPr>
          <w:rFonts w:ascii="仿宋_GB2312" w:hAnsi="仿宋_GB2312" w:eastAsia="仿宋_GB2312" w:cs="仿宋_GB2312"/>
          <w:sz w:val="32"/>
          <w:szCs w:val="32"/>
        </w:rPr>
      </w:pPr>
    </w:p>
    <w:p w14:paraId="15B0A77B">
      <w:pPr>
        <w:pStyle w:val="13"/>
        <w:spacing w:line="600" w:lineRule="exact"/>
        <w:ind w:firstLine="640" w:firstLineChars="200"/>
        <w:jc w:val="both"/>
        <w:rPr>
          <w:rFonts w:ascii="仿宋_GB2312" w:hAnsi="仿宋_GB2312" w:eastAsia="仿宋_GB2312" w:cs="仿宋_GB2312"/>
          <w:sz w:val="32"/>
          <w:szCs w:val="32"/>
        </w:rPr>
      </w:pPr>
    </w:p>
    <w:p w14:paraId="57CCDE6A">
      <w:pPr>
        <w:pStyle w:val="13"/>
        <w:spacing w:line="600" w:lineRule="exact"/>
        <w:ind w:firstLine="640" w:firstLineChars="200"/>
        <w:jc w:val="both"/>
        <w:rPr>
          <w:rFonts w:ascii="仿宋_GB2312" w:hAnsi="仿宋_GB2312" w:eastAsia="仿宋_GB2312" w:cs="仿宋_GB2312"/>
          <w:sz w:val="32"/>
          <w:szCs w:val="32"/>
        </w:rPr>
      </w:pPr>
    </w:p>
    <w:p w14:paraId="11F46C4A">
      <w:pPr>
        <w:pStyle w:val="13"/>
        <w:spacing w:line="600" w:lineRule="exact"/>
        <w:ind w:firstLine="640" w:firstLineChars="200"/>
        <w:jc w:val="both"/>
        <w:rPr>
          <w:rFonts w:ascii="仿宋_GB2312" w:hAnsi="仿宋_GB2312" w:eastAsia="仿宋_GB2312" w:cs="仿宋_GB2312"/>
          <w:sz w:val="32"/>
          <w:szCs w:val="32"/>
        </w:rPr>
      </w:pPr>
    </w:p>
    <w:p w14:paraId="75FC7D17">
      <w:pPr>
        <w:pStyle w:val="13"/>
        <w:spacing w:line="600" w:lineRule="exact"/>
        <w:ind w:firstLine="640" w:firstLineChars="200"/>
        <w:jc w:val="both"/>
        <w:rPr>
          <w:rFonts w:ascii="仿宋_GB2312" w:hAnsi="仿宋_GB2312" w:eastAsia="仿宋_GB2312" w:cs="仿宋_GB2312"/>
          <w:sz w:val="32"/>
          <w:szCs w:val="32"/>
        </w:rPr>
      </w:pPr>
    </w:p>
    <w:p w14:paraId="52CB9E64">
      <w:pPr>
        <w:pStyle w:val="13"/>
        <w:spacing w:line="600" w:lineRule="exact"/>
        <w:ind w:firstLine="640" w:firstLineChars="200"/>
        <w:jc w:val="both"/>
        <w:rPr>
          <w:rFonts w:ascii="仿宋_GB2312" w:hAnsi="仿宋_GB2312" w:eastAsia="仿宋_GB2312" w:cs="仿宋_GB2312"/>
          <w:sz w:val="32"/>
          <w:szCs w:val="32"/>
        </w:rPr>
      </w:pPr>
    </w:p>
    <w:p w14:paraId="14CB4D2F">
      <w:pPr>
        <w:pStyle w:val="13"/>
        <w:spacing w:line="600" w:lineRule="exact"/>
        <w:ind w:firstLine="640" w:firstLineChars="200"/>
        <w:jc w:val="both"/>
        <w:rPr>
          <w:rFonts w:ascii="仿宋_GB2312" w:hAnsi="仿宋_GB2312" w:eastAsia="仿宋_GB2312" w:cs="仿宋_GB2312"/>
          <w:sz w:val="32"/>
          <w:szCs w:val="32"/>
        </w:rPr>
      </w:pPr>
    </w:p>
    <w:p w14:paraId="75BFEA2C">
      <w:pPr>
        <w:pStyle w:val="13"/>
        <w:spacing w:line="600" w:lineRule="exact"/>
        <w:ind w:firstLine="640" w:firstLineChars="200"/>
        <w:jc w:val="both"/>
        <w:rPr>
          <w:rFonts w:ascii="仿宋_GB2312" w:hAnsi="仿宋_GB2312" w:eastAsia="仿宋_GB2312" w:cs="仿宋_GB2312"/>
          <w:sz w:val="32"/>
          <w:szCs w:val="32"/>
        </w:rPr>
      </w:pPr>
    </w:p>
    <w:p w14:paraId="4CE68C58">
      <w:pPr>
        <w:pStyle w:val="13"/>
        <w:spacing w:line="600" w:lineRule="exact"/>
        <w:ind w:firstLine="640" w:firstLineChars="200"/>
        <w:jc w:val="both"/>
        <w:rPr>
          <w:rFonts w:ascii="仿宋_GB2312" w:hAnsi="仿宋_GB2312" w:eastAsia="仿宋_GB2312" w:cs="仿宋_GB2312"/>
          <w:sz w:val="32"/>
          <w:szCs w:val="32"/>
        </w:rPr>
      </w:pPr>
    </w:p>
    <w:p w14:paraId="69E63C8E">
      <w:pPr>
        <w:pStyle w:val="13"/>
        <w:spacing w:line="600" w:lineRule="exact"/>
        <w:ind w:firstLine="640" w:firstLineChars="200"/>
        <w:jc w:val="both"/>
        <w:rPr>
          <w:rFonts w:ascii="仿宋_GB2312" w:hAnsi="仿宋_GB2312" w:eastAsia="仿宋_GB2312" w:cs="仿宋_GB2312"/>
          <w:sz w:val="32"/>
          <w:szCs w:val="32"/>
        </w:rPr>
      </w:pPr>
    </w:p>
    <w:p w14:paraId="6E58CE8F">
      <w:pPr>
        <w:pStyle w:val="13"/>
        <w:spacing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1.2023年度中共岳阳市委组织部部门决算公开表格</w:t>
      </w:r>
    </w:p>
    <w:p w14:paraId="23D69DA2">
      <w:pPr>
        <w:pStyle w:val="13"/>
        <w:spacing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2.2023年度部门绩效评价自评汇总资料</w:t>
      </w:r>
    </w:p>
    <w:p w14:paraId="21E903D3">
      <w:pPr>
        <w:pStyle w:val="13"/>
        <w:spacing w:line="600" w:lineRule="exact"/>
        <w:ind w:firstLine="640" w:firstLineChars="200"/>
        <w:jc w:val="both"/>
        <w:rPr>
          <w:rFonts w:ascii="仿宋_GB2312" w:hAnsi="仿宋_GB2312" w:eastAsia="仿宋_GB2312" w:cs="仿宋_GB2312"/>
          <w:sz w:val="32"/>
          <w:szCs w:val="32"/>
        </w:rPr>
      </w:pPr>
    </w:p>
    <w:p w14:paraId="2AD6070C">
      <w:pPr>
        <w:ind w:firstLine="640" w:firstLineChars="200"/>
        <w:jc w:val="left"/>
        <w:rPr>
          <w:rFonts w:ascii="宋体" w:hAnsi="宋体" w:cs="黑体"/>
          <w:color w:val="000000"/>
          <w:kern w:val="0"/>
          <w:sz w:val="32"/>
          <w:szCs w:val="32"/>
        </w:rPr>
      </w:pPr>
    </w:p>
    <w:sectPr>
      <w:pgSz w:w="11906" w:h="16838"/>
      <w:pgMar w:top="1440" w:right="1800" w:bottom="1440" w:left="1800"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68D03F"/>
    <w:multiLevelType w:val="singleLevel"/>
    <w:tmpl w:val="0A68D03F"/>
    <w:lvl w:ilvl="0" w:tentative="0">
      <w:start w:val="1"/>
      <w:numFmt w:val="chineseCounting"/>
      <w:suff w:val="nothing"/>
      <w:lvlText w:val="（%1）"/>
      <w:lvlJc w:val="left"/>
      <w:rPr>
        <w:rFonts w:hint="eastAsia"/>
      </w:rPr>
    </w:lvl>
  </w:abstractNum>
  <w:abstractNum w:abstractNumId="1">
    <w:nsid w:val="373518C1"/>
    <w:multiLevelType w:val="multilevel"/>
    <w:tmpl w:val="373518C1"/>
    <w:lvl w:ilvl="0" w:tentative="0">
      <w:start w:val="1"/>
      <w:numFmt w:val="none"/>
      <w:lvlText w:val="一、"/>
      <w:lvlJc w:val="left"/>
      <w:pPr>
        <w:ind w:left="720" w:hanging="720"/>
      </w:pPr>
      <w:rPr>
        <w:rFonts w:hint="default"/>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jZmNGE1NDQ0NzI0OTg4N2FlODNiOGEyMmNlZjE5OTQifQ=="/>
  </w:docVars>
  <w:rsids>
    <w:rsidRoot w:val="004506F9"/>
    <w:rsid w:val="0000565A"/>
    <w:rsid w:val="00020157"/>
    <w:rsid w:val="0002229B"/>
    <w:rsid w:val="000273BD"/>
    <w:rsid w:val="00040CBC"/>
    <w:rsid w:val="000415B7"/>
    <w:rsid w:val="00041E3F"/>
    <w:rsid w:val="00055DAA"/>
    <w:rsid w:val="00061F7B"/>
    <w:rsid w:val="000658A3"/>
    <w:rsid w:val="00074155"/>
    <w:rsid w:val="000A3F69"/>
    <w:rsid w:val="000D702D"/>
    <w:rsid w:val="000E1F66"/>
    <w:rsid w:val="00103957"/>
    <w:rsid w:val="00107948"/>
    <w:rsid w:val="00113C0F"/>
    <w:rsid w:val="00150447"/>
    <w:rsid w:val="00152C6D"/>
    <w:rsid w:val="00154471"/>
    <w:rsid w:val="00162D39"/>
    <w:rsid w:val="0016441D"/>
    <w:rsid w:val="001678BD"/>
    <w:rsid w:val="0017574A"/>
    <w:rsid w:val="00176CAC"/>
    <w:rsid w:val="00182373"/>
    <w:rsid w:val="0019510C"/>
    <w:rsid w:val="001A67DB"/>
    <w:rsid w:val="001A7934"/>
    <w:rsid w:val="001C3C29"/>
    <w:rsid w:val="001D51E5"/>
    <w:rsid w:val="001E080D"/>
    <w:rsid w:val="001E53D0"/>
    <w:rsid w:val="001F0C3B"/>
    <w:rsid w:val="00202C82"/>
    <w:rsid w:val="00214427"/>
    <w:rsid w:val="00215B4E"/>
    <w:rsid w:val="00226CB7"/>
    <w:rsid w:val="00264552"/>
    <w:rsid w:val="00264EF9"/>
    <w:rsid w:val="00265724"/>
    <w:rsid w:val="0027426B"/>
    <w:rsid w:val="002A76F3"/>
    <w:rsid w:val="002B0C86"/>
    <w:rsid w:val="002E0A30"/>
    <w:rsid w:val="00307C81"/>
    <w:rsid w:val="003130C4"/>
    <w:rsid w:val="00316C4B"/>
    <w:rsid w:val="0032192B"/>
    <w:rsid w:val="003479BD"/>
    <w:rsid w:val="0037197D"/>
    <w:rsid w:val="003768D5"/>
    <w:rsid w:val="0039264E"/>
    <w:rsid w:val="003926B9"/>
    <w:rsid w:val="003A6311"/>
    <w:rsid w:val="003C47E6"/>
    <w:rsid w:val="003C4FC2"/>
    <w:rsid w:val="003E2D20"/>
    <w:rsid w:val="003E5781"/>
    <w:rsid w:val="00411146"/>
    <w:rsid w:val="00416E61"/>
    <w:rsid w:val="0042790C"/>
    <w:rsid w:val="00433962"/>
    <w:rsid w:val="00436BC7"/>
    <w:rsid w:val="004506F9"/>
    <w:rsid w:val="004717A2"/>
    <w:rsid w:val="00473DF3"/>
    <w:rsid w:val="00487124"/>
    <w:rsid w:val="00487911"/>
    <w:rsid w:val="00491741"/>
    <w:rsid w:val="004B0CEE"/>
    <w:rsid w:val="00500E5F"/>
    <w:rsid w:val="005122EF"/>
    <w:rsid w:val="0051441A"/>
    <w:rsid w:val="00514E22"/>
    <w:rsid w:val="00517C33"/>
    <w:rsid w:val="00517D5F"/>
    <w:rsid w:val="00523644"/>
    <w:rsid w:val="0054069E"/>
    <w:rsid w:val="00544866"/>
    <w:rsid w:val="00544C73"/>
    <w:rsid w:val="00575800"/>
    <w:rsid w:val="005767CC"/>
    <w:rsid w:val="00581C54"/>
    <w:rsid w:val="00586D2B"/>
    <w:rsid w:val="00590D9F"/>
    <w:rsid w:val="00595D26"/>
    <w:rsid w:val="005A74E6"/>
    <w:rsid w:val="005B404E"/>
    <w:rsid w:val="005D4D55"/>
    <w:rsid w:val="005E2CFB"/>
    <w:rsid w:val="005F04A0"/>
    <w:rsid w:val="005F2103"/>
    <w:rsid w:val="005F3D1C"/>
    <w:rsid w:val="0062378F"/>
    <w:rsid w:val="00641842"/>
    <w:rsid w:val="00647959"/>
    <w:rsid w:val="00651EEC"/>
    <w:rsid w:val="006738FA"/>
    <w:rsid w:val="00686673"/>
    <w:rsid w:val="00691E8C"/>
    <w:rsid w:val="006A22C4"/>
    <w:rsid w:val="006A351B"/>
    <w:rsid w:val="006B0422"/>
    <w:rsid w:val="006C1B53"/>
    <w:rsid w:val="006C4481"/>
    <w:rsid w:val="006D7730"/>
    <w:rsid w:val="006E5284"/>
    <w:rsid w:val="006F3EB5"/>
    <w:rsid w:val="00702E34"/>
    <w:rsid w:val="00704395"/>
    <w:rsid w:val="00710FE7"/>
    <w:rsid w:val="00716FDA"/>
    <w:rsid w:val="00717621"/>
    <w:rsid w:val="00720871"/>
    <w:rsid w:val="00720FF1"/>
    <w:rsid w:val="00725C98"/>
    <w:rsid w:val="0072727A"/>
    <w:rsid w:val="00727A53"/>
    <w:rsid w:val="0076083D"/>
    <w:rsid w:val="00786FB0"/>
    <w:rsid w:val="00787B42"/>
    <w:rsid w:val="007C4539"/>
    <w:rsid w:val="007D7975"/>
    <w:rsid w:val="007F3657"/>
    <w:rsid w:val="00812ED5"/>
    <w:rsid w:val="00820101"/>
    <w:rsid w:val="008277D9"/>
    <w:rsid w:val="00834C95"/>
    <w:rsid w:val="0084478C"/>
    <w:rsid w:val="0086638C"/>
    <w:rsid w:val="00876DFC"/>
    <w:rsid w:val="00886E44"/>
    <w:rsid w:val="00886E85"/>
    <w:rsid w:val="00887CA1"/>
    <w:rsid w:val="008A00EF"/>
    <w:rsid w:val="008A3E8D"/>
    <w:rsid w:val="008B0CDE"/>
    <w:rsid w:val="00907F23"/>
    <w:rsid w:val="009167EE"/>
    <w:rsid w:val="00920915"/>
    <w:rsid w:val="00921914"/>
    <w:rsid w:val="009237C4"/>
    <w:rsid w:val="009254B7"/>
    <w:rsid w:val="00944C48"/>
    <w:rsid w:val="00950252"/>
    <w:rsid w:val="009617FF"/>
    <w:rsid w:val="00967F5D"/>
    <w:rsid w:val="00974CF2"/>
    <w:rsid w:val="00984B68"/>
    <w:rsid w:val="00984C99"/>
    <w:rsid w:val="009A0F95"/>
    <w:rsid w:val="009A30C7"/>
    <w:rsid w:val="009A4236"/>
    <w:rsid w:val="009B3ADF"/>
    <w:rsid w:val="009C36ED"/>
    <w:rsid w:val="009C3B52"/>
    <w:rsid w:val="009E58F2"/>
    <w:rsid w:val="009E6817"/>
    <w:rsid w:val="009E6E9A"/>
    <w:rsid w:val="00A01D2B"/>
    <w:rsid w:val="00A061AD"/>
    <w:rsid w:val="00A42218"/>
    <w:rsid w:val="00A4229D"/>
    <w:rsid w:val="00A60FD4"/>
    <w:rsid w:val="00A70036"/>
    <w:rsid w:val="00A70249"/>
    <w:rsid w:val="00A70B02"/>
    <w:rsid w:val="00A71D9F"/>
    <w:rsid w:val="00A92E9F"/>
    <w:rsid w:val="00AB18FF"/>
    <w:rsid w:val="00AE045F"/>
    <w:rsid w:val="00B027E5"/>
    <w:rsid w:val="00B04043"/>
    <w:rsid w:val="00B33BEA"/>
    <w:rsid w:val="00B51F97"/>
    <w:rsid w:val="00B57C9F"/>
    <w:rsid w:val="00B63572"/>
    <w:rsid w:val="00B66687"/>
    <w:rsid w:val="00B77E38"/>
    <w:rsid w:val="00B845B3"/>
    <w:rsid w:val="00B85D8B"/>
    <w:rsid w:val="00B921DB"/>
    <w:rsid w:val="00BB4A40"/>
    <w:rsid w:val="00BD6C3E"/>
    <w:rsid w:val="00BE3674"/>
    <w:rsid w:val="00C012DB"/>
    <w:rsid w:val="00C10681"/>
    <w:rsid w:val="00C106E7"/>
    <w:rsid w:val="00C17E7D"/>
    <w:rsid w:val="00C3049A"/>
    <w:rsid w:val="00C31B1E"/>
    <w:rsid w:val="00C410B7"/>
    <w:rsid w:val="00C77645"/>
    <w:rsid w:val="00CC15B8"/>
    <w:rsid w:val="00CE04C3"/>
    <w:rsid w:val="00CE5DE7"/>
    <w:rsid w:val="00CE76A0"/>
    <w:rsid w:val="00D148C6"/>
    <w:rsid w:val="00D14AC2"/>
    <w:rsid w:val="00D17A8A"/>
    <w:rsid w:val="00D258C9"/>
    <w:rsid w:val="00D415BA"/>
    <w:rsid w:val="00D63780"/>
    <w:rsid w:val="00D644EE"/>
    <w:rsid w:val="00D73A0D"/>
    <w:rsid w:val="00D97D3B"/>
    <w:rsid w:val="00DA3784"/>
    <w:rsid w:val="00DA6182"/>
    <w:rsid w:val="00DD06FF"/>
    <w:rsid w:val="00DD5FE9"/>
    <w:rsid w:val="00DD66B2"/>
    <w:rsid w:val="00E00C7A"/>
    <w:rsid w:val="00E37D6C"/>
    <w:rsid w:val="00E55B68"/>
    <w:rsid w:val="00E561AE"/>
    <w:rsid w:val="00E65552"/>
    <w:rsid w:val="00E67BE6"/>
    <w:rsid w:val="00E8683C"/>
    <w:rsid w:val="00EA2B72"/>
    <w:rsid w:val="00EC6ACB"/>
    <w:rsid w:val="00EE4A40"/>
    <w:rsid w:val="00EF693C"/>
    <w:rsid w:val="00F24C25"/>
    <w:rsid w:val="00F35177"/>
    <w:rsid w:val="00F64990"/>
    <w:rsid w:val="00F71E47"/>
    <w:rsid w:val="00F74360"/>
    <w:rsid w:val="00FB462F"/>
    <w:rsid w:val="00FB6FC0"/>
    <w:rsid w:val="00FE16FA"/>
    <w:rsid w:val="00FE328A"/>
    <w:rsid w:val="00FE6269"/>
    <w:rsid w:val="00FF5CD6"/>
    <w:rsid w:val="01502DA8"/>
    <w:rsid w:val="051B62E6"/>
    <w:rsid w:val="0DEB3B66"/>
    <w:rsid w:val="0E6507AC"/>
    <w:rsid w:val="0FE87D3D"/>
    <w:rsid w:val="11A63AC3"/>
    <w:rsid w:val="12980212"/>
    <w:rsid w:val="15986B0A"/>
    <w:rsid w:val="17D85E72"/>
    <w:rsid w:val="1D040BF2"/>
    <w:rsid w:val="21AB1536"/>
    <w:rsid w:val="269060C0"/>
    <w:rsid w:val="29A77266"/>
    <w:rsid w:val="2CA872A3"/>
    <w:rsid w:val="2F026361"/>
    <w:rsid w:val="306F0E15"/>
    <w:rsid w:val="31C3379C"/>
    <w:rsid w:val="34B20B82"/>
    <w:rsid w:val="34D11495"/>
    <w:rsid w:val="383B6A03"/>
    <w:rsid w:val="3E900B33"/>
    <w:rsid w:val="40FD201B"/>
    <w:rsid w:val="4B816DED"/>
    <w:rsid w:val="51E51FEA"/>
    <w:rsid w:val="521C3BAD"/>
    <w:rsid w:val="528C5106"/>
    <w:rsid w:val="55C63EE6"/>
    <w:rsid w:val="56252ADC"/>
    <w:rsid w:val="5777D4F5"/>
    <w:rsid w:val="58C47CC8"/>
    <w:rsid w:val="59151E56"/>
    <w:rsid w:val="5B4F3FC2"/>
    <w:rsid w:val="5FC6BB1E"/>
    <w:rsid w:val="5FF720F1"/>
    <w:rsid w:val="62F12662"/>
    <w:rsid w:val="63930AB7"/>
    <w:rsid w:val="6C8F0D21"/>
    <w:rsid w:val="6D1D2BA3"/>
    <w:rsid w:val="6E1B6DB2"/>
    <w:rsid w:val="6E5F75F0"/>
    <w:rsid w:val="737D59BA"/>
    <w:rsid w:val="776B5ABC"/>
    <w:rsid w:val="77C37683"/>
    <w:rsid w:val="77DE0B76"/>
    <w:rsid w:val="78B654E3"/>
    <w:rsid w:val="79FF515B"/>
    <w:rsid w:val="79FF6DAC"/>
    <w:rsid w:val="7B1B1801"/>
    <w:rsid w:val="7B862F74"/>
    <w:rsid w:val="7C501E80"/>
    <w:rsid w:val="7D661C0D"/>
    <w:rsid w:val="7E9F11B4"/>
    <w:rsid w:val="7FC69637"/>
    <w:rsid w:val="7FFDB408"/>
    <w:rsid w:val="CBFF70E0"/>
    <w:rsid w:val="EEABED75"/>
    <w:rsid w:val="FB36E1A6"/>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3"/>
    <w:unhideWhenUsed/>
    <w:qFormat/>
    <w:uiPriority w:val="99"/>
    <w:pPr>
      <w:widowControl/>
      <w:spacing w:after="120"/>
      <w:ind w:left="420" w:leftChars="200"/>
      <w:jc w:val="left"/>
    </w:pPr>
    <w:rPr>
      <w:rFonts w:ascii="宋体" w:hAnsi="宋体" w:eastAsia="宋体" w:cs="宋体"/>
      <w:kern w:val="0"/>
      <w:sz w:val="24"/>
    </w:rPr>
  </w:style>
  <w:style w:type="paragraph" w:styleId="3">
    <w:name w:val="Body Text First Indent 2"/>
    <w:basedOn w:val="2"/>
    <w:next w:val="1"/>
    <w:unhideWhenUsed/>
    <w:qFormat/>
    <w:uiPriority w:val="99"/>
    <w:pPr>
      <w:ind w:firstLine="420" w:firstLineChars="200"/>
    </w:pPr>
  </w:style>
  <w:style w:type="paragraph" w:styleId="4">
    <w:name w:val="Balloon Text"/>
    <w:basedOn w:val="1"/>
    <w:link w:val="10"/>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footnote text"/>
    <w:basedOn w:val="1"/>
    <w:next w:val="3"/>
    <w:semiHidden/>
    <w:qFormat/>
    <w:uiPriority w:val="0"/>
    <w:pPr>
      <w:snapToGrid w:val="0"/>
      <w:jc w:val="left"/>
    </w:pPr>
    <w:rPr>
      <w:sz w:val="18"/>
      <w:szCs w:val="18"/>
    </w:rPr>
  </w:style>
  <w:style w:type="character" w:customStyle="1" w:styleId="10">
    <w:name w:val="批注框文本 Char"/>
    <w:basedOn w:val="9"/>
    <w:link w:val="4"/>
    <w:semiHidden/>
    <w:qFormat/>
    <w:uiPriority w:val="99"/>
    <w:rPr>
      <w:sz w:val="18"/>
      <w:szCs w:val="18"/>
    </w:rPr>
  </w:style>
  <w:style w:type="character" w:customStyle="1" w:styleId="11">
    <w:name w:val="页脚 Char"/>
    <w:basedOn w:val="9"/>
    <w:link w:val="5"/>
    <w:qFormat/>
    <w:uiPriority w:val="99"/>
    <w:rPr>
      <w:sz w:val="18"/>
      <w:szCs w:val="18"/>
    </w:rPr>
  </w:style>
  <w:style w:type="character" w:customStyle="1" w:styleId="12">
    <w:name w:val="页眉 Char"/>
    <w:basedOn w:val="9"/>
    <w:link w:val="6"/>
    <w:qFormat/>
    <w:uiPriority w:val="99"/>
    <w:rPr>
      <w:sz w:val="18"/>
      <w:szCs w:val="18"/>
    </w:rPr>
  </w:style>
  <w:style w:type="paragraph" w:customStyle="1" w:styleId="13">
    <w:name w:val="Default"/>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 w:type="paragraph" w:styleId="14">
    <w:name w:val="List Paragraph"/>
    <w:basedOn w:val="1"/>
    <w:qFormat/>
    <w:uiPriority w:val="34"/>
    <w:pPr>
      <w:ind w:firstLine="420" w:firstLineChars="200"/>
    </w:pPr>
  </w:style>
  <w:style w:type="character" w:customStyle="1" w:styleId="15">
    <w:name w:val="font01"/>
    <w:basedOn w:val="9"/>
    <w:qFormat/>
    <w:uiPriority w:val="0"/>
    <w:rPr>
      <w:rFonts w:hint="eastAsia" w:ascii="宋体" w:hAnsi="宋体" w:eastAsia="宋体" w:cs="宋体"/>
      <w:color w:val="000000"/>
      <w:sz w:val="22"/>
      <w:szCs w:val="22"/>
      <w:u w:val="none"/>
    </w:rPr>
  </w:style>
  <w:style w:type="character" w:customStyle="1" w:styleId="16">
    <w:name w:val="font21"/>
    <w:basedOn w:val="9"/>
    <w:qFormat/>
    <w:uiPriority w:val="0"/>
    <w:rPr>
      <w:rFonts w:hint="eastAsia" w:ascii="宋体" w:hAnsi="宋体" w:eastAsia="宋体" w:cs="宋体"/>
      <w:color w:val="000000"/>
      <w:sz w:val="24"/>
      <w:szCs w:val="24"/>
      <w:u w:val="none"/>
    </w:rPr>
  </w:style>
  <w:style w:type="character" w:customStyle="1" w:styleId="17">
    <w:name w:val="font11"/>
    <w:basedOn w:val="9"/>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26</Pages>
  <Words>39</Words>
  <Characters>42</Characters>
  <Lines>70</Lines>
  <Paragraphs>19</Paragraphs>
  <TotalTime>0</TotalTime>
  <ScaleCrop>false</ScaleCrop>
  <LinksUpToDate>false</LinksUpToDate>
  <CharactersWithSpaces>44</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2020-07-04T18:32:00Z</dcterms:created>
  <dc:creator>李航 null</dc:creator>
  <cp:lastModifiedBy>lg凌</cp:lastModifiedBy>
  <cp:lastPrinted>2025-07-30T03:15:23Z</cp:lastPrinted>
  <dcterms:modified xsi:type="dcterms:W3CDTF">2025-07-30T03:43:01Z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7A1C3578E228441B8071CE7AAE66514C</vt:lpwstr>
  </property>
  <property fmtid="{D5CDD505-2E9C-101B-9397-08002B2CF9AE}" pid="4" name="KSOTemplateDocerSaveRecord">
    <vt:lpwstr>eyJoZGlkIjoiZjZmNGE1NDQ0NzI0OTg4N2FlODNiOGEyMmNlZjE5OTQiLCJ1c2VySWQiOiI2ODQ5ODQxNzkifQ==</vt:lpwstr>
  </property>
</Properties>
</file>