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jc w:val="center"/>
        <w:rPr>
          <w:sz w:val="56"/>
          <w:szCs w:val="56"/>
        </w:rPr>
      </w:pPr>
      <w:bookmarkStart w:id="0" w:name="_GoBack"/>
      <w:bookmarkEnd w:id="0"/>
    </w:p>
    <w:p>
      <w:pPr>
        <w:pStyle w:val="13"/>
        <w:jc w:val="center"/>
        <w:rPr>
          <w:sz w:val="56"/>
          <w:szCs w:val="56"/>
        </w:rPr>
      </w:pPr>
    </w:p>
    <w:p>
      <w:pPr>
        <w:pStyle w:val="13"/>
        <w:jc w:val="center"/>
        <w:rPr>
          <w:sz w:val="84"/>
          <w:szCs w:val="84"/>
        </w:rPr>
      </w:pPr>
    </w:p>
    <w:p>
      <w:pPr>
        <w:pStyle w:val="13"/>
        <w:jc w:val="center"/>
        <w:rPr>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3"/>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岳阳市接待服务中心</w:t>
      </w: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决</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算</w:t>
      </w:r>
    </w:p>
    <w:p>
      <w:pPr>
        <w:pStyle w:val="13"/>
        <w:jc w:val="center"/>
        <w:rPr>
          <w:rFonts w:hint="eastAsia" w:ascii="方正小标宋_GBK" w:hAnsi="方正小标宋_GBK" w:eastAsia="方正小标宋_GBK" w:cs="方正小标宋_GBK"/>
          <w:sz w:val="56"/>
          <w:szCs w:val="56"/>
        </w:rPr>
      </w:pPr>
    </w:p>
    <w:p>
      <w:pPr>
        <w:pStyle w:val="13"/>
        <w:jc w:val="center"/>
        <w:rPr>
          <w:sz w:val="56"/>
          <w:szCs w:val="56"/>
        </w:rPr>
      </w:pPr>
    </w:p>
    <w:p>
      <w:pPr>
        <w:pStyle w:val="13"/>
        <w:jc w:val="center"/>
        <w:rPr>
          <w:sz w:val="56"/>
          <w:szCs w:val="56"/>
        </w:rPr>
      </w:pPr>
    </w:p>
    <w:p>
      <w:pPr>
        <w:pStyle w:val="13"/>
        <w:jc w:val="center"/>
        <w:rPr>
          <w:sz w:val="56"/>
          <w:szCs w:val="56"/>
        </w:rPr>
      </w:pPr>
    </w:p>
    <w:p>
      <w:pPr>
        <w:pStyle w:val="13"/>
        <w:jc w:val="center"/>
        <w:rPr>
          <w:sz w:val="32"/>
          <w:szCs w:val="32"/>
        </w:rPr>
      </w:pPr>
    </w:p>
    <w:p>
      <w:pPr>
        <w:pStyle w:val="13"/>
        <w:jc w:val="center"/>
        <w:rPr>
          <w:sz w:val="32"/>
          <w:szCs w:val="32"/>
        </w:rPr>
      </w:pPr>
    </w:p>
    <w:p>
      <w:pPr>
        <w:pStyle w:val="13"/>
        <w:jc w:val="both"/>
        <w:rPr>
          <w:sz w:val="32"/>
          <w:szCs w:val="32"/>
        </w:rPr>
      </w:pPr>
    </w:p>
    <w:p>
      <w:pPr>
        <w:pStyle w:val="13"/>
        <w:spacing w:line="500" w:lineRule="exact"/>
        <w:jc w:val="both"/>
        <w:rPr>
          <w:b/>
          <w:sz w:val="36"/>
          <w:szCs w:val="28"/>
        </w:rPr>
      </w:pPr>
    </w:p>
    <w:p>
      <w:pPr>
        <w:pStyle w:val="13"/>
        <w:spacing w:line="500" w:lineRule="exact"/>
        <w:jc w:val="center"/>
        <w:rPr>
          <w:b/>
          <w:sz w:val="36"/>
          <w:szCs w:val="28"/>
        </w:rPr>
      </w:pPr>
      <w:r>
        <w:rPr>
          <w:rFonts w:hint="eastAsia"/>
          <w:b/>
          <w:sz w:val="36"/>
          <w:szCs w:val="28"/>
        </w:rPr>
        <w:t>目录</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 xml:space="preserve"> 岳阳市接待服务中心</w:t>
      </w:r>
      <w:r>
        <w:rPr>
          <w:rFonts w:hint="eastAsia" w:ascii="黑体" w:hAnsi="黑体" w:eastAsia="黑体" w:cs="黑体"/>
          <w:b w:val="0"/>
          <w:bCs/>
          <w:sz w:val="28"/>
          <w:szCs w:val="28"/>
        </w:rPr>
        <w:t>概况</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3"/>
        <w:jc w:val="center"/>
        <w:rPr>
          <w:rFonts w:hint="eastAsia" w:ascii="方正小标宋_GBK" w:hAnsi="方正小标宋_GBK" w:eastAsia="方正小标宋_GBK" w:cs="方正小标宋_GBK"/>
          <w:sz w:val="84"/>
          <w:szCs w:val="84"/>
        </w:rPr>
      </w:pPr>
    </w:p>
    <w:p>
      <w:pPr>
        <w:jc w:val="center"/>
        <w:rPr>
          <w:rFonts w:hint="eastAsia" w:ascii="方正小标宋_GBK" w:hAnsi="方正小标宋_GBK" w:eastAsia="方正小标宋_GBK" w:cs="方正小标宋_GBK"/>
          <w:sz w:val="84"/>
          <w:szCs w:val="84"/>
          <w:lang w:eastAsia="zh-CN"/>
        </w:rPr>
      </w:pPr>
      <w:r>
        <w:rPr>
          <w:rFonts w:hint="eastAsia" w:ascii="方正小标宋_GBK" w:hAnsi="方正小标宋_GBK" w:eastAsia="方正小标宋_GBK" w:cs="方正小标宋_GBK"/>
          <w:sz w:val="84"/>
          <w:szCs w:val="84"/>
          <w:lang w:eastAsia="zh-CN"/>
        </w:rPr>
        <w:t>岳阳市接待服务中心</w:t>
      </w:r>
    </w:p>
    <w:p>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w:t>
      </w:r>
      <w:r>
        <w:rPr>
          <w:rFonts w:hint="eastAsia" w:ascii="方正小标宋_GBK" w:hAnsi="方正小标宋_GBK" w:eastAsia="方正小标宋_GBK" w:cs="方正小标宋_GBK"/>
          <w:sz w:val="84"/>
          <w:szCs w:val="84"/>
          <w:lang w:val="en-US" w:eastAsia="zh-CN"/>
        </w:rPr>
        <w:t xml:space="preserve">   </w:t>
      </w:r>
      <w:r>
        <w:rPr>
          <w:rFonts w:hint="eastAsia" w:ascii="方正小标宋_GBK" w:hAnsi="方正小标宋_GBK" w:eastAsia="方正小标宋_GBK" w:cs="方正小标宋_GBK"/>
          <w:sz w:val="84"/>
          <w:szCs w:val="84"/>
        </w:rPr>
        <w:t>况</w:t>
      </w:r>
    </w:p>
    <w:p>
      <w:pPr>
        <w:pStyle w:val="8"/>
        <w:rPr>
          <w:rFonts w:hint="eastAsia" w:ascii="方正小标宋_GBK" w:hAnsi="方正小标宋_GBK" w:eastAsia="方正小标宋_GBK" w:cs="方正小标宋_GBK"/>
          <w:sz w:val="84"/>
          <w:szCs w:val="84"/>
        </w:rPr>
      </w:pPr>
    </w:p>
    <w:p>
      <w:pPr>
        <w:pStyle w:val="4"/>
        <w:rPr>
          <w:rFonts w:hint="eastAsia" w:ascii="方正小标宋_GBK" w:hAnsi="方正小标宋_GBK" w:eastAsia="方正小标宋_GBK" w:cs="方正小标宋_GBK"/>
          <w:sz w:val="84"/>
          <w:szCs w:val="84"/>
        </w:rPr>
      </w:pPr>
    </w:p>
    <w:p>
      <w:pPr>
        <w:rPr>
          <w:rFonts w:hint="eastAsia" w:ascii="方正小标宋_GBK" w:hAnsi="方正小标宋_GBK" w:eastAsia="方正小标宋_GBK" w:cs="方正小标宋_GBK"/>
          <w:sz w:val="84"/>
          <w:szCs w:val="84"/>
        </w:rPr>
      </w:pPr>
    </w:p>
    <w:p>
      <w:pPr>
        <w:pStyle w:val="8"/>
        <w:rPr>
          <w:rFonts w:hint="eastAsia" w:ascii="方正小标宋_GBK" w:hAnsi="方正小标宋_GBK" w:eastAsia="方正小标宋_GBK" w:cs="方正小标宋_GBK"/>
          <w:sz w:val="84"/>
          <w:szCs w:val="84"/>
        </w:rPr>
      </w:pPr>
    </w:p>
    <w:p>
      <w:pPr>
        <w:pStyle w:val="8"/>
        <w:rPr>
          <w:rFonts w:hint="eastAsia"/>
        </w:rPr>
      </w:pPr>
    </w:p>
    <w:p>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pPr>
        <w:keepNext w:val="0"/>
        <w:keepLines w:val="0"/>
        <w:widowControl w:val="0"/>
        <w:numPr>
          <w:ilvl w:val="0"/>
          <w:numId w:val="0"/>
        </w:numPr>
        <w:suppressLineNumbers w:val="0"/>
        <w:spacing w:before="0" w:beforeAutospacing="0" w:after="0" w:afterAutospacing="0" w:line="600" w:lineRule="exact"/>
        <w:ind w:leftChars="200" w:right="0" w:rightChars="0" w:firstLine="320" w:firstLineChars="1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市接待服务中心为市委直属正处级参公事业单位，核定全额拨款事业编制20名。主要职能职责为：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1.负责市委、市人大、市政府、市政协、岳阳军分区重要宾客的公务接待工作；</w:t>
      </w:r>
      <w:r>
        <w:rPr>
          <w:rFonts w:hint="eastAsia" w:ascii="仿宋_GB2312" w:hAnsi="仿宋_GB2312" w:eastAsia="仿宋_GB2312" w:cs="仿宋_GB2312"/>
          <w:kern w:val="2"/>
          <w:sz w:val="32"/>
          <w:szCs w:val="32"/>
          <w:lang w:val="en-US" w:eastAsia="zh-CN" w:bidi="ar"/>
        </w:rPr>
        <w:br w:type="textWrapping"/>
      </w:r>
      <w:r>
        <w:rPr>
          <w:rFonts w:hint="eastAsia" w:ascii="仿宋_GB2312" w:hAnsi="仿宋_GB2312" w:eastAsia="仿宋_GB2312" w:cs="仿宋_GB2312"/>
          <w:kern w:val="2"/>
          <w:sz w:val="32"/>
          <w:szCs w:val="32"/>
          <w:lang w:val="en-US" w:eastAsia="zh-CN" w:bidi="ar"/>
        </w:rPr>
        <w:t xml:space="preserve">    2.负责来岳党和国家领导人的接待服务工作；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3.配合市委、市政府及有关部门单位做好重要会议、重大活动的接待服务工作；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4.做好岳阳历史、文化、经济社会发展成果的对外宣传讲解工作；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5.负责市委、市政府领导及党政代表团外出考察学习的联络服务等工作；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6.负责管理市本级党政机关国内公务接待工作，指导下级党政机关国内公务接待工作；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7.负责组织公务接待业务技能竞赛、考察学习、经验交流等活动；</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8.负责公务接待综合协调工作；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9.负责本单位党建、人事、财务、纪检、宣传教育、精神文明、工青妇等工作；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10.负责本单位退休人员及原管辖的炮台山宾馆、晓朝宾馆、南湖宾馆托管人员的管理工作；</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11.完成市委、市政府交办的其它工作。</w:t>
      </w:r>
    </w:p>
    <w:p>
      <w:pPr>
        <w:pStyle w:val="2"/>
        <w:rPr>
          <w:rFonts w:hint="eastAsia" w:ascii="仿宋_GB2312" w:hAnsi="仿宋_GB2312" w:eastAsia="仿宋_GB2312" w:cs="仿宋_GB2312"/>
          <w:kern w:val="2"/>
          <w:sz w:val="32"/>
          <w:szCs w:val="32"/>
          <w:lang w:val="en-US" w:eastAsia="zh-CN" w:bidi="ar"/>
        </w:rPr>
      </w:pPr>
    </w:p>
    <w:p>
      <w:pPr>
        <w:rPr>
          <w:rFonts w:hint="eastAsia" w:ascii="仿宋_GB2312" w:hAnsi="仿宋_GB2312" w:eastAsia="仿宋_GB2312" w:cs="仿宋_GB2312"/>
          <w:kern w:val="2"/>
          <w:sz w:val="32"/>
          <w:szCs w:val="32"/>
          <w:lang w:val="en-US" w:eastAsia="zh-CN" w:bidi="ar"/>
        </w:rPr>
      </w:pPr>
    </w:p>
    <w:p>
      <w:pPr>
        <w:pStyle w:val="2"/>
        <w:rPr>
          <w:rFonts w:hint="eastAsia"/>
        </w:rPr>
      </w:pPr>
    </w:p>
    <w:p>
      <w:pPr>
        <w:rPr>
          <w:rFonts w:hint="eastAsia"/>
        </w:rPr>
      </w:pPr>
    </w:p>
    <w:p>
      <w:pPr>
        <w:pStyle w:val="2"/>
        <w:rPr>
          <w:rFonts w:hint="eastAsia"/>
        </w:rPr>
      </w:pPr>
    </w:p>
    <w:p>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pStyle w:val="2"/>
        <w:ind w:firstLine="640" w:firstLineChars="200"/>
        <w:rPr>
          <w:rFonts w:hint="eastAsia" w:ascii="Times New Roman" w:hAnsi="Times New Roman" w:eastAsia="仿宋_GB2312" w:cs="仿宋_GB2312"/>
          <w:bCs/>
          <w:kern w:val="0"/>
          <w:sz w:val="32"/>
          <w:szCs w:val="32"/>
        </w:rPr>
      </w:pPr>
      <w:r>
        <w:rPr>
          <w:rFonts w:hint="eastAsia" w:ascii="Times New Roman" w:hAnsi="Times New Roman" w:eastAsia="仿宋_GB2312" w:cs="仿宋_GB2312"/>
          <w:b/>
          <w:bCs w:val="0"/>
          <w:kern w:val="0"/>
          <w:sz w:val="32"/>
          <w:szCs w:val="32"/>
        </w:rPr>
        <w:t>（一）内设机构设置。</w:t>
      </w:r>
      <w:r>
        <w:rPr>
          <w:rFonts w:hint="eastAsia" w:eastAsia="仿宋_GB2312" w:cs="仿宋_GB2312"/>
          <w:kern w:val="0"/>
          <w:sz w:val="32"/>
          <w:szCs w:val="32"/>
        </w:rPr>
        <w:t>岳阳市接待服务中心设主任（正处级）1名</w:t>
      </w:r>
      <w:r>
        <w:rPr>
          <w:rFonts w:hint="eastAsia" w:eastAsia="仿宋_GB2312" w:cs="仿宋_GB2312"/>
          <w:kern w:val="0"/>
          <w:sz w:val="32"/>
          <w:szCs w:val="32"/>
          <w:lang w:eastAsia="zh-CN"/>
        </w:rPr>
        <w:t>、</w:t>
      </w:r>
      <w:r>
        <w:rPr>
          <w:rFonts w:hint="eastAsia" w:eastAsia="仿宋_GB2312" w:cs="仿宋_GB2312"/>
          <w:kern w:val="0"/>
          <w:sz w:val="32"/>
          <w:szCs w:val="32"/>
        </w:rPr>
        <w:t>副主任（副处级）2名</w:t>
      </w:r>
      <w:r>
        <w:rPr>
          <w:rFonts w:hint="eastAsia" w:eastAsia="仿宋_GB2312" w:cs="仿宋_GB2312"/>
          <w:kern w:val="0"/>
          <w:sz w:val="32"/>
          <w:szCs w:val="32"/>
          <w:lang w:eastAsia="zh-CN"/>
        </w:rPr>
        <w:t>；</w:t>
      </w:r>
      <w:r>
        <w:rPr>
          <w:rFonts w:hint="eastAsia" w:eastAsia="仿宋_GB2312" w:cs="仿宋_GB2312"/>
          <w:kern w:val="0"/>
          <w:sz w:val="32"/>
          <w:szCs w:val="32"/>
        </w:rPr>
        <w:t>内设机构正科级领导职数6名（含机关党委常务副书记1名、机关纪委书记1名、离退休人员管理服务科科长1名），</w:t>
      </w:r>
      <w:r>
        <w:rPr>
          <w:rFonts w:hint="eastAsia" w:eastAsia="仿宋_GB2312" w:cs="仿宋_GB2312"/>
          <w:kern w:val="0"/>
          <w:sz w:val="32"/>
          <w:szCs w:val="32"/>
          <w:lang w:eastAsia="zh-CN"/>
        </w:rPr>
        <w:t>设置</w:t>
      </w:r>
      <w:r>
        <w:rPr>
          <w:rFonts w:hint="eastAsia" w:eastAsia="仿宋_GB2312" w:cs="仿宋_GB2312"/>
          <w:kern w:val="0"/>
          <w:sz w:val="32"/>
          <w:szCs w:val="32"/>
        </w:rPr>
        <w:t>3个内设科室：综合科、接待科、业务指导管理科</w:t>
      </w:r>
      <w:r>
        <w:rPr>
          <w:rFonts w:hint="eastAsia" w:eastAsia="仿宋_GB2312" w:cs="仿宋_GB2312"/>
          <w:kern w:val="0"/>
          <w:sz w:val="32"/>
          <w:szCs w:val="32"/>
          <w:lang w:eastAsia="zh-CN"/>
        </w:rPr>
        <w:t>，</w:t>
      </w:r>
      <w:r>
        <w:rPr>
          <w:rFonts w:hint="eastAsia" w:eastAsia="仿宋_GB2312" w:cs="仿宋_GB2312"/>
          <w:kern w:val="0"/>
          <w:sz w:val="32"/>
          <w:szCs w:val="32"/>
        </w:rPr>
        <w:t>副科级领导职数4名。</w:t>
      </w:r>
    </w:p>
    <w:p>
      <w:pPr>
        <w:widowControl/>
        <w:numPr>
          <w:ilvl w:val="0"/>
          <w:numId w:val="0"/>
        </w:numPr>
        <w:spacing w:line="600" w:lineRule="exact"/>
        <w:ind w:firstLine="640" w:firstLineChars="200"/>
        <w:rPr>
          <w:rFonts w:hint="eastAsia" w:ascii="Arial" w:hAnsi="Arial" w:eastAsia="仿宋_GB2312" w:cs="仿宋_GB2312"/>
          <w:kern w:val="0"/>
          <w:sz w:val="32"/>
          <w:szCs w:val="32"/>
          <w:lang w:val="en-US" w:eastAsia="zh-CN" w:bidi="ar-SA"/>
        </w:rPr>
      </w:pPr>
      <w:r>
        <w:rPr>
          <w:rFonts w:hint="eastAsia" w:ascii="Times New Roman" w:hAnsi="Times New Roman" w:eastAsia="仿宋_GB2312" w:cs="仿宋_GB2312"/>
          <w:b/>
          <w:bCs w:val="0"/>
          <w:kern w:val="0"/>
          <w:sz w:val="32"/>
          <w:szCs w:val="32"/>
        </w:rPr>
        <w:t>（二）决算单位构成。</w:t>
      </w:r>
      <w:r>
        <w:rPr>
          <w:rFonts w:hint="eastAsia" w:ascii="Arial" w:hAnsi="Arial" w:eastAsia="仿宋_GB2312" w:cs="仿宋_GB2312"/>
          <w:kern w:val="0"/>
          <w:sz w:val="32"/>
          <w:szCs w:val="32"/>
          <w:lang w:val="en-US" w:eastAsia="zh-CN" w:bidi="ar-SA"/>
        </w:rPr>
        <w:t>本单位无独立核算的下属单位，2023年度部门决算汇总公开单位仅包括市接待服务中心机关本级。</w:t>
      </w:r>
    </w:p>
    <w:p>
      <w:pPr>
        <w:jc w:val="left"/>
        <w:rPr>
          <w:rFonts w:ascii="仿宋_GB2312" w:hAnsi="宋体" w:eastAsia="仿宋_GB2312"/>
          <w:sz w:val="28"/>
          <w:szCs w:val="32"/>
        </w:rPr>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3"/>
        <w:jc w:val="center"/>
        <w:rPr>
          <w:rFonts w:hint="eastAsia" w:ascii="方正小标宋_GBK" w:hAnsi="方正小标宋_GBK" w:eastAsia="方正小标宋_GBK" w:cs="方正小标宋_GBK"/>
          <w:sz w:val="84"/>
          <w:szCs w:val="84"/>
        </w:rPr>
      </w:pPr>
    </w:p>
    <w:p>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仿宋_GB2312" w:hAnsi="仿宋_GB2312" w:eastAsia="仿宋_GB2312" w:cs="仿宋_GB2312"/>
          <w:b w:val="0"/>
          <w:bCs w:val="0"/>
          <w:sz w:val="72"/>
          <w:szCs w:val="72"/>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both"/>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w:t>
      </w:r>
      <w:r>
        <w:rPr>
          <w:rFonts w:hint="eastAsia" w:ascii="方正小标宋_GBK" w:hAnsi="方正小标宋_GBK" w:eastAsia="方正小标宋_GBK" w:cs="方正小标宋_GBK"/>
          <w:sz w:val="70"/>
          <w:szCs w:val="70"/>
          <w:lang w:eastAsia="zh-CN"/>
        </w:rPr>
        <w:t>岳阳市接待服务中心</w:t>
      </w: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决算情况说明</w:t>
      </w: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jc w:val="center"/>
        <w:rPr>
          <w:rFonts w:hint="eastAsia" w:ascii="方正小标宋_GBK" w:hAnsi="方正小标宋_GBK" w:eastAsia="方正小标宋_GBK" w:cs="方正小标宋_GBK"/>
          <w:sz w:val="70"/>
          <w:szCs w:val="70"/>
        </w:rPr>
      </w:pP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1576.66</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909.18</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136.21</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将托管人员经费列入了收入和支出。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1574.06</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1531.24</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97.28</w:t>
      </w:r>
      <w:r>
        <w:rPr>
          <w:rFonts w:hint="eastAsia" w:ascii="仿宋_GB2312" w:hAnsi="仿宋_GB2312" w:eastAsia="仿宋_GB2312" w:cs="仿宋_GB2312"/>
          <w:sz w:val="32"/>
          <w:szCs w:val="32"/>
        </w:rPr>
        <w:t>%；上级补助收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42.81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2.72</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1569.30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463.05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29.50</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1106.25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70.50</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万元，与上年相比，增加</w:t>
      </w:r>
      <w:r>
        <w:rPr>
          <w:rFonts w:hint="eastAsia" w:ascii="仿宋_GB2312" w:hAnsi="仿宋_GB2312" w:eastAsia="仿宋_GB2312" w:cs="仿宋_GB2312"/>
          <w:sz w:val="32"/>
          <w:szCs w:val="32"/>
          <w:lang w:val="en-US" w:eastAsia="zh-CN"/>
        </w:rPr>
        <w:t>867.05</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130.03</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将托管人员经费列入了收入和支出。</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pPr>
        <w:pStyle w:val="13"/>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仿宋_GB2312" w:hAnsi="仿宋_GB2312" w:eastAsia="仿宋_GB2312" w:cs="仿宋_GB2312"/>
          <w:i/>
          <w:iCs/>
          <w:color w:val="FF0000"/>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97.74</w:t>
      </w:r>
      <w:r>
        <w:rPr>
          <w:rFonts w:hint="eastAsia" w:ascii="仿宋_GB2312" w:hAnsi="仿宋_GB2312" w:eastAsia="仿宋_GB2312" w:cs="仿宋_GB2312"/>
          <w:sz w:val="32"/>
          <w:szCs w:val="32"/>
        </w:rPr>
        <w:t>%，与上年相比，财政拨款支出增加</w:t>
      </w:r>
      <w:r>
        <w:rPr>
          <w:rFonts w:hint="eastAsia" w:ascii="仿宋_GB2312" w:hAnsi="仿宋_GB2312" w:eastAsia="仿宋_GB2312" w:cs="仿宋_GB2312"/>
          <w:sz w:val="32"/>
          <w:szCs w:val="32"/>
          <w:lang w:val="en-US" w:eastAsia="zh-CN"/>
        </w:rPr>
        <w:t>869.66</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130.94</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eastAsia="zh-CN"/>
        </w:rPr>
        <w:t>增加了四家托管人员经费支出。</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（二）一般公共预算财政拨款支出决算结构情况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1192.36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77.74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社会保障和就业支出</w:t>
      </w:r>
      <w:r>
        <w:rPr>
          <w:rFonts w:hint="eastAsia" w:ascii="仿宋_GB2312" w:hAnsi="仿宋_GB2312" w:eastAsia="仿宋_GB2312" w:cs="仿宋_GB2312"/>
          <w:sz w:val="32"/>
          <w:szCs w:val="32"/>
          <w:lang w:val="en-US" w:eastAsia="zh-CN"/>
        </w:rPr>
        <w:t>248.43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16.20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卫生健康支出</w:t>
      </w:r>
      <w:r>
        <w:rPr>
          <w:rFonts w:hint="eastAsia" w:ascii="仿宋_GB2312" w:hAnsi="仿宋_GB2312" w:eastAsia="仿宋_GB2312" w:cs="仿宋_GB2312"/>
          <w:sz w:val="32"/>
          <w:szCs w:val="32"/>
          <w:lang w:val="en-US" w:eastAsia="zh-CN"/>
        </w:rPr>
        <w:t>18.14万元，占1.18%；交通运输支出52.87万元，占3.45%；住房保障支出22.07万元，占1.44%。</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1533.85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pPr>
        <w:spacing w:line="360" w:lineRule="auto"/>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1、 一般公共服务支出（类）政府办公厅（室）及相关机构事务（款）行政运行（项）。年初预算为160.16万元，支出决算为160.16万元，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pPr>
        <w:spacing w:line="360" w:lineRule="auto"/>
        <w:ind w:firstLine="64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en-US" w:eastAsia="zh-CN" w:bidi="ar-SA"/>
        </w:rPr>
        <w:t>一般公共服务支出（类）政府办公厅（室）及相关机构事务（款）一般行政管理事务（项）。年初预算为4.71万元，支出决算为4.71万元，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pPr>
        <w:spacing w:line="360" w:lineRule="auto"/>
        <w:ind w:firstLine="64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en-US" w:eastAsia="zh-CN" w:bidi="ar-SA"/>
        </w:rPr>
        <w:t xml:space="preserve"> 一般公共服务支出（类）政府办公厅（室）及相关机构事务（款）其他政府办公厅（室）及相关机构事务支出（项）。年初预算为284.32万元，支出决算为284.32万元，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pPr>
        <w:spacing w:line="360" w:lineRule="auto"/>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一般公共服务支出（类）党委办公厅（室）及相关机构事务（款）一般行政管理事务（项）。年初预算为147.79万元，支出决算为147.79万元，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pPr>
        <w:spacing w:line="360" w:lineRule="auto"/>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一般公共服务支出（类）党委办公厅（室）及相关机构事务（款）其他党委办公厅（室）及相关机构事务支出（项）。年初预算为339.15万元，支出决算为339.15万元，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pPr>
        <w:spacing w:line="360" w:lineRule="auto"/>
        <w:ind w:firstLine="640"/>
        <w:rPr>
          <w:rFonts w:hint="eastAsia" w:ascii="Times New Roman" w:hAnsi="Times New Roman" w:eastAsia="仿宋_GB2312" w:cs="黑体"/>
          <w:color w:val="000000"/>
          <w:kern w:val="0"/>
          <w:sz w:val="32"/>
          <w:szCs w:val="32"/>
          <w:lang w:val="en-US" w:eastAsia="zh-CN" w:bidi="ar-SA"/>
        </w:rPr>
      </w:pPr>
      <w:r>
        <w:rPr>
          <w:rFonts w:hint="eastAsia" w:ascii="Times New Roman" w:hAnsi="Times New Roman" w:eastAsia="仿宋_GB2312" w:cs="黑体"/>
          <w:color w:val="000000"/>
          <w:kern w:val="0"/>
          <w:sz w:val="32"/>
          <w:szCs w:val="32"/>
          <w:lang w:val="en-US" w:eastAsia="zh-CN" w:bidi="ar-SA"/>
        </w:rPr>
        <w:t xml:space="preserve">  2、社会保障和就业支出（类）行政事业单位养老支出（款）机关事业单位基本养老保险缴费支出（项）。年初预算为23.09万元，支出决算为23.09万元，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pPr>
        <w:spacing w:line="360" w:lineRule="auto"/>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en-US" w:eastAsia="zh-CN" w:bidi="ar-SA"/>
        </w:rPr>
        <w:t>社会保障和就业支出（类）抚恤（款）其他其他优抚支出（项）。年初预算为0.83万元，支出决算为0.83万元，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Times New Roman" w:hAnsi="Times New Roman" w:eastAsia="仿宋_GB2312" w:cs="黑体"/>
          <w:color w:val="000000"/>
          <w:kern w:val="0"/>
          <w:sz w:val="32"/>
          <w:szCs w:val="32"/>
          <w:lang w:val="en-US" w:eastAsia="zh-CN" w:bidi="ar-SA"/>
        </w:rPr>
        <w:t xml:space="preserve"> </w:t>
      </w:r>
    </w:p>
    <w:p>
      <w:pPr>
        <w:spacing w:line="360" w:lineRule="auto"/>
        <w:ind w:firstLine="640" w:firstLineChars="200"/>
        <w:rPr>
          <w:rFonts w:hint="eastAsia" w:ascii="Times New Roman" w:hAnsi="Times New Roman" w:eastAsia="仿宋_GB2312" w:cs="黑体"/>
          <w:color w:val="000000"/>
          <w:kern w:val="0"/>
          <w:sz w:val="32"/>
          <w:szCs w:val="32"/>
          <w:lang w:val="zh-CN" w:eastAsia="zh-CN" w:bidi="ar-SA"/>
        </w:rPr>
      </w:pPr>
      <w:r>
        <w:rPr>
          <w:rFonts w:hint="eastAsia" w:ascii="Times New Roman" w:hAnsi="Times New Roman" w:eastAsia="仿宋_GB2312" w:cs="黑体"/>
          <w:color w:val="000000"/>
          <w:kern w:val="0"/>
          <w:sz w:val="32"/>
          <w:szCs w:val="32"/>
          <w:lang w:val="en-US" w:eastAsia="zh-CN" w:bidi="ar-SA"/>
        </w:rPr>
        <w:t>社会保障和就业支出（类）退役军人事务管理（款）其他退役安置支出（项）。年初预算为2.66万元，支出决算为2.66万元，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p>
    <w:p>
      <w:pPr>
        <w:numPr>
          <w:ilvl w:val="0"/>
          <w:numId w:val="0"/>
        </w:numPr>
        <w:spacing w:line="360" w:lineRule="auto"/>
        <w:ind w:firstLine="640" w:firstLineChars="200"/>
        <w:rPr>
          <w:rFonts w:hint="eastAsia" w:ascii="仿宋_GB2312" w:hAnsi="仿宋_GB2312" w:eastAsia="仿宋_GB2312" w:cs="仿宋_GB2312"/>
          <w:sz w:val="32"/>
          <w:szCs w:val="32"/>
        </w:rPr>
      </w:pPr>
      <w:r>
        <w:rPr>
          <w:rFonts w:hint="eastAsia" w:ascii="Times New Roman" w:hAnsi="Times New Roman" w:eastAsia="仿宋_GB2312" w:cs="黑体"/>
          <w:color w:val="000000"/>
          <w:kern w:val="0"/>
          <w:sz w:val="32"/>
          <w:szCs w:val="32"/>
          <w:lang w:val="en-US" w:eastAsia="zh-CN" w:bidi="ar-SA"/>
        </w:rPr>
        <w:t>3、卫生健康支出（类）行政事业单位医疗（款）行政单位医疗（项）。年初预算为18.14万元，支出决算为18.14万元，</w:t>
      </w:r>
      <w:r>
        <w:rPr>
          <w:rFonts w:hint="eastAsia" w:ascii="Times New Roman" w:hAnsi="Times New Roman" w:eastAsia="仿宋_GB2312" w:cs="黑体"/>
          <w:color w:val="000000"/>
          <w:kern w:val="0"/>
          <w:sz w:val="32"/>
          <w:szCs w:val="32"/>
          <w:lang w:val="zh-CN" w:eastAsia="zh-CN" w:bidi="ar-SA"/>
        </w:rPr>
        <w:t>完成年初预算的</w:t>
      </w:r>
      <w:r>
        <w:rPr>
          <w:rFonts w:hint="eastAsia" w:ascii="Times New Roman" w:hAnsi="Times New Roman" w:eastAsia="仿宋_GB2312" w:cs="黑体"/>
          <w:color w:val="000000"/>
          <w:kern w:val="0"/>
          <w:sz w:val="32"/>
          <w:szCs w:val="32"/>
          <w:lang w:val="en-US" w:eastAsia="zh-CN" w:bidi="ar-SA"/>
        </w:rPr>
        <w:t>10</w:t>
      </w:r>
      <w:r>
        <w:rPr>
          <w:rFonts w:hint="eastAsia" w:ascii="Times New Roman" w:hAnsi="Times New Roman" w:eastAsia="仿宋_GB2312" w:cs="黑体"/>
          <w:color w:val="000000"/>
          <w:kern w:val="0"/>
          <w:sz w:val="32"/>
          <w:szCs w:val="32"/>
          <w:lang w:val="zh-CN" w:eastAsia="zh-CN" w:bidi="ar-SA"/>
        </w:rPr>
        <w:t>0%，主要原因是严格按年初预算执行</w:t>
      </w:r>
      <w:r>
        <w:rPr>
          <w:rFonts w:hint="eastAsia" w:ascii="宋体" w:hAnsi="宋体"/>
          <w:color w:val="000000"/>
          <w:sz w:val="32"/>
          <w:szCs w:val="24"/>
          <w:highlight w:val="white"/>
          <w:lang w:val="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eastAsia" w:ascii="Times New Roman" w:hAnsi="Times New Roman" w:eastAsia="仿宋_GB2312"/>
          <w:sz w:val="32"/>
          <w:szCs w:val="32"/>
          <w:lang w:val="en-US" w:eastAsia="zh-CN"/>
        </w:rPr>
        <w:t>452.01</w:t>
      </w:r>
      <w:r>
        <w:rPr>
          <w:rFonts w:hint="eastAsia" w:ascii="Times New Roman" w:hAnsi="Times New Roman" w:eastAsia="仿宋_GB2312"/>
          <w:sz w:val="32"/>
          <w:szCs w:val="32"/>
        </w:rPr>
        <w:t>万元，其中：</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eastAsia" w:ascii="Times New Roman" w:hAnsi="Times New Roman" w:eastAsia="仿宋_GB2312"/>
          <w:sz w:val="32"/>
          <w:szCs w:val="32"/>
          <w:lang w:val="en-US" w:eastAsia="zh-CN"/>
        </w:rPr>
        <w:t>396.6</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87.84</w:t>
      </w:r>
      <w:r>
        <w:rPr>
          <w:rFonts w:hint="eastAsia" w:ascii="Times New Roman" w:hAnsi="Times New Roman" w:eastAsia="仿宋_GB2312"/>
          <w:sz w:val="32"/>
          <w:szCs w:val="32"/>
        </w:rPr>
        <w:t>%,主要包括基本工资、津贴补贴、奖金、伙食补助费</w:t>
      </w:r>
      <w:r>
        <w:rPr>
          <w:rFonts w:hint="eastAsia" w:ascii="Times New Roman" w:hAnsi="Times New Roman" w:eastAsia="仿宋_GB2312"/>
          <w:sz w:val="32"/>
          <w:szCs w:val="32"/>
          <w:lang w:eastAsia="zh-CN"/>
        </w:rPr>
        <w:t>、绩效工资、机关事业单位基本养老保险缴费、职业年金缴费、医疗补助缴费、其他社会保障缴费、住房公积金、医疗费、其他工资福利支出、退休费、抚恤金、生活补助、医疗补助费、奖励金、其他对个人和家庭的补助。</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rPr>
      </w:pPr>
      <w:r>
        <w:rPr>
          <w:rFonts w:hint="eastAsia" w:ascii="Times New Roman" w:hAnsi="Times New Roman" w:eastAsia="仿宋_GB2312"/>
          <w:b/>
          <w:bCs/>
          <w:sz w:val="32"/>
          <w:szCs w:val="32"/>
        </w:rPr>
        <w:t>公用经费</w:t>
      </w:r>
      <w:r>
        <w:rPr>
          <w:rFonts w:hint="eastAsia" w:ascii="Times New Roman" w:hAnsi="Times New Roman" w:eastAsia="仿宋_GB2312"/>
          <w:sz w:val="32"/>
          <w:szCs w:val="32"/>
          <w:lang w:val="en-US" w:eastAsia="zh-CN"/>
        </w:rPr>
        <w:t>55.41</w:t>
      </w:r>
      <w:r>
        <w:rPr>
          <w:rFonts w:hint="eastAsia" w:ascii="Times New Roman" w:hAnsi="Times New Roman" w:eastAsia="仿宋_GB2312"/>
          <w:sz w:val="32"/>
          <w:szCs w:val="32"/>
        </w:rPr>
        <w:t>万元，占基本支出的</w:t>
      </w:r>
      <w:r>
        <w:rPr>
          <w:rFonts w:hint="eastAsia" w:ascii="Times New Roman" w:hAnsi="Times New Roman" w:eastAsia="仿宋_GB2312"/>
          <w:sz w:val="32"/>
          <w:szCs w:val="32"/>
          <w:lang w:val="en-US" w:eastAsia="zh-CN"/>
        </w:rPr>
        <w:t>12.26</w:t>
      </w:r>
      <w:r>
        <w:rPr>
          <w:rFonts w:hint="eastAsia" w:ascii="Times New Roman" w:hAnsi="Times New Roman" w:eastAsia="仿宋_GB2312"/>
          <w:sz w:val="32"/>
          <w:szCs w:val="32"/>
        </w:rPr>
        <w:t>%，主要包括办公费、印刷费、</w:t>
      </w:r>
      <w:r>
        <w:rPr>
          <w:rFonts w:hint="eastAsia" w:ascii="Times New Roman" w:hAnsi="Times New Roman" w:eastAsia="仿宋_GB2312"/>
          <w:sz w:val="32"/>
          <w:szCs w:val="32"/>
          <w:highlight w:val="none"/>
        </w:rPr>
        <w:t>咨询费、手续费</w:t>
      </w:r>
      <w:r>
        <w:rPr>
          <w:rFonts w:hint="eastAsia" w:ascii="Times New Roman" w:hAnsi="Times New Roman" w:eastAsia="仿宋_GB2312"/>
          <w:sz w:val="32"/>
          <w:szCs w:val="32"/>
          <w:highlight w:val="none"/>
          <w:lang w:eastAsia="zh-CN"/>
        </w:rPr>
        <w:t>、水费、电费、邮电费、物业管理费、差旅费、劳务费、工会经费、公车运行维护费、其他交通费用、其他商品服务支出</w:t>
      </w:r>
      <w:r>
        <w:rPr>
          <w:rFonts w:hint="eastAsia" w:ascii="Times New Roman" w:hAnsi="Times New Roman" w:eastAsia="仿宋_GB2312"/>
          <w:sz w:val="32"/>
          <w:szCs w:val="32"/>
          <w:highlight w:val="none"/>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黑体"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Times New Roman" w:hAnsi="Times New Roman" w:eastAsia="仿宋_GB2312"/>
          <w:sz w:val="32"/>
          <w:szCs w:val="32"/>
          <w:highlight w:val="none"/>
          <w:lang w:val="en-US" w:eastAsia="zh-CN"/>
        </w:rPr>
        <w:t>2023年度政府性基金预算财政拨款收入0万元；年初结转和结余0万元；支出0万元，其中基本支出0万元，项目支出0万元；年末结转和结余0万元。</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lang w:val="en-US" w:eastAsia="zh-CN"/>
        </w:rPr>
        <w:t>2023年度国有资本经营预算财政拨款收入0万元；年初结转和结余0万；支出0万元，其中：基本支出0万元，项目支出0万元；年末结转和结余0万元。</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hAnsi="黑体" w:cs="黑体"/>
          <w:b w:val="0"/>
          <w:bCs/>
          <w:sz w:val="32"/>
          <w:szCs w:val="32"/>
          <w:lang w:eastAsia="zh-CN"/>
        </w:rPr>
        <w:t>九、</w:t>
      </w:r>
      <w:r>
        <w:rPr>
          <w:rFonts w:hint="eastAsia" w:ascii="黑体" w:hAnsi="黑体" w:eastAsia="黑体" w:cs="黑体"/>
          <w:b w:val="0"/>
          <w:bCs/>
          <w:sz w:val="32"/>
          <w:szCs w:val="32"/>
        </w:rPr>
        <w:t>财政拨款三公经费支出决算情况说明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eastAsia" w:ascii="Times New Roman" w:hAnsi="Times New Roman" w:eastAsia="仿宋_GB2312"/>
          <w:sz w:val="32"/>
          <w:szCs w:val="32"/>
          <w:lang w:val="en-US" w:eastAsia="zh-CN"/>
        </w:rPr>
        <w:t>99.23</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99.23</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Times New Roman" w:hAnsi="Times New Roman" w:eastAsia="仿宋_GB2312"/>
          <w:sz w:val="32"/>
          <w:szCs w:val="32"/>
          <w:lang w:eastAsia="zh-CN"/>
        </w:rPr>
      </w:pPr>
      <w:r>
        <w:rPr>
          <w:rFonts w:hint="eastAsia" w:ascii="Times New Roman" w:hAnsi="Times New Roman" w:eastAsia="仿宋_GB2312"/>
          <w:sz w:val="32"/>
          <w:szCs w:val="32"/>
          <w:lang w:eastAsia="zh-CN"/>
        </w:rPr>
        <w:t>因公出国（境）费支出预算为0万元，决算数为</w:t>
      </w:r>
      <w:r>
        <w:rPr>
          <w:rFonts w:hint="eastAsia" w:ascii="Times New Roman" w:hAnsi="Times New Roman" w:eastAsia="仿宋_GB2312"/>
          <w:sz w:val="32"/>
          <w:szCs w:val="32"/>
          <w:lang w:val="en-US" w:eastAsia="zh-CN"/>
        </w:rPr>
        <w:t>0万元，无法计算完成百分比</w:t>
      </w:r>
      <w:r>
        <w:rPr>
          <w:rFonts w:hint="eastAsia" w:ascii="Times New Roman" w:hAnsi="Times New Roman" w:eastAsia="仿宋_GB2312"/>
          <w:sz w:val="32"/>
          <w:szCs w:val="32"/>
          <w:lang w:eastAsia="zh-CN"/>
        </w:rPr>
        <w:t>，主要原因是主要原因是</w:t>
      </w:r>
      <w:r>
        <w:rPr>
          <w:rFonts w:hint="eastAsia" w:ascii="Times New Roman" w:hAnsi="Times New Roman" w:eastAsia="仿宋_GB2312"/>
          <w:sz w:val="32"/>
          <w:szCs w:val="32"/>
          <w:lang w:val="en-US" w:eastAsia="zh-CN"/>
        </w:rPr>
        <w:t>我单位</w:t>
      </w:r>
      <w:r>
        <w:rPr>
          <w:rFonts w:hint="eastAsia" w:ascii="Times New Roman" w:hAnsi="Times New Roman" w:eastAsia="仿宋_GB2312"/>
          <w:sz w:val="32"/>
          <w:szCs w:val="32"/>
          <w:lang w:eastAsia="zh-CN"/>
        </w:rPr>
        <w:t>未安排因公出国（境）活动。</w:t>
      </w:r>
    </w:p>
    <w:p>
      <w:pPr>
        <w:numPr>
          <w:ilvl w:val="0"/>
          <w:numId w:val="0"/>
        </w:numPr>
        <w:spacing w:line="360" w:lineRule="auto"/>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eastAsia" w:ascii="Times New Roman" w:hAnsi="Times New Roman" w:eastAsia="仿宋_GB2312"/>
          <w:sz w:val="32"/>
          <w:szCs w:val="32"/>
          <w:lang w:val="en-US" w:eastAsia="zh-CN"/>
        </w:rPr>
        <w:t>79.7</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79.7</w:t>
      </w:r>
      <w:r>
        <w:rPr>
          <w:rFonts w:hint="eastAsia" w:ascii="Times New Roman" w:hAnsi="Times New Roman" w:eastAsia="仿宋_GB2312"/>
          <w:sz w:val="32"/>
          <w:szCs w:val="32"/>
        </w:rPr>
        <w:t>万元，完成预算的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，主要原因是严格按预算执行</w:t>
      </w:r>
      <w:r>
        <w:rPr>
          <w:rFonts w:hint="eastAsia" w:ascii="Times New Roman" w:hAnsi="Times New Roman" w:eastAsia="仿宋_GB2312"/>
          <w:sz w:val="32"/>
          <w:szCs w:val="32"/>
        </w:rPr>
        <w:t>。</w:t>
      </w:r>
      <w:r>
        <w:rPr>
          <w:rFonts w:hint="eastAsia" w:ascii="Times New Roman" w:hAnsi="Times New Roman" w:eastAsia="仿宋_GB2312"/>
          <w:sz w:val="32"/>
          <w:szCs w:val="32"/>
          <w:lang w:val="en-US"/>
        </w:rPr>
        <w:t>与上年相比</w:t>
      </w:r>
      <w:r>
        <w:rPr>
          <w:rFonts w:hint="eastAsia" w:ascii="Times New Roman" w:hAnsi="Times New Roman" w:eastAsia="仿宋_GB2312"/>
          <w:sz w:val="32"/>
          <w:szCs w:val="32"/>
          <w:lang w:val="en-US" w:eastAsia="zh-CN"/>
        </w:rPr>
        <w:t>增加19.67</w:t>
      </w:r>
      <w:r>
        <w:rPr>
          <w:rFonts w:hint="eastAsia" w:ascii="Times New Roman" w:hAnsi="Times New Roman" w:eastAsia="仿宋_GB2312"/>
          <w:sz w:val="32"/>
          <w:szCs w:val="32"/>
          <w:lang w:val="en-US"/>
        </w:rPr>
        <w:t>万元，</w:t>
      </w:r>
      <w:r>
        <w:rPr>
          <w:rFonts w:hint="eastAsia" w:ascii="Times New Roman" w:hAnsi="Times New Roman" w:eastAsia="仿宋_GB2312"/>
          <w:sz w:val="32"/>
          <w:szCs w:val="32"/>
          <w:lang w:val="en-US" w:eastAsia="zh-CN"/>
        </w:rPr>
        <w:t>增加32.76</w:t>
      </w:r>
      <w:r>
        <w:rPr>
          <w:rFonts w:hint="eastAsia" w:ascii="Times New Roman" w:hAnsi="Times New Roman" w:eastAsia="仿宋_GB2312"/>
          <w:sz w:val="32"/>
          <w:szCs w:val="32"/>
          <w:lang w:val="en-US"/>
        </w:rPr>
        <w:t>%</w:t>
      </w:r>
      <w:r>
        <w:rPr>
          <w:rFonts w:hint="eastAsia" w:ascii="Times New Roman" w:hAnsi="Times New Roman" w:eastAsia="仿宋_GB2312"/>
          <w:sz w:val="32"/>
          <w:szCs w:val="32"/>
          <w:lang w:val="en-US" w:eastAsia="zh-CN"/>
        </w:rPr>
        <w:t>，增加的原因是接待批次、人次比上年有所增加</w:t>
      </w:r>
      <w:r>
        <w:rPr>
          <w:rFonts w:hint="eastAsia" w:ascii="Times New Roman" w:hAnsi="Times New Roman" w:eastAsia="仿宋_GB2312"/>
          <w:sz w:val="32"/>
          <w:szCs w:val="32"/>
          <w:lang w:eastAsia="zh-CN"/>
        </w:rPr>
        <w:t>。</w:t>
      </w:r>
    </w:p>
    <w:p>
      <w:pPr>
        <w:pStyle w:val="13"/>
        <w:keepNext w:val="0"/>
        <w:keepLines w:val="0"/>
        <w:pageBreakBefore w:val="0"/>
        <w:widowControl w:val="0"/>
        <w:numPr>
          <w:ilvl w:val="0"/>
          <w:numId w:val="0"/>
        </w:numPr>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cs="Times New Roman"/>
          <w:color w:val="auto"/>
          <w:kern w:val="2"/>
          <w:sz w:val="32"/>
          <w:szCs w:val="32"/>
          <w:lang w:val="zh-CN" w:eastAsia="zh-CN" w:bidi="ar-SA"/>
        </w:rPr>
        <w:t>公务用车购置费支出预算为0万元，支出决算为0万元，决算数等于预算数，主要原因当年没有购置公务用车；与上年情况一致，无增减变动，主要原因是两年均未购置公务用车。</w:t>
      </w:r>
      <w:r>
        <w:rPr>
          <w:rFonts w:hint="eastAsia" w:ascii="仿宋_GB2312" w:hAnsi="仿宋_GB2312" w:eastAsia="仿宋_GB2312" w:cs="仿宋_GB2312"/>
          <w:b w:val="0"/>
          <w:bCs/>
          <w:color w:val="FF0000"/>
          <w:sz w:val="32"/>
          <w:szCs w:val="32"/>
          <w:lang w:eastAsia="zh-CN"/>
        </w:rPr>
        <w:t xml:space="preserve">  </w:t>
      </w:r>
    </w:p>
    <w:p>
      <w:pPr>
        <w:numPr>
          <w:ilvl w:val="0"/>
          <w:numId w:val="0"/>
        </w:numPr>
        <w:spacing w:line="360" w:lineRule="auto"/>
        <w:ind w:firstLine="640" w:firstLineChars="200"/>
        <w:jc w:val="left"/>
        <w:rPr>
          <w:rFonts w:hint="eastAsia"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万元，支出决算为</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万元，决算数</w:t>
      </w:r>
      <w:r>
        <w:rPr>
          <w:rFonts w:hint="eastAsia" w:ascii="Times New Roman" w:hAnsi="Times New Roman" w:eastAsia="仿宋_GB2312"/>
          <w:sz w:val="32"/>
          <w:szCs w:val="32"/>
          <w:lang w:eastAsia="zh-CN"/>
        </w:rPr>
        <w:t>等于</w:t>
      </w:r>
      <w:r>
        <w:rPr>
          <w:rFonts w:hint="eastAsia" w:ascii="Times New Roman" w:hAnsi="Times New Roman" w:eastAsia="仿宋_GB2312"/>
          <w:sz w:val="32"/>
          <w:szCs w:val="32"/>
        </w:rPr>
        <w:t>预算数</w:t>
      </w:r>
      <w:r>
        <w:rPr>
          <w:rFonts w:hint="eastAsia" w:ascii="Times New Roman" w:hAnsi="Times New Roman" w:eastAsia="仿宋_GB2312"/>
          <w:sz w:val="32"/>
          <w:szCs w:val="32"/>
          <w:lang w:eastAsia="zh-CN"/>
        </w:rPr>
        <w:t>的原因是我单位严格按预算执行决算</w:t>
      </w:r>
      <w:r>
        <w:rPr>
          <w:rFonts w:hint="eastAsia" w:ascii="Times New Roman" w:hAnsi="Times New Roman" w:eastAsia="仿宋_GB2312"/>
          <w:sz w:val="32"/>
          <w:szCs w:val="32"/>
        </w:rPr>
        <w:t>。</w:t>
      </w:r>
      <w:r>
        <w:rPr>
          <w:rFonts w:hint="eastAsia" w:ascii="Times New Roman" w:hAnsi="Times New Roman" w:eastAsia="仿宋_GB2312"/>
          <w:sz w:val="32"/>
          <w:szCs w:val="32"/>
          <w:lang w:val="en-US"/>
        </w:rPr>
        <w:t>与上年相比</w:t>
      </w:r>
      <w:r>
        <w:rPr>
          <w:rFonts w:hint="eastAsia" w:ascii="Times New Roman" w:hAnsi="Times New Roman" w:eastAsia="仿宋_GB2312"/>
          <w:sz w:val="32"/>
          <w:szCs w:val="32"/>
          <w:lang w:val="en-US" w:eastAsia="zh-CN"/>
        </w:rPr>
        <w:t>增加2.36</w:t>
      </w:r>
      <w:r>
        <w:rPr>
          <w:rFonts w:hint="eastAsia" w:ascii="Times New Roman" w:hAnsi="Times New Roman" w:eastAsia="仿宋_GB2312"/>
          <w:sz w:val="32"/>
          <w:szCs w:val="32"/>
          <w:lang w:val="en-US"/>
        </w:rPr>
        <w:t>万元，</w:t>
      </w:r>
      <w:r>
        <w:rPr>
          <w:rFonts w:hint="eastAsia" w:ascii="Times New Roman" w:hAnsi="Times New Roman" w:eastAsia="仿宋_GB2312"/>
          <w:sz w:val="32"/>
          <w:szCs w:val="32"/>
          <w:lang w:val="en-US" w:eastAsia="zh-CN"/>
        </w:rPr>
        <w:t>增加13.73</w:t>
      </w:r>
      <w:r>
        <w:rPr>
          <w:rFonts w:hint="eastAsia" w:ascii="Times New Roman" w:hAnsi="Times New Roman" w:eastAsia="仿宋_GB2312"/>
          <w:sz w:val="32"/>
          <w:szCs w:val="32"/>
          <w:lang w:val="en-US"/>
        </w:rPr>
        <w:t>%</w:t>
      </w:r>
      <w:r>
        <w:rPr>
          <w:rFonts w:hint="eastAsia" w:ascii="Times New Roman" w:hAnsi="Times New Roman" w:eastAsia="仿宋_GB2312"/>
          <w:sz w:val="32"/>
          <w:szCs w:val="32"/>
          <w:lang w:val="en-US" w:eastAsia="zh-CN"/>
        </w:rPr>
        <w:t>，增加的原因是</w:t>
      </w:r>
      <w:r>
        <w:rPr>
          <w:rFonts w:hint="eastAsia" w:ascii="Times New Roman" w:hAnsi="Times New Roman" w:eastAsia="仿宋_GB2312"/>
          <w:sz w:val="32"/>
          <w:szCs w:val="32"/>
          <w:lang w:eastAsia="zh-CN"/>
        </w:rPr>
        <w:t>接待批次、人次有所增加</w:t>
      </w:r>
      <w:r>
        <w:rPr>
          <w:rFonts w:hint="eastAsia" w:ascii="Times New Roman" w:hAnsi="Times New Roman" w:eastAsia="仿宋_GB2312"/>
          <w:sz w:val="32"/>
          <w:szCs w:val="32"/>
          <w:lang w:val="en-US"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年度“三公”经费财政拨款支出决算中，公务接待费支出决算</w:t>
      </w:r>
      <w:r>
        <w:rPr>
          <w:rFonts w:hint="eastAsia" w:ascii="Times New Roman" w:hAnsi="Times New Roman" w:eastAsia="仿宋_GB2312"/>
          <w:sz w:val="32"/>
          <w:szCs w:val="32"/>
          <w:lang w:val="en-US" w:eastAsia="zh-CN"/>
        </w:rPr>
        <w:t>79.7</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80.32</w:t>
      </w:r>
      <w:r>
        <w:rPr>
          <w:rFonts w:hint="eastAsia" w:ascii="Times New Roman" w:hAnsi="Times New Roman" w:eastAsia="仿宋_GB2312"/>
          <w:sz w:val="32"/>
          <w:szCs w:val="32"/>
        </w:rPr>
        <w:t>%,因公出国（境）费支出决算</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%,公务用车购置费及运行维护费支出决算</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万元，占</w:t>
      </w:r>
      <w:r>
        <w:rPr>
          <w:rFonts w:hint="eastAsia" w:ascii="Times New Roman" w:hAnsi="Times New Roman" w:eastAsia="仿宋_GB2312"/>
          <w:sz w:val="32"/>
          <w:szCs w:val="32"/>
          <w:lang w:val="en-US" w:eastAsia="zh-CN"/>
        </w:rPr>
        <w:t>19.68</w:t>
      </w:r>
      <w:r>
        <w:rPr>
          <w:rFonts w:hint="eastAsia" w:ascii="Times New Roman" w:hAnsi="Times New Roman" w:eastAsia="仿宋_GB2312"/>
          <w:sz w:val="32"/>
          <w:szCs w:val="32"/>
        </w:rPr>
        <w:t>%。其中：</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仿宋_GB2312" w:cs="楷体"/>
          <w:b/>
          <w:bCs/>
          <w:i/>
          <w:color w:val="auto"/>
          <w:sz w:val="32"/>
          <w:szCs w:val="32"/>
          <w:lang w:eastAsia="zh-CN"/>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万元，全年安排因公出国（境）团组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个，累计</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人次</w:t>
      </w:r>
      <w:r>
        <w:rPr>
          <w:rFonts w:hint="eastAsia" w:ascii="Times New Roman" w:hAnsi="Times New Roman" w:eastAsia="仿宋_GB2312"/>
          <w:sz w:val="32"/>
          <w:szCs w:val="32"/>
          <w:lang w:eastAsia="zh-CN"/>
        </w:rPr>
        <w:t>，我单位</w:t>
      </w:r>
      <w:r>
        <w:rPr>
          <w:rFonts w:hint="eastAsia" w:ascii="Times New Roman" w:hAnsi="Times New Roman" w:eastAsia="仿宋_GB2312"/>
          <w:sz w:val="32"/>
          <w:szCs w:val="32"/>
          <w:lang w:val="en-US" w:eastAsia="zh-CN"/>
        </w:rPr>
        <w:t>2022年度无因公出国（境）团组0个，累计0人次</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eastAsia" w:ascii="Times New Roman" w:hAnsi="Times New Roman" w:eastAsia="仿宋_GB2312"/>
          <w:sz w:val="32"/>
          <w:szCs w:val="32"/>
          <w:lang w:val="en-US" w:eastAsia="zh-CN"/>
        </w:rPr>
        <w:t>79.7</w:t>
      </w:r>
      <w:r>
        <w:rPr>
          <w:rFonts w:hint="eastAsia" w:ascii="Times New Roman" w:hAnsi="Times New Roman" w:eastAsia="仿宋_GB2312"/>
          <w:sz w:val="32"/>
          <w:szCs w:val="32"/>
        </w:rPr>
        <w:t>万元，</w:t>
      </w:r>
      <w:r>
        <w:rPr>
          <w:rFonts w:hint="eastAsia" w:ascii="仿宋_GB2312" w:hAnsi="仿宋_GB2312" w:eastAsia="仿宋_GB2312" w:cs="宋体"/>
          <w:bCs/>
          <w:color w:val="000000"/>
          <w:sz w:val="32"/>
          <w:szCs w:val="44"/>
          <w:lang w:val="en-US" w:eastAsia="zh-CN"/>
        </w:rPr>
        <w:t>全年共计接待来岳宾客669批次，其中接待省部级以上领导154人次，厅级以上领导587人次，成功接待了四位党和国家领导人。</w:t>
      </w:r>
      <w:r>
        <w:rPr>
          <w:rFonts w:hint="eastAsia" w:ascii="Times New Roman" w:hAnsi="Times New Roman" w:eastAsia="仿宋_GB2312"/>
          <w:sz w:val="32"/>
          <w:szCs w:val="32"/>
        </w:rPr>
        <w:t>主要是</w:t>
      </w:r>
      <w:r>
        <w:rPr>
          <w:rFonts w:hint="eastAsia" w:ascii="Times New Roman" w:hAnsi="Times New Roman" w:eastAsia="仿宋_GB2312"/>
          <w:sz w:val="32"/>
          <w:szCs w:val="32"/>
          <w:lang w:eastAsia="zh-CN"/>
        </w:rPr>
        <w:t>按接待标准</w:t>
      </w:r>
      <w:r>
        <w:rPr>
          <w:rFonts w:hint="eastAsia" w:ascii="Times New Roman" w:hAnsi="Times New Roman" w:eastAsia="仿宋_GB2312"/>
          <w:sz w:val="32"/>
          <w:szCs w:val="32"/>
        </w:rPr>
        <w:t>发生的接待</w:t>
      </w:r>
      <w:r>
        <w:rPr>
          <w:rFonts w:hint="eastAsia" w:ascii="Times New Roman" w:hAnsi="Times New Roman" w:eastAsia="仿宋_GB2312"/>
          <w:sz w:val="32"/>
          <w:szCs w:val="32"/>
          <w:lang w:eastAsia="zh-CN"/>
        </w:rPr>
        <w:t>用餐</w:t>
      </w:r>
      <w:r>
        <w:rPr>
          <w:rFonts w:hint="eastAsia" w:ascii="Times New Roman" w:hAnsi="Times New Roman" w:eastAsia="仿宋_GB2312"/>
          <w:sz w:val="32"/>
          <w:szCs w:val="32"/>
        </w:rPr>
        <w:t>支出。</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宋体" w:hAnsi="宋体" w:cs="黑体"/>
          <w:b/>
          <w:bCs/>
          <w:i w:val="0"/>
          <w:iCs/>
          <w:color w:val="FF0000"/>
          <w:kern w:val="0"/>
          <w:sz w:val="40"/>
          <w:szCs w:val="40"/>
        </w:rPr>
      </w:pPr>
      <w:r>
        <w:rPr>
          <w:rFonts w:hint="eastAsia" w:ascii="Times New Roman" w:hAnsi="Times New Roman" w:eastAsia="仿宋_GB2312"/>
          <w:sz w:val="32"/>
          <w:szCs w:val="32"/>
        </w:rPr>
        <w:t>3、公务用车购置费及运行维护费支出决算为</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万元，其中：公务用车购置费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，当年没有购置公务用车</w:t>
      </w:r>
      <w:r>
        <w:rPr>
          <w:rFonts w:hint="eastAsia" w:ascii="Times New Roman" w:hAnsi="Times New Roman" w:eastAsia="仿宋_GB2312"/>
          <w:color w:val="000000"/>
          <w:sz w:val="32"/>
          <w:szCs w:val="32"/>
        </w:rPr>
        <w:t>。</w:t>
      </w:r>
      <w:r>
        <w:rPr>
          <w:rFonts w:hint="eastAsia" w:ascii="Times New Roman" w:hAnsi="Times New Roman" w:eastAsia="仿宋_GB2312"/>
          <w:sz w:val="32"/>
          <w:szCs w:val="32"/>
        </w:rPr>
        <w:t>公务用车运行维护费</w:t>
      </w:r>
      <w:r>
        <w:rPr>
          <w:rFonts w:hint="eastAsia" w:ascii="Times New Roman" w:hAnsi="Times New Roman" w:eastAsia="仿宋_GB2312"/>
          <w:sz w:val="32"/>
          <w:szCs w:val="32"/>
          <w:lang w:val="en-US" w:eastAsia="zh-CN"/>
        </w:rPr>
        <w:t>19.54</w:t>
      </w:r>
      <w:r>
        <w:rPr>
          <w:rFonts w:hint="eastAsia" w:ascii="Times New Roman" w:hAnsi="Times New Roman" w:eastAsia="仿宋_GB2312"/>
          <w:sz w:val="32"/>
          <w:szCs w:val="32"/>
        </w:rPr>
        <w:t>万元，主要是</w:t>
      </w:r>
      <w:r>
        <w:rPr>
          <w:rFonts w:hint="eastAsia" w:ascii="仿宋_GB2312" w:hAnsi="Calibri" w:eastAsia="仿宋_GB2312" w:cs="黑体"/>
          <w:color w:val="000000"/>
          <w:kern w:val="0"/>
          <w:sz w:val="32"/>
          <w:szCs w:val="32"/>
          <w:lang w:val="zh-CN" w:eastAsia="zh-CN" w:bidi="ar-SA"/>
        </w:rPr>
        <w:t>燃料费、维修费、过桥过路费、保险费、安全奖励费用等</w:t>
      </w:r>
      <w:r>
        <w:rPr>
          <w:rFonts w:hint="eastAsia" w:ascii="Times New Roman" w:hAnsi="Times New Roman" w:eastAsia="仿宋_GB2312"/>
          <w:sz w:val="32"/>
          <w:szCs w:val="32"/>
          <w:lang w:eastAsia="zh-CN"/>
        </w:rPr>
        <w:t>公务接待用车的运行费</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pPr>
        <w:pStyle w:val="13"/>
        <w:ind w:firstLine="640" w:firstLineChars="200"/>
        <w:rPr>
          <w:rFonts w:hint="eastAsia" w:ascii="Times New Roman" w:hAnsi="Times New Roman" w:eastAsia="仿宋_GB2312"/>
          <w:sz w:val="32"/>
          <w:szCs w:val="32"/>
          <w:lang w:eastAsia="zh-CN"/>
        </w:rPr>
      </w:pPr>
      <w:r>
        <w:rPr>
          <w:rFonts w:hint="eastAsia" w:ascii="Times New Roman" w:hAnsi="Times New Roman" w:eastAsia="仿宋_GB2312"/>
          <w:sz w:val="32"/>
          <w:szCs w:val="32"/>
        </w:rPr>
        <w:t>本</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年度机关运行经费支出</w:t>
      </w:r>
      <w:r>
        <w:rPr>
          <w:rFonts w:hint="eastAsia" w:ascii="Times New Roman" w:hAnsi="Times New Roman" w:eastAsia="仿宋_GB2312"/>
          <w:sz w:val="32"/>
          <w:szCs w:val="32"/>
          <w:lang w:val="en-US" w:eastAsia="zh-CN"/>
        </w:rPr>
        <w:t>55.41</w:t>
      </w:r>
      <w:r>
        <w:rPr>
          <w:rFonts w:hint="eastAsia" w:ascii="Times New Roman" w:hAnsi="Times New Roman" w:eastAsia="仿宋_GB2312"/>
          <w:sz w:val="32"/>
          <w:szCs w:val="32"/>
        </w:rPr>
        <w:t>万元，比</w:t>
      </w:r>
      <w:r>
        <w:rPr>
          <w:rFonts w:hint="eastAsia" w:ascii="Times New Roman" w:hAnsi="Times New Roman" w:eastAsia="仿宋_GB2312"/>
          <w:sz w:val="32"/>
          <w:szCs w:val="32"/>
          <w:lang w:eastAsia="zh-CN"/>
        </w:rPr>
        <w:t>上年决</w:t>
      </w:r>
      <w:r>
        <w:rPr>
          <w:rFonts w:hint="eastAsia" w:ascii="Times New Roman" w:hAnsi="Times New Roman" w:eastAsia="仿宋_GB2312"/>
          <w:sz w:val="32"/>
          <w:szCs w:val="32"/>
        </w:rPr>
        <w:t>算数</w:t>
      </w:r>
      <w:r>
        <w:rPr>
          <w:rFonts w:hint="eastAsia" w:ascii="Times New Roman" w:hAnsi="Times New Roman" w:eastAsia="仿宋_GB2312"/>
          <w:sz w:val="32"/>
          <w:szCs w:val="32"/>
          <w:lang w:val="en-US" w:eastAsia="zh-CN"/>
        </w:rPr>
        <w:t>74.65万元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19.24</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减少</w:t>
      </w:r>
      <w:r>
        <w:rPr>
          <w:rFonts w:hint="eastAsia" w:ascii="Times New Roman" w:hAnsi="Times New Roman" w:eastAsia="仿宋_GB2312"/>
          <w:sz w:val="32"/>
          <w:szCs w:val="32"/>
          <w:lang w:val="en-US" w:eastAsia="zh-CN"/>
        </w:rPr>
        <w:t>25.77</w:t>
      </w:r>
      <w:r>
        <w:rPr>
          <w:rFonts w:hint="eastAsia" w:ascii="Times New Roman" w:hAnsi="Times New Roman" w:eastAsia="仿宋_GB2312"/>
          <w:sz w:val="32"/>
          <w:szCs w:val="32"/>
        </w:rPr>
        <w:t>%。主要原因是</w:t>
      </w:r>
      <w:r>
        <w:rPr>
          <w:rFonts w:hint="eastAsia" w:ascii="Times New Roman" w:hAnsi="Times New Roman" w:eastAsia="仿宋_GB2312"/>
          <w:sz w:val="32"/>
          <w:szCs w:val="32"/>
          <w:lang w:eastAsia="zh-CN"/>
        </w:rPr>
        <w:t>严格控制办公经费开支，积极响应过紧日子号召，倡导</w:t>
      </w:r>
      <w:r>
        <w:rPr>
          <w:rFonts w:hint="eastAsia" w:ascii="Times New Roman" w:hAnsi="Times New Roman" w:eastAsia="仿宋_GB2312"/>
          <w:sz w:val="32"/>
          <w:szCs w:val="32"/>
          <w:lang w:val="en-US" w:eastAsia="zh-CN"/>
        </w:rPr>
        <w:t>厉行节约</w:t>
      </w:r>
      <w:r>
        <w:rPr>
          <w:rFonts w:hint="eastAsia" w:ascii="Times New Roman" w:hAnsi="Times New Roman" w:eastAsia="仿宋_GB2312"/>
          <w:sz w:val="32"/>
          <w:szCs w:val="32"/>
          <w:lang w:eastAsia="zh-CN"/>
        </w:rPr>
        <w:t>。</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pPr>
        <w:pStyle w:val="13"/>
        <w:ind w:firstLine="640" w:firstLineChars="200"/>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2022年度，本单位</w:t>
      </w:r>
      <w:r>
        <w:rPr>
          <w:rFonts w:hint="eastAsia" w:ascii="Times New Roman" w:hAnsi="Times New Roman" w:eastAsia="仿宋_GB2312"/>
          <w:sz w:val="32"/>
          <w:szCs w:val="32"/>
        </w:rPr>
        <w:t>开支会议费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万元；开支培训费</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eastAsia="zh-CN"/>
        </w:rPr>
        <w:t>未</w:t>
      </w:r>
      <w:r>
        <w:rPr>
          <w:rFonts w:hint="eastAsia" w:ascii="Times New Roman" w:hAnsi="Times New Roman" w:eastAsia="仿宋_GB2312"/>
          <w:sz w:val="32"/>
          <w:szCs w:val="32"/>
        </w:rPr>
        <w:t>举办节庆、晚会、论坛、赛事等活动，开支</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w:t>
      </w:r>
      <w:r>
        <w:rPr>
          <w:rFonts w:hint="eastAsia" w:ascii="Times New Roman" w:hAnsi="Times New Roman" w:eastAsia="仿宋_GB2312"/>
          <w:sz w:val="32"/>
          <w:szCs w:val="32"/>
          <w:lang w:val="en-US" w:eastAsia="zh-CN"/>
        </w:rPr>
        <w:t>本单位无会议费的预算和支出决算数；本单位无培训费的预算和支出决算数；本单位无举办节庆、晚会、论坛、赛事等活动的预算和支出决算数。</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eastAsia="zh-CN"/>
        </w:rPr>
        <w:t>单位</w:t>
      </w: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年度政府采购支出总额</w:t>
      </w:r>
      <w:r>
        <w:rPr>
          <w:rFonts w:hint="eastAsia" w:ascii="Times New Roman" w:hAnsi="Times New Roman" w:eastAsia="仿宋_GB2312"/>
          <w:sz w:val="32"/>
          <w:szCs w:val="32"/>
          <w:lang w:val="en-US" w:eastAsia="zh-CN"/>
        </w:rPr>
        <w:t>73.02</w:t>
      </w:r>
      <w:r>
        <w:rPr>
          <w:rFonts w:hint="eastAsia" w:ascii="Times New Roman" w:hAnsi="Times New Roman" w:eastAsia="仿宋_GB2312"/>
          <w:sz w:val="32"/>
          <w:szCs w:val="32"/>
        </w:rPr>
        <w:t>万元，其中：政府采购货物支出</w:t>
      </w:r>
      <w:r>
        <w:rPr>
          <w:rFonts w:hint="eastAsia" w:ascii="Times New Roman" w:hAnsi="Times New Roman" w:eastAsia="仿宋_GB2312"/>
          <w:sz w:val="32"/>
          <w:szCs w:val="32"/>
          <w:lang w:val="en-US" w:eastAsia="zh-CN"/>
        </w:rPr>
        <w:t>73.02</w:t>
      </w:r>
      <w:r>
        <w:rPr>
          <w:rFonts w:hint="eastAsia" w:ascii="Times New Roman" w:hAnsi="Times New Roman" w:eastAsia="仿宋_GB2312"/>
          <w:sz w:val="32"/>
          <w:szCs w:val="32"/>
        </w:rPr>
        <w:t xml:space="preserve"> 万元、政府采购工程支出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万元、政府采购服务支出</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万元。授予中小企业合同金额</w:t>
      </w:r>
      <w:r>
        <w:rPr>
          <w:rFonts w:hint="eastAsia" w:ascii="Times New Roman" w:hAnsi="Times New Roman" w:eastAsia="仿宋_GB2312"/>
          <w:sz w:val="32"/>
          <w:szCs w:val="32"/>
          <w:lang w:val="en-US" w:eastAsia="zh-CN"/>
        </w:rPr>
        <w:t>73.02</w:t>
      </w:r>
      <w:r>
        <w:rPr>
          <w:rFonts w:hint="eastAsia" w:ascii="Times New Roman" w:hAnsi="Times New Roman" w:eastAsia="仿宋_GB2312"/>
          <w:sz w:val="32"/>
          <w:szCs w:val="32"/>
        </w:rPr>
        <w:t>万元，占政府采购支出总额的</w:t>
      </w:r>
      <w:r>
        <w:rPr>
          <w:rFonts w:hint="eastAsia" w:ascii="Times New Roman" w:hAnsi="Times New Roman" w:eastAsia="仿宋_GB2312"/>
          <w:sz w:val="32"/>
          <w:szCs w:val="32"/>
          <w:lang w:val="en-US" w:eastAsia="zh-CN"/>
        </w:rPr>
        <w:t>100</w:t>
      </w:r>
      <w:r>
        <w:rPr>
          <w:rFonts w:hint="eastAsia" w:ascii="Times New Roman" w:hAnsi="Times New Roman" w:eastAsia="仿宋_GB2312"/>
          <w:sz w:val="32"/>
          <w:szCs w:val="32"/>
        </w:rPr>
        <w:t>%，其中：授予小微企业合同金额</w:t>
      </w:r>
      <w:r>
        <w:rPr>
          <w:rFonts w:hint="eastAsia" w:ascii="Times New Roman" w:hAnsi="Times New Roman" w:eastAsia="仿宋_GB2312"/>
          <w:sz w:val="32"/>
          <w:szCs w:val="32"/>
          <w:lang w:val="en-US" w:eastAsia="zh-CN"/>
        </w:rPr>
        <w:t>65.17</w:t>
      </w:r>
      <w:r>
        <w:rPr>
          <w:rFonts w:hint="eastAsia" w:ascii="Times New Roman" w:hAnsi="Times New Roman" w:eastAsia="仿宋_GB2312"/>
          <w:sz w:val="32"/>
          <w:szCs w:val="32"/>
        </w:rPr>
        <w:t>万元，占授予中小企业合同金额的</w:t>
      </w:r>
      <w:r>
        <w:rPr>
          <w:rFonts w:hint="eastAsia" w:ascii="Times New Roman" w:hAnsi="Times New Roman" w:eastAsia="仿宋_GB2312"/>
          <w:sz w:val="32"/>
          <w:szCs w:val="32"/>
          <w:lang w:val="en-US" w:eastAsia="zh-CN"/>
        </w:rPr>
        <w:t>89.25</w:t>
      </w:r>
      <w:r>
        <w:rPr>
          <w:rFonts w:hint="eastAsia" w:ascii="Times New Roman" w:hAnsi="Times New Roman" w:eastAsia="仿宋_GB2312"/>
          <w:sz w:val="32"/>
          <w:szCs w:val="32"/>
        </w:rPr>
        <w:t>%。货物采购授予中小企业合同金额占货物支出金额的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%，工程采购授予中小企业合同金额占工程支出金额的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%，服务采购授予中小企业合同金额占服务支出金额的</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pPr>
        <w:numPr>
          <w:ilvl w:val="0"/>
          <w:numId w:val="0"/>
        </w:numPr>
        <w:spacing w:line="360" w:lineRule="auto"/>
        <w:ind w:firstLine="960" w:firstLineChars="300"/>
        <w:rPr>
          <w:rFonts w:ascii="Times New Roman" w:hAnsi="Times New Roman" w:eastAsia="仿宋_GB2312"/>
          <w:sz w:val="32"/>
          <w:szCs w:val="32"/>
        </w:rPr>
      </w:pPr>
      <w:r>
        <w:rPr>
          <w:rFonts w:hint="eastAsia" w:ascii="Times New Roman" w:hAnsi="Times New Roman" w:eastAsia="仿宋_GB2312"/>
          <w:sz w:val="32"/>
          <w:szCs w:val="32"/>
        </w:rPr>
        <w:t>截至202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年12月31日，本单位共有车辆</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辆，其中，主要领导干部用车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辆，机要通信用车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辆、应急保障用车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辆、执法执勤用车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辆、特种专业技术用车</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辆、其他用车</w:t>
      </w:r>
      <w:r>
        <w:rPr>
          <w:rFonts w:hint="eastAsia" w:ascii="Times New Roman" w:hAnsi="Times New Roman" w:eastAsia="仿宋_GB2312"/>
          <w:sz w:val="32"/>
          <w:szCs w:val="32"/>
          <w:lang w:val="en-US" w:eastAsia="zh-CN"/>
        </w:rPr>
        <w:t>5</w:t>
      </w:r>
      <w:r>
        <w:rPr>
          <w:rFonts w:hint="eastAsia" w:ascii="Times New Roman" w:hAnsi="Times New Roman" w:eastAsia="仿宋_GB2312"/>
          <w:sz w:val="32"/>
          <w:szCs w:val="32"/>
        </w:rPr>
        <w:t>辆，其他用车主要</w:t>
      </w:r>
      <w:r>
        <w:rPr>
          <w:rFonts w:hint="eastAsia" w:ascii="Times New Roman" w:hAnsi="Times New Roman" w:eastAsia="仿宋_GB2312"/>
          <w:sz w:val="32"/>
          <w:szCs w:val="32"/>
          <w:lang w:val="en-US"/>
        </w:rPr>
        <w:t>是用于机要通信和应急保障之外公务用途的车辆</w:t>
      </w:r>
      <w:r>
        <w:rPr>
          <w:rFonts w:hint="eastAsia" w:ascii="Times New Roman" w:hAnsi="Times New Roman" w:eastAsia="仿宋_GB2312"/>
          <w:sz w:val="32"/>
          <w:szCs w:val="32"/>
        </w:rPr>
        <w:t>；单位价值50万元以上通用设备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台（套）；单位价值100万元以上专用设备</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台（套）。</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根据预算绩效管理要求，我们组织对</w:t>
      </w:r>
      <w:r>
        <w:rPr>
          <w:rFonts w:hint="eastAsia" w:ascii="仿宋_GB2312" w:hAnsi="仿宋_GB2312" w:eastAsia="仿宋_GB2312" w:cs="仿宋_GB2312"/>
          <w:b w:val="0"/>
          <w:bCs w:val="0"/>
          <w:sz w:val="32"/>
          <w:szCs w:val="32"/>
          <w:lang w:val="en-US" w:eastAsia="zh-CN"/>
        </w:rPr>
        <w:t>2023年度整体支出和项目资金实施了全覆盖性的绩效评价，撰写了绩效自评报告。</w:t>
      </w:r>
    </w:p>
    <w:p>
      <w:pPr>
        <w:pStyle w:val="13"/>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组织开展整体支出绩效评价，涉及一般公共预算支出1533.85万元，政府性基金预算支出0万元，国有资本经营预算支出0万元。从评价情况来看，整体支出绩效评价中，2023年整体支出1569.3万元，其中：基本支出463.05万元，项目支出1106.25万元，项目支出主要包含单位接待专项及改制宾馆的托管费用支出。本单位整体支出绩效自评综合评分100分，评价结果等次为优。</w:t>
      </w:r>
    </w:p>
    <w:p>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整体支出绩效情况</w:t>
      </w:r>
    </w:p>
    <w:p>
      <w:pPr>
        <w:pStyle w:val="19"/>
        <w:keepNext w:val="0"/>
        <w:keepLines w:val="0"/>
        <w:pageBreakBefore w:val="0"/>
        <w:widowControl w:val="0"/>
        <w:numPr>
          <w:ilvl w:val="0"/>
          <w:numId w:val="0"/>
        </w:numPr>
        <w:kinsoku/>
        <w:wordWrap/>
        <w:overflowPunct/>
        <w:topLinePunct w:val="0"/>
        <w:autoSpaceDE/>
        <w:bidi w:val="0"/>
        <w:adjustRightInd/>
        <w:snapToGrid/>
        <w:spacing w:line="6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年初设定的绩效目标，绩效自评得分为100分。全年预算数为463.03万元，执行数为463.03万元，完成预算的100%。绩效目标完成情况：一是来岳宾客和各级领导满意；二是托管人员经费及时到位支付，保障社会稳定。发现的主要问题及原因：一是</w:t>
      </w:r>
      <w:r>
        <w:rPr>
          <w:rFonts w:hint="eastAsia" w:ascii="仿宋_GB2312" w:eastAsia="仿宋_GB2312"/>
          <w:spacing w:val="0"/>
          <w:sz w:val="32"/>
          <w:szCs w:val="32"/>
          <w:lang w:val="en-US" w:eastAsia="zh-CN"/>
        </w:rPr>
        <w:t>对绩效评价认识不足，对整体支出绩效评价业务仍有不熟悉的地方</w:t>
      </w:r>
      <w:r>
        <w:rPr>
          <w:rFonts w:hint="eastAsia" w:ascii="仿宋_GB2312" w:hAnsi="仿宋_GB2312" w:eastAsia="仿宋_GB2312" w:cs="仿宋_GB2312"/>
          <w:b w:val="0"/>
          <w:bCs w:val="0"/>
          <w:sz w:val="32"/>
          <w:szCs w:val="32"/>
          <w:lang w:val="en-US" w:eastAsia="zh-CN"/>
        </w:rPr>
        <w:t>；二是</w:t>
      </w:r>
      <w:r>
        <w:rPr>
          <w:rFonts w:hint="eastAsia" w:ascii="仿宋_GB2312" w:eastAsia="仿宋_GB2312"/>
          <w:spacing w:val="0"/>
          <w:sz w:val="32"/>
          <w:szCs w:val="32"/>
          <w:lang w:val="en-US" w:eastAsia="zh-CN"/>
        </w:rPr>
        <w:t>预算编制的合理性、准确性有待进一步提高</w:t>
      </w:r>
      <w:r>
        <w:rPr>
          <w:rFonts w:hint="eastAsia" w:ascii="仿宋_GB2312" w:hAnsi="仿宋_GB2312" w:eastAsia="仿宋_GB2312" w:cs="仿宋_GB2312"/>
          <w:b w:val="0"/>
          <w:bCs w:val="0"/>
          <w:sz w:val="32"/>
          <w:szCs w:val="32"/>
          <w:lang w:val="en-US" w:eastAsia="zh-CN"/>
        </w:rPr>
        <w:t>。下一步改进措施：一是</w:t>
      </w:r>
      <w:r>
        <w:rPr>
          <w:rFonts w:hint="eastAsia" w:ascii="仿宋_GB2312" w:eastAsia="仿宋_GB2312"/>
          <w:spacing w:val="0"/>
          <w:sz w:val="32"/>
          <w:szCs w:val="32"/>
          <w:lang w:val="en-US" w:eastAsia="zh-CN"/>
        </w:rPr>
        <w:t>进一步细化预算编制工作，认真做细做好预算的编制，严格按照预算编制的相关制度和要求进行预算编制，优先保障固定性费用支出，提高预算编制的科学性、严谨性和可控性；</w:t>
      </w:r>
      <w:r>
        <w:rPr>
          <w:rFonts w:hint="eastAsia" w:ascii="仿宋_GB2312" w:hAnsi="仿宋_GB2312" w:eastAsia="仿宋_GB2312" w:cs="仿宋_GB2312"/>
          <w:b w:val="0"/>
          <w:bCs w:val="0"/>
          <w:sz w:val="32"/>
          <w:szCs w:val="32"/>
          <w:lang w:val="en-US" w:eastAsia="zh-CN"/>
        </w:rPr>
        <w:t>二是</w:t>
      </w:r>
      <w:r>
        <w:rPr>
          <w:rFonts w:hint="eastAsia" w:ascii="仿宋_GB2312" w:eastAsia="仿宋_GB2312"/>
          <w:spacing w:val="0"/>
          <w:sz w:val="32"/>
          <w:szCs w:val="32"/>
          <w:lang w:val="en-US" w:eastAsia="zh-CN"/>
        </w:rPr>
        <w:t>加强财务管理，严格财务审批。在费用报账支付时，按照预算规定的费用和用途进行资金使用、审核，列报支付，财务核算杜绝超支现象的发生；三是进一步抓好“三公经费”的控制管理，严格执行中央八项规定及相关文件精神，把好“三公经费”支出的审核、审批、结算关，进一步细化“三公经费”的管理，合理压缩“三公经费”的支出。</w:t>
      </w:r>
    </w:p>
    <w:p>
      <w:pPr>
        <w:pStyle w:val="13"/>
        <w:keepNext w:val="0"/>
        <w:keepLines w:val="0"/>
        <w:pageBreakBefore w:val="0"/>
        <w:widowControl w:val="0"/>
        <w:numPr>
          <w:ilvl w:val="0"/>
          <w:numId w:val="0"/>
        </w:numPr>
        <w:kinsoku/>
        <w:wordWrap/>
        <w:overflowPunct/>
        <w:topLinePunct w:val="0"/>
        <w:bidi w:val="0"/>
        <w:snapToGrid/>
        <w:spacing w:line="600" w:lineRule="exact"/>
        <w:ind w:leftChars="200" w:firstLine="320" w:firstLineChars="100"/>
        <w:jc w:val="left"/>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（三）存在的问题及原因分析</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尽管中心整体绩效评价工作取得了一定的成绩，但是也存在一些问题，需要进一步认真研究解决。如预算编制的合理性、准确性有待进一步提高；对绩效评价认识不足，对整体支出绩效评价业务仍有不熟悉的地方。</w:t>
      </w:r>
    </w:p>
    <w:p>
      <w:pPr>
        <w:pStyle w:val="19"/>
        <w:keepNext w:val="0"/>
        <w:keepLines w:val="0"/>
        <w:pageBreakBefore w:val="0"/>
        <w:widowControl w:val="0"/>
        <w:numPr>
          <w:ilvl w:val="0"/>
          <w:numId w:val="0"/>
        </w:numPr>
        <w:kinsoku/>
        <w:wordWrap/>
        <w:overflowPunct/>
        <w:topLinePunct w:val="0"/>
        <w:autoSpaceDE/>
        <w:bidi w:val="0"/>
        <w:adjustRightInd/>
        <w:snapToGrid/>
        <w:spacing w:line="640" w:lineRule="exact"/>
        <w:ind w:firstLine="640" w:firstLineChars="200"/>
        <w:textAlignment w:val="auto"/>
        <w:rPr>
          <w:rFonts w:hint="eastAsia" w:ascii="仿宋_GB2312" w:eastAsia="仿宋_GB2312"/>
          <w:spacing w:val="0"/>
          <w:sz w:val="32"/>
          <w:szCs w:val="32"/>
          <w:lang w:val="en-US" w:eastAsia="zh-CN"/>
        </w:rPr>
      </w:pPr>
      <w:r>
        <w:rPr>
          <w:rFonts w:hint="eastAsia" w:ascii="仿宋_GB2312" w:eastAsia="仿宋_GB2312"/>
          <w:spacing w:val="0"/>
          <w:sz w:val="32"/>
          <w:szCs w:val="32"/>
          <w:lang w:val="en-US" w:eastAsia="zh-CN"/>
        </w:rPr>
        <w:t>下一步我们将进一步细化预算编制工作，认真做细做好预算的编制。严格按照预算编制的相关制度和要求进行预算编制，优先保障固定性费用支出，提高预算编制的科学性、严谨性和可控性；进一步加强财务管理，严格财务审批。在费用报账支付时，按照预算规定的费用和用途进行资金使用、审核，列报支付，财务核算杜绝超支现象的发生；持续抓好“三公经费”的控制管理，严格执行中央八项规定及相关文件精神，把好“三公经费”支出的审核、审批、结算关，进一步细化“三公经费”的管理，合理压缩“三公经费”的支出。</w:t>
      </w:r>
    </w:p>
    <w:p>
      <w:pPr>
        <w:keepNext w:val="0"/>
        <w:keepLines w:val="0"/>
        <w:widowControl w:val="0"/>
        <w:suppressLineNumbers w:val="0"/>
        <w:spacing w:before="0" w:beforeAutospacing="0" w:after="0" w:afterAutospacing="0" w:line="600" w:lineRule="exact"/>
        <w:ind w:left="0" w:right="0" w:firstLine="640" w:firstLineChars="200"/>
        <w:jc w:val="both"/>
        <w:rPr>
          <w:rFonts w:hint="eastAsia" w:ascii="Times New Roman" w:hAnsi="Times New Roman" w:eastAsia="仿宋_GB2312" w:cs="仿宋_GB2312"/>
          <w:kern w:val="2"/>
          <w:sz w:val="32"/>
          <w:szCs w:val="32"/>
          <w:lang w:val="en-US" w:eastAsia="zh-CN" w:bidi="ar"/>
        </w:rPr>
      </w:pPr>
    </w:p>
    <w:p>
      <w:pPr>
        <w:pStyle w:val="13"/>
        <w:jc w:val="center"/>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pStyle w:val="8"/>
      </w:pPr>
    </w:p>
    <w:p>
      <w:pPr>
        <w:pStyle w:val="4"/>
      </w:pPr>
    </w:p>
    <w:p/>
    <w:p>
      <w:pPr>
        <w:ind w:firstLine="640" w:firstLineChars="2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二、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三、上年结转和结余：指以前年度尚未完成、结转到本年按有关规定继续使用的资金。</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年末结转和结余资金：指本年度或以前年度预算安排、因客观条件发生变化无法按原计划实施，需要延迟到以后年度按有关规定继续使用的资金。</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一般公共服务支出（类）：是指用于人大、政协、政府办公厅（室）及相关机构事务、发展与改革事务、统计信息事务、财政事务、税收事务、审计事务、人力资源事务、纪检监察事务、商贸事务、工商行政管理事务、质量技术监督与检验检疫事务、民族事务、档案事务、民主党派及工商联事务、群众团体事务、党委办公厅（室）及相关机构事务、组织事务、宣传事务、统战事务、其他一般公共服务等方面的支出，包括保障机构正常运转、完成日常和特定的工作任务或事业发展目标的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社会保障和就业支出（类）：是指用于社会保障和就业方面的支出，包括保障机构正常运转、完成日常和特定的工作任务或事业发展目标的支出。归口管理的行政单位离退休，指离退休人员管理机构统一管理的机关离退休人员的经费。</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卫生健康支出（类）：是指用于医疗卫生与计划生育方面的支出，包括保障机构正常运转、完成日常和特定的工作任务或事业发展目标的支出。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城乡社区支出（类）：是指用于城乡社区事务支出，包括保障机构正常运转、完成日常和特定的工作任务或事业发展目标的支出。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交通运输支出（类）：是指用于交通运输和邮政业方面的支出，包括保障机构正常运转、完成日常和特定的工作任务或事业发展目标的支出。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基本支出：指保障机构正常运转、完成支日常工作任务而发生的人员支出和公用支出。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项目支出：指在基本支出之外为完成特定行政任务和事业发展目标所发生的支出。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工资福利支出：反映单位开支的在职职工和编制外长期聘用人员的各类劳动报酬，以及为上述人员缴纳的各项社会保险费等。</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基本工资：反映按规定发放的基本工资，包括公务员的职务工资、级别工资；机关工人的岗位工资、技术等级工资；事业单位工作人员的岗位工资、薪级工资；各类学校毕业生试用期(见习期)工资、新参加工作工人学徒期、熟练期工资；军队（武警）军官、文职干部的职务（专业技术等级）工资、军衔（级别）工资、基础工资和军龄工资；军队士官的军衔等级工资、基础工资和军龄工资等。</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津贴补贴：反映经国家批准建立的机关事业单位艰苦边远地区津贴、机关工作人员地区附加津贴、机关工作人员岗位津贴、事业单位工作人员特殊岗位津贴补贴等。</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奖金：反映机关工作人员年终一次性奖金。</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伙食补助费：反映单位发给职工的伙食补助费，如误餐补助等。</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机关事业单位基本养老保险缴费：反映机关事业单位缴纳的基本养老保险费。由单位代扣的工作人员基本养老保险缴费，不在此科目反映。</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职业年金缴费：反映机关事业单位实际缴纳的职业年金支出。由单位代扣的工作人员职业年金缴费，不在此科目反映。</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职工基本医疗保险缴费：反映单位为职工缴纳的基本医疗保险费。</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其他社会保障缴费：反映单位为职工缴纳的基本医疗、失业、工伤、生育等社会保险费，残疾人就业保障金，军队（含武警）为军人缴纳的伤亡、退役医疗等社会保险费。</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住房公积金：反映行政事业单位按人力资源和社会保障部、财政部规定的基本工资和津贴补贴以及规定比例为职工缴纳的住房公积金。</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医疗费：反映未参加医疗保险单位的医疗经费和单位按规定为职工支出的其他医疗费用。</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其他工资福利支出：反映上述项目未包括的人员支出，如各种加班工资、病假两个月以上期间的人员工资、编制外长期聘用人员，公务员及参照和依照公务员制度管理的单位工作人员转入企业工作并按规定参加企业职工基本养老保险后给予的一次性补贴等。</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商品和服务支出：反映单位购买商品和服务的支出（不包括用于购置固定资产的支出、战略性和应急储备支出）。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办公费：反映单位购买按财务会计制度规定不符合固定资产确认标准的日常办公用品、书报杂志等支出。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印刷费：反映单位的印刷费支出。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咨询费：反映单位咨询方面的支出。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水费：反映单位支付的水费、污水处理费等支出。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电费：反映单位的电费支出。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邮电费：反映单位开支的信函、包裹、货物等物品的邮寄费及电话费、电报费、传真费、网络通讯费等。</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物业管理费：反映单位开支的办公用房以及未实行职工住宅物业服务改革的在职职工和离退休人员宿舍等的物业管理费，包括综合治理、绿化、卫生等方面的支出。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差旅费：反映单位工作人员出差发生的城市间交通费、住宿费、伙食补贴费和市内交通费。</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维修(护)费：反映单位日常开支的固定资产（不包括车船等交通工具）修理和维护费用，网络信息系统运行与维护费用，以及按规定提取的修购基金。</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培训费：反映除因公出国（境）培训费以外的各类培训支出。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劳务费：反映支付给单位和个人的劳务费用，如临时聘用人员、钟点工工资，稿费、翻译费，评审费等。</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委托业务费：反映因委托外单位办理业务而支付的委托业务费。</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其他交通费用：反映单位除公务用车运行维护费以外的其他交通费用。如公务交通补贴，租车费用、出租车费用，飞机、船舶等的燃料费、维修费、保险费等。</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对个人和家庭的补助：反映政府用于对个人和家庭的补助支出。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退休费：反映行政事业单位和军队移交政府安置的退休人员的退休费和其他补贴。</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抚恤金：反映按规定开支的烈士遗属、牺牲病故人员遗属的一次性和定期抚恤金，伤残人员的抚恤金，离退休人员等其他人员的各项抚恤金。</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生活补助：反映按规定开支的优抚对象定期定量生活补助费，退役军人生活补助费，行政事业单位职工和遗属生活补助，因公负伤等住院治疗、住疗养院期间的伙食补助费，长期赡养人员补助费，由于国家实行退耕还林禁牧舍饲政策补偿给农牧民的现金、粮食支出，对农村党员、复员军人以及村干部的补助支出，看守人员和犯人的伙食费、药费等。</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医疗费：反映行政事业单位在职职工、离退休人员的医疗费，军队移交政府安置的离退休人员的医疗费，学生医疗费，优抚对象医疗补助，以及按国家规定资助农民参加新型农村合作医疗和城镇居民参加城镇居民基本医疗保险的支出和对城乡贫困家庭的医疗救助支出。</w:t>
      </w:r>
    </w:p>
    <w:p>
      <w:pPr>
        <w:spacing w:line="360" w:lineRule="auto"/>
        <w:ind w:firstLine="800"/>
        <w:jc w:val="left"/>
        <w:rPr>
          <w:rFonts w:hint="eastAsia" w:ascii="仿宋_GB2312" w:hAnsi="Calibri" w:eastAsia="仿宋_GB2312" w:cs="宋体"/>
          <w:spacing w:val="0"/>
          <w:kern w:val="0"/>
          <w:sz w:val="32"/>
          <w:szCs w:val="32"/>
          <w:lang w:val="en-US" w:eastAsia="zh-CN" w:bidi="ar-SA"/>
        </w:rPr>
      </w:pPr>
      <w:r>
        <w:rPr>
          <w:rFonts w:hint="eastAsia" w:ascii="仿宋_GB2312" w:hAnsi="Calibri" w:eastAsia="仿宋_GB2312" w:cs="宋体"/>
          <w:spacing w:val="0"/>
          <w:kern w:val="0"/>
          <w:sz w:val="32"/>
          <w:szCs w:val="32"/>
          <w:lang w:val="en-US" w:eastAsia="zh-CN" w:bidi="ar-SA"/>
        </w:rPr>
        <w:t>奖励金：反映政府各部门的奖励支出，如对个体私营经济的奖励、计划生育目标责任奖励、独生子女父母奖励等。</w:t>
      </w:r>
    </w:p>
    <w:p/>
    <w:p>
      <w:pPr>
        <w:pStyle w:val="8"/>
      </w:pPr>
    </w:p>
    <w:p>
      <w:pPr>
        <w:pStyle w:val="4"/>
      </w:pPr>
    </w:p>
    <w:p/>
    <w:p>
      <w:pPr>
        <w:pStyle w:val="8"/>
      </w:pPr>
    </w:p>
    <w:p>
      <w:pPr>
        <w:pStyle w:val="4"/>
      </w:pPr>
    </w:p>
    <w:p/>
    <w:p>
      <w:pPr>
        <w:pStyle w:val="8"/>
      </w:pPr>
    </w:p>
    <w:p>
      <w:pPr>
        <w:pStyle w:val="4"/>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2"/>
          <w:szCs w:val="72"/>
        </w:rPr>
      </w:pPr>
    </w:p>
    <w:p>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3"/>
        <w:jc w:val="both"/>
        <w:rPr>
          <w:rFonts w:hint="eastAsia" w:ascii="方正小标宋_GBK" w:hAnsi="方正小标宋_GBK" w:eastAsia="方正小标宋_GBK" w:cs="方正小标宋_GBK"/>
          <w:sz w:val="70"/>
          <w:szCs w:val="70"/>
          <w:lang w:eastAsia="zh-CN"/>
        </w:rPr>
      </w:pPr>
    </w:p>
    <w:p>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ind w:firstLine="640" w:firstLineChars="200"/>
        <w:jc w:val="left"/>
        <w:rPr>
          <w:rFonts w:hint="eastAsia" w:ascii="宋体" w:hAnsi="宋体" w:eastAsia="宋体" w:cs="黑体"/>
          <w:b/>
          <w:color w:val="000000"/>
          <w:kern w:val="0"/>
          <w:sz w:val="32"/>
          <w:szCs w:val="32"/>
          <w:lang w:val="en-US" w:eastAsia="zh-CN"/>
        </w:rPr>
      </w:pPr>
    </w:p>
    <w:p>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5OGMyMDFhOGVkZTI4YTliOWY4YzhlZDU0ZjFmYTM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59958AD"/>
    <w:rsid w:val="0B6A3385"/>
    <w:rsid w:val="12583BA5"/>
    <w:rsid w:val="13BA5B9C"/>
    <w:rsid w:val="1D97DEFF"/>
    <w:rsid w:val="1DFF72E5"/>
    <w:rsid w:val="1EFC6F07"/>
    <w:rsid w:val="22AC03C2"/>
    <w:rsid w:val="2FDF85B8"/>
    <w:rsid w:val="2FFFEE04"/>
    <w:rsid w:val="31C95635"/>
    <w:rsid w:val="34DF85B0"/>
    <w:rsid w:val="3B8F36BC"/>
    <w:rsid w:val="44CF5BED"/>
    <w:rsid w:val="491FF225"/>
    <w:rsid w:val="4FFD214C"/>
    <w:rsid w:val="5352765A"/>
    <w:rsid w:val="5777D4F5"/>
    <w:rsid w:val="59DD8326"/>
    <w:rsid w:val="5AD2529D"/>
    <w:rsid w:val="5BAD120B"/>
    <w:rsid w:val="5DEF592A"/>
    <w:rsid w:val="5FC6BB1E"/>
    <w:rsid w:val="5FF720F1"/>
    <w:rsid w:val="67FF5C0B"/>
    <w:rsid w:val="6BAA4A2F"/>
    <w:rsid w:val="6EFC0924"/>
    <w:rsid w:val="6FB74722"/>
    <w:rsid w:val="6FEF8B7E"/>
    <w:rsid w:val="715E4639"/>
    <w:rsid w:val="71A6591B"/>
    <w:rsid w:val="737D59BA"/>
    <w:rsid w:val="737F32B1"/>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BFB23D"/>
    <w:rsid w:val="C3B4DA5A"/>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99"/>
    <w:pPr>
      <w:spacing w:before="120" w:after="200" w:line="276" w:lineRule="auto"/>
    </w:pPr>
    <w:rPr>
      <w:rFonts w:ascii="Arial" w:hAnsi="Arial"/>
      <w:sz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 w:type="paragraph" w:customStyle="1" w:styleId="19">
    <w:name w:val="p0"/>
    <w:basedOn w:val="1"/>
    <w:qFormat/>
    <w:uiPriority w:val="0"/>
    <w:pPr>
      <w:widowControl/>
    </w:pPr>
    <w:rPr>
      <w:rFonts w:ascii="Calibri" w:hAnsi="Calibri"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37</Words>
  <Characters>40</Characters>
  <Lines>63</Lines>
  <Paragraphs>18</Paragraphs>
  <TotalTime>5</TotalTime>
  <ScaleCrop>false</ScaleCrop>
  <LinksUpToDate>false</LinksUpToDate>
  <CharactersWithSpaces>44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2020-07-08T02:32:00Z</dcterms:created>
  <dc:creator>李航 null</dc:creator>
  <cp:lastModifiedBy>Administrator</cp:lastModifiedBy>
  <cp:lastPrinted>2024-08-08T10:20:00Z</cp:lastPrinted>
  <dcterms:modified xsi:type="dcterms:W3CDTF">2025-07-29T09:35:47Z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9F4CB8435524474D96B0E1DC4083EB2E</vt:lpwstr>
  </property>
  <property fmtid="{D5CDD505-2E9C-101B-9397-08002B2CF9AE}" pid="4" name="KSOTemplateDocerSaveRecord">
    <vt:lpwstr>eyJoZGlkIjoiZjU5OGMyMDFhOGVkZTI4YTliOWY4YzhlZDU0ZjFmYTMiLCJ1c2VySWQiOiI0NDc5ODk4MTcifQ==</vt:lpwstr>
  </property>
</Properties>
</file>